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title: "ulixacaltamide (PRAX-944) / Praxis Precision Medicine — VC Investment Memo"</w:t>
      </w:r>
    </w:p>
    <w:p>
      <w:r>
        <w:t>date: "2026-03-05"</w:t>
      </w:r>
    </w:p>
    <w:p>
      <w:r>
        <w:t>memo_type: Venture Capital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Praxis Precision Medicine: VC Investment Analysis</w:t>
      </w:r>
    </w:p>
    <w:p>
      <w:r/>
      <w:r>
        <w:rPr>
          <w:b/>
        </w:rPr>
        <w:t>ulixacaltamide (PRAX-944) | Essential Tremor (moderate-severe), US | 2026-03-05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Investment Thesis (3 bullets)</w:t>
      </w:r>
    </w:p>
    <w:p/>
    <w:p>
      <w:pPr>
        <w:pStyle w:val="ListNumber"/>
      </w:pPr>
      <w:r/>
      <w:r>
        <w:rPr>
          <w:b/>
        </w:rPr>
        <w:t>[Scientific differentiation]:</w:t>
      </w:r>
      <w:r>
        <w:t xml:space="preserve"> [Why does this drug have a real chance of working where others have failed? What is the mechanistic insight?]</w:t>
      </w:r>
    </w:p>
    <w:p>
      <w:pPr>
        <w:pStyle w:val="ListNumber"/>
      </w:pPr>
      <w:r/>
      <w:r>
        <w:rPr>
          <w:b/>
        </w:rPr>
        <w:t>[Market opportunity]:</w:t>
      </w:r>
      <w:r>
        <w:t xml:space="preserve"> $739M peak sales potential in Essential Tremor (moderate-severe), US; Cns is a high-value area with proven investor exits.</w:t>
      </w:r>
    </w:p>
    <w:p>
      <w:pPr>
        <w:pStyle w:val="ListNumber"/>
      </w:pPr>
      <w:r/>
      <w:r>
        <w:rPr>
          <w:b/>
        </w:rPr>
        <w:t>[Path to value creation]:</w:t>
      </w:r>
      <w:r>
        <w:t xml:space="preserve"> Next catalyst ([event]) in [timeline]; data readout will serve as a meaningful inflection point toward Series [X]/IPO/partnership.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Company Overview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Praxis Precision Medicine</w:t>
            </w:r>
          </w:p>
        </w:tc>
      </w:tr>
      <w:tr>
        <w:tc>
          <w:tcPr>
            <w:tcW w:type="dxa" w:w="4320"/>
          </w:tcPr>
          <w:p>
            <w:r>
              <w:t>Lead Asset</w:t>
            </w:r>
          </w:p>
        </w:tc>
        <w:tc>
          <w:tcPr>
            <w:tcW w:type="dxa" w:w="4320"/>
          </w:tcPr>
          <w:p>
            <w:r>
              <w:t>ulixacaltamide (PRAX-944)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PHASE 3</w:t>
            </w:r>
          </w:p>
        </w:tc>
      </w:tr>
      <w:tr>
        <w:tc>
          <w:tcPr>
            <w:tcW w:type="dxa" w:w="4320"/>
          </w:tcPr>
          <w:p>
            <w:r>
              <w:t>Modality</w:t>
            </w:r>
          </w:p>
        </w:tc>
        <w:tc>
          <w:tcPr>
            <w:tcW w:type="dxa" w:w="4320"/>
          </w:tcPr>
          <w:p>
            <w:r>
              <w:t>Small Molecule</w:t>
            </w:r>
          </w:p>
        </w:tc>
      </w:tr>
      <w:tr>
        <w:tc>
          <w:tcPr>
            <w:tcW w:type="dxa" w:w="4320"/>
          </w:tcPr>
          <w:p>
            <w:r>
              <w:t>Current Financing</w:t>
            </w:r>
          </w:p>
        </w:tc>
        <w:tc>
          <w:tcPr>
            <w:tcW w:type="dxa" w:w="4320"/>
          </w:tcPr>
          <w:p>
            <w:r>
              <w:t>[Round, total raised, key investors]</w:t>
            </w:r>
          </w:p>
        </w:tc>
      </w:tr>
      <w:tr>
        <w:tc>
          <w:tcPr>
            <w:tcW w:type="dxa" w:w="4320"/>
          </w:tcPr>
          <w:p>
            <w:r>
              <w:t>Cash on Hand</w:t>
            </w:r>
          </w:p>
        </w:tc>
        <w:tc>
          <w:tcPr>
            <w:tcW w:type="dxa" w:w="4320"/>
          </w:tcPr>
          <w:p>
            <w:r>
              <w:t>$325M</w:t>
            </w:r>
          </w:p>
        </w:tc>
      </w:tr>
      <w:tr>
        <w:tc>
          <w:tcPr>
            <w:tcW w:type="dxa" w:w="4320"/>
          </w:tcPr>
          <w:p>
            <w:r>
              <w:t>Cash Runway</w:t>
            </w:r>
          </w:p>
        </w:tc>
        <w:tc>
          <w:tcPr>
            <w:tcW w:type="dxa" w:w="4320"/>
          </w:tcPr>
          <w:p>
            <w:r>
              <w:t>8 quarters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[CEO, CSO, CMO — background highlight]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Scientific Rationale</w:t>
      </w:r>
    </w:p>
    <w:p/>
    <w:p>
      <w:r/>
      <w:r>
        <w:rPr>
          <w:b/>
        </w:rPr>
        <w:t>Target:</w:t>
      </w:r>
      <w:r>
        <w:t xml:space="preserve"> [Receptor/pathway/mechanism]</w:t>
      </w:r>
    </w:p>
    <w:p/>
    <w:p>
      <w:r/>
      <w:r>
        <w:rPr>
          <w:b/>
        </w:rPr>
        <w:t>Mechanism of Action:</w:t>
      </w:r>
      <w:r>
        <w:t xml:space="preserve"> [1–2 sentences on how the drug works and why it should work]</w:t>
      </w:r>
    </w:p>
    <w:p/>
    <w:p>
      <w:r/>
      <w:r>
        <w:rPr>
          <w:b/>
        </w:rPr>
        <w:t>Validation:</w:t>
      </w:r>
      <w:r>
        <w:t xml:space="preserve"> [Published biology, tool compounds, competitor programs that validate target]</w:t>
      </w:r>
    </w:p>
    <w:p/>
    <w:p>
      <w:r/>
      <w:r>
        <w:rPr>
          <w:b/>
        </w:rPr>
        <w:t>Differentiation:</w:t>
      </w:r>
      <w:r>
        <w:t xml:space="preserve"> [What is unique about </w:t>
      </w:r>
      <w:r>
        <w:rPr>
          <w:i/>
        </w:rPr>
        <w:t>this</w:t>
      </w:r>
      <w:r>
        <w:t xml:space="preserve"> approach vs. the field?]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Clinical Program</w:t>
      </w:r>
    </w:p>
    <w:p/>
    <w:p>
      <w:pPr>
        <w:pStyle w:val="Heading3"/>
      </w:pPr>
      <w:r>
        <w:t>Current Trial(s)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Enrollment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Primary Endpoint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Readout</w:t>
            </w:r>
          </w:p>
        </w:tc>
      </w:tr>
      <w:tr>
        <w:tc>
          <w:tcPr>
            <w:tcW w:type="dxa" w:w="1440"/>
          </w:tcPr>
          <w:p>
            <w:r>
              <w:t>TRIALPHASE.PHASE 3</w:t>
            </w:r>
          </w:p>
        </w:tc>
        <w:tc>
          <w:tcPr>
            <w:tcW w:type="dxa" w:w="1440"/>
          </w:tcPr>
          <w:p>
            <w:r>
              <w:t>NCT05173220</w:t>
            </w:r>
          </w:p>
        </w:tc>
        <w:tc>
          <w:tcPr>
            <w:tcW w:type="dxa" w:w="1440"/>
          </w:tcPr>
          <w:p>
            <w:r>
              <w:t>Essential Tremor (moderate-severe), US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TETRAS-ADL subscale change from baseline at week 12 (superiority vs. placebo)</w:t>
            </w:r>
          </w:p>
        </w:tc>
        <w:tc>
          <w:tcPr>
            <w:tcW w:type="dxa" w:w="1440"/>
          </w:tcPr>
          <w:p>
            <w:r>
              <w:t>TBD</w:t>
            </w:r>
          </w:p>
        </w:tc>
      </w:tr>
      <w:tr>
        <w:tc>
          <w:tcPr>
            <w:tcW w:type="dxa" w:w="1440"/>
          </w:tcPr>
          <w:p>
            <w:r>
              <w:t>TRIALPHASE.NDA BLA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Essential Tremor (moderate-severe), US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</w:tr>
    </w:tbl>
    <w:p/>
    <w:p/>
    <w:p>
      <w:r/>
      <w:r>
        <w:rPr>
          <w:b/>
        </w:rPr>
        <w:t>Design considerations:</w:t>
      </w:r>
      <w:r>
        <w:t xml:space="preserve"> [Biomarker selection, dose optimization, comparator arm — anything that de-risks the trial design]</w:t>
      </w:r>
    </w:p>
    <w:p/>
    <w:p>
      <w:pPr>
        <w:pStyle w:val="Heading3"/>
      </w:pPr>
      <w:r>
        <w:t>Development Timeline to Exit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Cash Need ($M)</w:t>
            </w:r>
          </w:p>
        </w:tc>
      </w:tr>
      <w:tr>
        <w:tc>
          <w:tcPr>
            <w:tcW w:type="dxa" w:w="2880"/>
          </w:tcPr>
          <w:p>
            <w:r>
              <w:t>PHASE 3 completion</w:t>
            </w:r>
          </w:p>
        </w:tc>
        <w:tc>
          <w:tcPr>
            <w:tcW w:type="dxa" w:w="2880"/>
          </w:tcPr>
          <w:p>
            <w:r>
              <w:t>+1.5 yrs</w:t>
            </w:r>
          </w:p>
        </w:tc>
        <w:tc>
          <w:tcPr>
            <w:tcW w:type="dxa" w:w="2880"/>
          </w:tcPr>
          <w:p>
            <w:r>
              <w:t>$95M</w:t>
            </w:r>
          </w:p>
        </w:tc>
      </w:tr>
      <w:tr>
        <w:tc>
          <w:tcPr>
            <w:tcW w:type="dxa" w:w="2880"/>
          </w:tcPr>
          <w:p>
            <w:r>
              <w:t>NDA BLA completion</w:t>
            </w:r>
          </w:p>
        </w:tc>
        <w:tc>
          <w:tcPr>
            <w:tcW w:type="dxa" w:w="2880"/>
          </w:tcPr>
          <w:p>
            <w:r>
              <w:t>+2.0 yrs</w:t>
            </w:r>
          </w:p>
        </w:tc>
        <w:tc>
          <w:tcPr>
            <w:tcW w:type="dxa" w:w="2880"/>
          </w:tcPr>
          <w:p>
            <w:r>
              <w:t>$20M</w:t>
            </w:r>
          </w:p>
        </w:tc>
      </w:tr>
      <w:tr>
        <w:tc>
          <w:tcPr>
            <w:tcW w:type="dxa" w:w="2880"/>
          </w:tcPr>
          <w:p>
            <w:r>
              <w:t>NDA/BLA Approval</w:t>
            </w:r>
          </w:p>
        </w:tc>
        <w:tc>
          <w:tcPr>
            <w:tcW w:type="dxa" w:w="2880"/>
          </w:tcPr>
          <w:p>
            <w:r>
              <w:t>+2.5 yrs</w:t>
            </w:r>
          </w:p>
        </w:tc>
        <w:tc>
          <w:tcPr>
            <w:tcW w:type="dxa" w:w="2880"/>
          </w:tcPr>
          <w:p>
            <w:r>
              <w:t>$35M</w:t>
            </w:r>
          </w:p>
        </w:tc>
      </w:tr>
      <w:tr>
        <w:tc>
          <w:tcPr>
            <w:tcW w:type="dxa" w:w="2880"/>
          </w:tcPr>
          <w:p>
            <w:r>
              <w:t>**Launch**</w:t>
            </w:r>
          </w:p>
        </w:tc>
        <w:tc>
          <w:tcPr>
            <w:tcW w:type="dxa" w:w="2880"/>
          </w:tcPr>
          <w:p>
            <w:r>
              <w:t>+2.5 yrs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Market Opportunity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Addressable Patients (US)</w:t>
            </w:r>
          </w:p>
        </w:tc>
        <w:tc>
          <w:tcPr>
            <w:tcW w:type="dxa" w:w="1440"/>
          </w:tcPr>
          <w:p>
            <w:r>
              <w:t>220,000/yr</w:t>
            </w:r>
          </w:p>
        </w:tc>
        <w:tc>
          <w:tcPr>
            <w:tcW w:type="dxa" w:w="1440"/>
          </w:tcPr>
          <w:p>
            <w:r>
              <w:t>Net Price / Patient / Year</w:t>
            </w:r>
          </w:p>
        </w:tc>
        <w:tc>
          <w:tcPr>
            <w:tcW w:type="dxa" w:w="1440"/>
          </w:tcPr>
          <w:p>
            <w:r>
              <w:t>$28000</w:t>
            </w:r>
          </w:p>
        </w:tc>
        <w:tc>
          <w:tcPr>
            <w:tcW w:type="dxa" w:w="1440"/>
          </w:tcPr>
          <w:p>
            <w:r>
              <w:t>Peak Market Penetration</w:t>
            </w:r>
          </w:p>
        </w:tc>
        <w:tc>
          <w:tcPr>
            <w:tcW w:type="dxa" w:w="1440"/>
          </w:tcPr>
          <w:p>
            <w:r>
              <w:t>15%</w:t>
            </w:r>
          </w:p>
        </w:tc>
      </w:tr>
      <w:tr>
        <w:tc>
          <w:tcPr>
            <w:tcW w:type="dxa" w:w="1440"/>
          </w:tcPr>
          <w:p>
            <w:r>
              <w:t>Years to Peak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**Peak Net Sales (base)**</w:t>
            </w:r>
          </w:p>
        </w:tc>
        <w:tc>
          <w:tcPr>
            <w:tcW w:type="dxa" w:w="1440"/>
          </w:tcPr>
          <w:p>
            <w:r>
              <w:t>**$739M**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Commercial Horizon</w:t>
            </w:r>
          </w:p>
        </w:tc>
        <w:tc>
          <w:tcPr>
            <w:tcW w:type="dxa" w:w="1440"/>
          </w:tcPr>
          <w:p>
            <w:r>
              <w:t>12 years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Valuation &amp; Return Analysis</w:t>
      </w:r>
    </w:p>
    <w:p/>
    <w:p>
      <w:pPr>
        <w:pStyle w:val="Heading3"/>
      </w:pPr>
      <w:r>
        <w:t>rNPV by Scenario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rNPV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P(Approval)</w:t>
            </w:r>
          </w:p>
        </w:tc>
      </w:tr>
      <w:tr>
        <w:tc>
          <w:tcPr>
            <w:tcW w:type="dxa" w:w="2880"/>
          </w:tcPr>
          <w:p>
            <w:r>
              <w:t>Bull</w:t>
            </w:r>
          </w:p>
        </w:tc>
        <w:tc>
          <w:tcPr>
            <w:tcW w:type="dxa" w:w="2880"/>
          </w:tcPr>
          <w:p>
            <w:r>
              <w:t>$1663M</w:t>
            </w:r>
          </w:p>
        </w:tc>
        <w:tc>
          <w:tcPr>
            <w:tcW w:type="dxa" w:w="2880"/>
          </w:tcPr>
          <w:p>
            <w:r>
              <w:t>68%</w:t>
            </w:r>
          </w:p>
        </w:tc>
      </w:tr>
      <w:tr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$545M</w:t>
            </w:r>
          </w:p>
        </w:tc>
        <w:tc>
          <w:tcPr>
            <w:tcW w:type="dxa" w:w="2880"/>
          </w:tcPr>
          <w:p>
            <w:r>
              <w:t>45%</w:t>
            </w:r>
          </w:p>
        </w:tc>
      </w:tr>
      <w:tr>
        <w:tc>
          <w:tcPr>
            <w:tcW w:type="dxa" w:w="2880"/>
          </w:tcPr>
          <w:p>
            <w:r>
              <w:t>Bear</w:t>
            </w:r>
          </w:p>
        </w:tc>
        <w:tc>
          <w:tcPr>
            <w:tcW w:type="dxa" w:w="2880"/>
          </w:tcPr>
          <w:p>
            <w:r>
              <w:t>$11M</w:t>
            </w:r>
          </w:p>
        </w:tc>
        <w:tc>
          <w:tcPr>
            <w:tcW w:type="dxa" w:w="2880"/>
          </w:tcPr>
          <w:p>
            <w:r>
              <w:t>22%</w:t>
            </w:r>
          </w:p>
        </w:tc>
      </w:tr>
    </w:tbl>
    <w:p/>
    <w:p/>
    <w:p>
      <w:r/>
      <w:r>
        <w:rPr>
          <w:b/>
        </w:rPr>
        <w:t>Monte Carlo mean rNPV:</w:t>
      </w:r>
      <w:r>
        <w:t xml:space="preserve"> $495M (P10: $123M / P90: $980M)</w:t>
      </w:r>
    </w:p>
    <w:p/>
    <w:p>
      <w:pPr>
        <w:pStyle w:val="Heading3"/>
      </w:pPr>
      <w:r>
        <w:t>Comparable Exits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Modality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Stage at Deal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Deal Value</w:t>
            </w:r>
          </w:p>
        </w:tc>
      </w:tr>
      <w:tr>
        <w:tc>
          <w:tcPr>
            <w:tcW w:type="dxa" w:w="1728"/>
          </w:tcPr>
          <w:p>
            <w:r>
              <w:t>[Comp 1]</w:t>
            </w:r>
          </w:p>
        </w:tc>
        <w:tc>
          <w:tcPr>
            <w:tcW w:type="dxa" w:w="1728"/>
          </w:tcPr>
          <w:p>
            <w:r>
              <w:t>[Asset]</w:t>
            </w:r>
          </w:p>
        </w:tc>
        <w:tc>
          <w:tcPr>
            <w:tcW w:type="dxa" w:w="1728"/>
          </w:tcPr>
          <w:p>
            <w:r>
              <w:t>[Modality]</w:t>
            </w:r>
          </w:p>
        </w:tc>
        <w:tc>
          <w:tcPr>
            <w:tcW w:type="dxa" w:w="1728"/>
          </w:tcPr>
          <w:p>
            <w:r>
              <w:t>[Phase X]</w:t>
            </w:r>
          </w:p>
        </w:tc>
        <w:tc>
          <w:tcPr>
            <w:tcW w:type="dxa" w:w="1728"/>
          </w:tcPr>
          <w:p>
            <w:r>
              <w:t>$[xxx]M</w:t>
            </w:r>
          </w:p>
        </w:tc>
      </w:tr>
      <w:tr>
        <w:tc>
          <w:tcPr>
            <w:tcW w:type="dxa" w:w="1728"/>
          </w:tcPr>
          <w:p>
            <w:r>
              <w:t>[Comp 2]</w:t>
            </w:r>
          </w:p>
        </w:tc>
        <w:tc>
          <w:tcPr>
            <w:tcW w:type="dxa" w:w="1728"/>
          </w:tcPr>
          <w:p>
            <w:r>
              <w:t>[Asset]</w:t>
            </w:r>
          </w:p>
        </w:tc>
        <w:tc>
          <w:tcPr>
            <w:tcW w:type="dxa" w:w="1728"/>
          </w:tcPr>
          <w:p>
            <w:r>
              <w:t>[Modality]</w:t>
            </w:r>
          </w:p>
        </w:tc>
        <w:tc>
          <w:tcPr>
            <w:tcW w:type="dxa" w:w="1728"/>
          </w:tcPr>
          <w:p>
            <w:r>
              <w:t>[Phase X]</w:t>
            </w:r>
          </w:p>
        </w:tc>
        <w:tc>
          <w:tcPr>
            <w:tcW w:type="dxa" w:w="1728"/>
          </w:tcPr>
          <w:p>
            <w:r>
              <w:t>$[xxx]M</w:t>
            </w:r>
          </w:p>
        </w:tc>
      </w:tr>
      <w:tr>
        <w:tc>
          <w:tcPr>
            <w:tcW w:type="dxa" w:w="1728"/>
          </w:tcPr>
          <w:p>
            <w:r>
              <w:t>[Comp 3]</w:t>
            </w:r>
          </w:p>
        </w:tc>
        <w:tc>
          <w:tcPr>
            <w:tcW w:type="dxa" w:w="1728"/>
          </w:tcPr>
          <w:p>
            <w:r>
              <w:t>[Asset]</w:t>
            </w:r>
          </w:p>
        </w:tc>
        <w:tc>
          <w:tcPr>
            <w:tcW w:type="dxa" w:w="1728"/>
          </w:tcPr>
          <w:p>
            <w:r>
              <w:t>[Modality]</w:t>
            </w:r>
          </w:p>
        </w:tc>
        <w:tc>
          <w:tcPr>
            <w:tcW w:type="dxa" w:w="1728"/>
          </w:tcPr>
          <w:p>
            <w:r>
              <w:t>[Phase X]</w:t>
            </w:r>
          </w:p>
        </w:tc>
        <w:tc>
          <w:tcPr>
            <w:tcW w:type="dxa" w:w="1728"/>
          </w:tcPr>
          <w:p>
            <w:r>
              <w:t>$[xxx]M</w:t>
            </w:r>
          </w:p>
        </w:tc>
      </w:tr>
    </w:tbl>
    <w:p/>
    <w:p/>
    <w:p>
      <w:r/>
      <w:r>
        <w:rPr>
          <w:b/>
        </w:rPr>
        <w:t>Implied entry multiple at next round:</w:t>
      </w:r>
      <w:r>
        <w:t xml:space="preserve"> [Pre-money / rNPV = xx.x×; should be &lt; 1.0 for a compelling entry]</w:t>
      </w:r>
    </w:p>
    <w:p/>
    <w:p>
      <w:pPr>
        <w:pStyle w:val="Heading3"/>
      </w:pPr>
      <w:r>
        <w:t>Return Analysis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($M)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($M)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IRR</w:t>
            </w:r>
          </w:p>
        </w:tc>
      </w:tr>
      <w:tr>
        <w:tc>
          <w:tcPr>
            <w:tcW w:type="dxa" w:w="1728"/>
          </w:tcPr>
          <w:p>
            <w:r>
              <w:t>Bull</w:t>
            </w:r>
          </w:p>
        </w:tc>
        <w:tc>
          <w:tcPr>
            <w:tcW w:type="dxa" w:w="1728"/>
          </w:tcPr>
          <w:p>
            <w:r>
              <w:t>[Round size]</w:t>
            </w:r>
          </w:p>
        </w:tc>
        <w:tc>
          <w:tcPr>
            <w:tcW w:type="dxa" w:w="1728"/>
          </w:tcPr>
          <w:p>
            <w:r>
              <w:t>$1988M</w:t>
            </w:r>
          </w:p>
        </w:tc>
        <w:tc>
          <w:tcPr>
            <w:tcW w:type="dxa" w:w="1728"/>
          </w:tcPr>
          <w:p>
            <w:r>
              <w:t>[xx×]</w:t>
            </w:r>
          </w:p>
        </w:tc>
        <w:tc>
          <w:tcPr>
            <w:tcW w:type="dxa" w:w="1728"/>
          </w:tcPr>
          <w:p>
            <w:r>
              <w:t>[xx%]</w:t>
            </w:r>
          </w:p>
        </w:tc>
      </w:tr>
      <w:tr>
        <w:tc>
          <w:tcPr>
            <w:tcW w:type="dxa" w:w="1728"/>
          </w:tcPr>
          <w:p>
            <w:r>
              <w:t>Base</w:t>
            </w:r>
          </w:p>
        </w:tc>
        <w:tc>
          <w:tcPr>
            <w:tcW w:type="dxa" w:w="1728"/>
          </w:tcPr>
          <w:p>
            <w:r>
              <w:t>[Round size]</w:t>
            </w:r>
          </w:p>
        </w:tc>
        <w:tc>
          <w:tcPr>
            <w:tcW w:type="dxa" w:w="1728"/>
          </w:tcPr>
          <w:p>
            <w:r>
              <w:t>$870M</w:t>
            </w:r>
          </w:p>
        </w:tc>
        <w:tc>
          <w:tcPr>
            <w:tcW w:type="dxa" w:w="1728"/>
          </w:tcPr>
          <w:p>
            <w:r>
              <w:t>[xx×]</w:t>
            </w:r>
          </w:p>
        </w:tc>
        <w:tc>
          <w:tcPr>
            <w:tcW w:type="dxa" w:w="1728"/>
          </w:tcPr>
          <w:p>
            <w:r>
              <w:t>[xx%]</w:t>
            </w:r>
          </w:p>
        </w:tc>
      </w:tr>
      <w:tr>
        <w:tc>
          <w:tcPr>
            <w:tcW w:type="dxa" w:w="1728"/>
          </w:tcPr>
          <w:p>
            <w:r>
              <w:t>Bear</w:t>
            </w:r>
          </w:p>
        </w:tc>
        <w:tc>
          <w:tcPr>
            <w:tcW w:type="dxa" w:w="1728"/>
          </w:tcPr>
          <w:p>
            <w:r>
              <w:t>[Round size]</w:t>
            </w:r>
          </w:p>
        </w:tc>
        <w:tc>
          <w:tcPr>
            <w:tcW w:type="dxa" w:w="1728"/>
          </w:tcPr>
          <w:p>
            <w:r>
              <w:t>$336M</w:t>
            </w:r>
          </w:p>
        </w:tc>
        <w:tc>
          <w:tcPr>
            <w:tcW w:type="dxa" w:w="1728"/>
          </w:tcPr>
          <w:p>
            <w:r>
              <w:t>[xx×]</w:t>
            </w:r>
          </w:p>
        </w:tc>
        <w:tc>
          <w:tcPr>
            <w:tcW w:type="dxa" w:w="1728"/>
          </w:tcPr>
          <w:p>
            <w:r>
              <w:t>[xx%]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Competitive Landscape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Differentiation vs. ulixacaltamide (PRAX-944)</w:t>
            </w:r>
          </w:p>
        </w:tc>
      </w:tr>
      <w:tr>
        <w:tc>
          <w:tcPr>
            <w:tcW w:type="dxa" w:w="2160"/>
          </w:tcPr>
          <w:p>
            <w:r>
              <w:t>Propranolol (generic) — first-line; 50-60% effective; limited by bradycardia/fatigue</w:t>
            </w:r>
          </w:p>
        </w:tc>
        <w:tc>
          <w:tcPr>
            <w:tcW w:type="dxa" w:w="2160"/>
          </w:tcPr>
          <w:p>
            <w:r>
              <w:t>[Stage]</w:t>
            </w:r>
          </w:p>
        </w:tc>
        <w:tc>
          <w:tcPr>
            <w:tcW w:type="dxa" w:w="2160"/>
          </w:tcPr>
          <w:p>
            <w:r>
              <w:t>[MoA]</w:t>
            </w:r>
          </w:p>
        </w:tc>
        <w:tc>
          <w:tcPr>
            <w:tcW w:type="dxa" w:w="2160"/>
          </w:tcPr>
          <w:p>
            <w:r>
              <w:t>[assessment]</w:t>
            </w:r>
          </w:p>
        </w:tc>
      </w:tr>
      <w:tr>
        <w:tc>
          <w:tcPr>
            <w:tcW w:type="dxa" w:w="2160"/>
          </w:tcPr>
          <w:p>
            <w:r>
              <w:t>Primidone (generic) — first-line; similar efficacy to propranolol; sedation limits use</w:t>
            </w:r>
          </w:p>
        </w:tc>
        <w:tc>
          <w:tcPr>
            <w:tcW w:type="dxa" w:w="2160"/>
          </w:tcPr>
          <w:p>
            <w:r>
              <w:t>[Stage]</w:t>
            </w:r>
          </w:p>
        </w:tc>
        <w:tc>
          <w:tcPr>
            <w:tcW w:type="dxa" w:w="2160"/>
          </w:tcPr>
          <w:p>
            <w:r>
              <w:t>[MoA]</w:t>
            </w:r>
          </w:p>
        </w:tc>
        <w:tc>
          <w:tcPr>
            <w:tcW w:type="dxa" w:w="2160"/>
          </w:tcPr>
          <w:p>
            <w:r>
              <w:t>[assessment]</w:t>
            </w:r>
          </w:p>
        </w:tc>
      </w:tr>
      <w:tr>
        <w:tc>
          <w:tcPr>
            <w:tcW w:type="dxa" w:w="2160"/>
          </w:tcPr>
          <w:p>
            <w:r>
              <w:t>Topiramate (generic) — second-line; cognitive side effects; weight loss</w:t>
            </w:r>
          </w:p>
        </w:tc>
        <w:tc>
          <w:tcPr>
            <w:tcW w:type="dxa" w:w="2160"/>
          </w:tcPr>
          <w:p>
            <w:r>
              <w:t>[Stage]</w:t>
            </w:r>
          </w:p>
        </w:tc>
        <w:tc>
          <w:tcPr>
            <w:tcW w:type="dxa" w:w="2160"/>
          </w:tcPr>
          <w:p>
            <w:r>
              <w:t>[MoA]</w:t>
            </w:r>
          </w:p>
        </w:tc>
        <w:tc>
          <w:tcPr>
            <w:tcW w:type="dxa" w:w="2160"/>
          </w:tcPr>
          <w:p>
            <w:r>
              <w:t>[assessment]</w:t>
            </w:r>
          </w:p>
        </w:tc>
      </w:tr>
      <w:tr>
        <w:tc>
          <w:tcPr>
            <w:tcW w:type="dxa" w:w="2160"/>
          </w:tcPr>
          <w:p>
            <w:r>
              <w:t>Deep Brain Stimulation (DBS) — surgical; for severe/refractory; small addressable pool</w:t>
            </w:r>
          </w:p>
        </w:tc>
        <w:tc>
          <w:tcPr>
            <w:tcW w:type="dxa" w:w="2160"/>
          </w:tcPr>
          <w:p>
            <w:r>
              <w:t>[Stage]</w:t>
            </w:r>
          </w:p>
        </w:tc>
        <w:tc>
          <w:tcPr>
            <w:tcW w:type="dxa" w:w="2160"/>
          </w:tcPr>
          <w:p>
            <w:r>
              <w:t>[MoA]</w:t>
            </w:r>
          </w:p>
        </w:tc>
        <w:tc>
          <w:tcPr>
            <w:tcW w:type="dxa" w:w="2160"/>
          </w:tcPr>
          <w:p>
            <w:r>
              <w:t>[assessment]</w:t>
            </w:r>
          </w:p>
        </w:tc>
      </w:tr>
      <w:tr>
        <w:tc>
          <w:tcPr>
            <w:tcW w:type="dxa" w:w="2160"/>
          </w:tcPr>
          <w:p>
            <w:r>
              <w:t>Focused Ultrasound (Insightec) — non-invasive thalamotomy; one-time procedure; ~$30K</w:t>
            </w:r>
          </w:p>
        </w:tc>
        <w:tc>
          <w:tcPr>
            <w:tcW w:type="dxa" w:w="2160"/>
          </w:tcPr>
          <w:p>
            <w:r>
              <w:t>[Stage]</w:t>
            </w:r>
          </w:p>
        </w:tc>
        <w:tc>
          <w:tcPr>
            <w:tcW w:type="dxa" w:w="2160"/>
          </w:tcPr>
          <w:p>
            <w:r>
              <w:t>[MoA]</w:t>
            </w:r>
          </w:p>
        </w:tc>
        <w:tc>
          <w:tcPr>
            <w:tcW w:type="dxa" w:w="2160"/>
          </w:tcPr>
          <w:p>
            <w:r>
              <w:t>[assessment]</w:t>
            </w:r>
          </w:p>
        </w:tc>
      </w:tr>
    </w:tbl>
    <w:p/>
    <w:p/>
    <w:p>
      <w:r/>
      <w:r>
        <w:rPr>
          <w:b/>
        </w:rPr>
        <w:t>Why ulixacaltamide (PRAX-944) can compete:</w:t>
      </w:r>
      <w:r>
        <w:t xml:space="preserve"> [1. Mechanism precision: first drug targeting thalamocortical oscillatory circuit;</w:t>
      </w:r>
    </w:p>
    <w:p>
      <w:r>
        <w:t>propranolol/primidone are non-specific.</w:t>
      </w:r>
    </w:p>
    <w:p>
      <w:pPr>
        <w:pStyle w:val="ListNumber"/>
      </w:pPr>
      <w:r>
        <w:t>Tolerability: Phase 2 3% discontinuation vs. 15-20% for propranolol/primidone;</w:t>
      </w:r>
    </w:p>
    <w:p>
      <w:r>
        <w:t>no sedation, no sexual dysfunction, no cognitive effects.</w:t>
      </w:r>
    </w:p>
    <w:p>
      <w:pPr>
        <w:pStyle w:val="ListNumber"/>
      </w:pPr>
      <w:r>
        <w:t>Untreated market: 75% of moderate-severe ET patients are untreated; better</w:t>
      </w:r>
    </w:p>
    <w:p>
      <w:r>
        <w:t>tolerability is the key to unlocking this population.</w:t>
      </w:r>
    </w:p>
    <w:p>
      <w:pPr>
        <w:pStyle w:val="ListNumber"/>
      </w:pPr>
      <w:r>
        <w:t>Responder profile: 50% tremor reduction in 65% of patients (Phase 2);</w:t>
      </w:r>
    </w:p>
    <w:p>
      <w:r>
        <w:t>much higher response rate than historical propranolol data.</w:t>
      </w:r>
    </w:p>
    <w:p>
      <w:pPr>
        <w:pStyle w:val="ListNumber"/>
      </w:pPr>
      <w:r>
        <w:t>QD/BID dosing (oral); convenient for elderly population (median ET age: 65+).</w:t>
      </w:r>
    </w:p>
    <w:p>
      <w:r>
        <w:t>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Financing Needs &amp; Milestones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Round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 of Proceeds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Milestone Achieved</w:t>
            </w:r>
          </w:p>
        </w:tc>
      </w:tr>
      <w:tr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t>Now</w:t>
            </w:r>
          </w:p>
        </w:tc>
        <w:tc>
          <w:tcPr>
            <w:tcW w:type="dxa" w:w="1728"/>
          </w:tcPr>
          <w:p>
            <w:r>
              <w:t>$325M on hand</w:t>
            </w:r>
          </w:p>
        </w:tc>
        <w:tc>
          <w:tcPr>
            <w:tcW w:type="dxa" w:w="1728"/>
          </w:tcPr>
          <w:p>
            <w:r>
              <w:t>[Ph2/Ph3 execution]</w:t>
            </w:r>
          </w:p>
        </w:tc>
        <w:tc>
          <w:tcPr>
            <w:tcW w:type="dxa" w:w="1728"/>
          </w:tcPr>
          <w:p>
            <w:r>
              <w:t>[Key milestone]</w:t>
            </w:r>
          </w:p>
        </w:tc>
      </w:tr>
      <w:tr>
        <w:tc>
          <w:tcPr>
            <w:tcW w:type="dxa" w:w="1728"/>
          </w:tcPr>
          <w:p>
            <w:r>
              <w:t>Next (Series X)</w:t>
            </w:r>
          </w:p>
        </w:tc>
        <w:tc>
          <w:tcPr>
            <w:tcW w:type="dxa" w:w="1728"/>
          </w:tcPr>
          <w:p>
            <w:r>
              <w:t>+[xx] months</w:t>
            </w:r>
          </w:p>
        </w:tc>
        <w:tc>
          <w:tcPr>
            <w:tcW w:type="dxa" w:w="1728"/>
          </w:tcPr>
          <w:p>
            <w:r>
              <w:t>$[xxx]M</w:t>
            </w:r>
          </w:p>
        </w:tc>
        <w:tc>
          <w:tcPr>
            <w:tcW w:type="dxa" w:w="1728"/>
          </w:tcPr>
          <w:p>
            <w:r>
              <w:t>[Ph3 / NDA]</w:t>
            </w:r>
          </w:p>
        </w:tc>
        <w:tc>
          <w:tcPr>
            <w:tcW w:type="dxa" w:w="1728"/>
          </w:tcPr>
          <w:p>
            <w:r>
              <w:t>[Phase X data]</w:t>
            </w:r>
          </w:p>
        </w:tc>
      </w:tr>
      <w:tr>
        <w:tc>
          <w:tcPr>
            <w:tcW w:type="dxa" w:w="1728"/>
          </w:tcPr>
          <w:p>
            <w:r>
              <w:t>IPO / Acquisition</w:t>
            </w:r>
          </w:p>
        </w:tc>
        <w:tc>
          <w:tcPr>
            <w:tcW w:type="dxa" w:w="1728"/>
          </w:tcPr>
          <w:p>
            <w:r>
              <w:t>+[xx] years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[Approval / Partnership]</w:t>
            </w:r>
          </w:p>
        </w:tc>
      </w:tr>
    </w:tbl>
    <w:p/>
    <w:p/>
    <w:p>
      <w:r/>
      <w:r>
        <w:rPr>
          <w:b/>
        </w:rPr>
        <w:t>Total capital to approval:</w:t>
      </w:r>
      <w:r>
        <w:t xml:space="preserve"> ~$144M (gross)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Key Risks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Clinical failure</w:t>
            </w:r>
          </w:p>
        </w:tc>
        <w:tc>
          <w:tcPr>
            <w:tcW w:type="dxa" w:w="2160"/>
          </w:tcPr>
          <w:p>
            <w:r>
              <w:t>55%</w:t>
            </w:r>
          </w:p>
        </w:tc>
        <w:tc>
          <w:tcPr>
            <w:tcW w:type="dxa" w:w="2160"/>
          </w:tcPr>
          <w:p>
            <w:r>
              <w:t>Loss of investment</w:t>
            </w:r>
          </w:p>
        </w:tc>
        <w:tc>
          <w:tcPr>
            <w:tcW w:type="dxa" w:w="2160"/>
          </w:tcPr>
          <w:p>
            <w:r>
              <w:t>POS-weighted entry; stage-gate financing</w:t>
            </w:r>
          </w:p>
        </w:tc>
      </w:tr>
      <w:tr>
        <w:tc>
          <w:tcPr>
            <w:tcW w:type="dxa" w:w="2160"/>
          </w:tcPr>
          <w:p>
            <w:r>
              <w:t>Competitive displacement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Value reduction</w:t>
            </w:r>
          </w:p>
        </w:tc>
        <w:tc>
          <w:tcPr>
            <w:tcW w:type="dxa" w:w="2160"/>
          </w:tcPr>
          <w:p>
            <w:r>
              <w:t>[First-mover / differentiation argument]</w:t>
            </w:r>
          </w:p>
        </w:tc>
      </w:tr>
      <w:tr>
        <w:tc>
          <w:tcPr>
            <w:tcW w:type="dxa" w:w="2160"/>
          </w:tcPr>
          <w:p>
            <w:r>
              <w:t>Key person / management risk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Execution</w:t>
            </w:r>
          </w:p>
        </w:tc>
        <w:tc>
          <w:tcPr>
            <w:tcW w:type="dxa" w:w="2160"/>
          </w:tcPr>
          <w:p>
            <w:r>
              <w:t>Strong scientific board; [names]</w:t>
            </w:r>
          </w:p>
        </w:tc>
      </w:tr>
      <w:tr>
        <w:tc>
          <w:tcPr>
            <w:tcW w:type="dxa" w:w="2160"/>
          </w:tcPr>
          <w:p>
            <w:r>
              <w:t>Financing risk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Dilution / bridge</w:t>
            </w:r>
          </w:p>
        </w:tc>
        <w:tc>
          <w:tcPr>
            <w:tcW w:type="dxa" w:w="2160"/>
          </w:tcPr>
          <w:p>
            <w:r>
              <w:t>8 qtrs runway; [syndicate quality]</w:t>
            </w:r>
          </w:p>
        </w:tc>
      </w:tr>
      <w:tr>
        <w:tc>
          <w:tcPr>
            <w:tcW w:type="dxa" w:w="2160"/>
          </w:tcPr>
          <w:p>
            <w:r>
              <w:t>IP risk</w:t>
            </w:r>
          </w:p>
        </w:tc>
        <w:tc>
          <w:tcPr>
            <w:tcW w:type="dxa" w:w="2160"/>
          </w:tcPr>
          <w:p>
            <w:r>
              <w:t>[Low/Med]</w:t>
            </w:r>
          </w:p>
        </w:tc>
        <w:tc>
          <w:tcPr>
            <w:tcW w:type="dxa" w:w="2160"/>
          </w:tcPr>
          <w:p>
            <w:r>
              <w:t>Loss of exclusivity</w:t>
            </w:r>
          </w:p>
        </w:tc>
        <w:tc>
          <w:tcPr>
            <w:tcW w:type="dxa" w:w="2160"/>
          </w:tcPr>
          <w:p>
            <w:r>
              <w:t>[Patent estate description]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9. Recommendation</w:t>
      </w:r>
    </w:p>
    <w:p/>
    <w:p>
      <w:r/>
      <w:r>
        <w:rPr>
          <w:b/>
        </w:rPr>
        <w:t>Verdict:</w:t>
      </w:r>
      <w:r>
        <w:t xml:space="preserve"> [INVEST / PASS / CONDITIONAL — with 2-sentence rationale]</w:t>
      </w:r>
    </w:p>
    <w:p/>
    <w:p>
      <w:r/>
      <w:r>
        <w:rPr>
          <w:b/>
        </w:rPr>
        <w:t>Suggested terms:</w:t>
      </w:r>
      <w:r/>
    </w:p>
    <w:p>
      <w:pPr>
        <w:pStyle w:val="ListBullet"/>
      </w:pPr>
      <w:r>
        <w:t>Round size: $[xxx]M</w:t>
      </w:r>
    </w:p>
    <w:p>
      <w:pPr>
        <w:pStyle w:val="ListBullet"/>
      </w:pPr>
      <w:r>
        <w:t>Pre-money valuation: $[xxx]M</w:t>
      </w:r>
    </w:p>
    <w:p>
      <w:pPr>
        <w:pStyle w:val="ListBullet"/>
      </w:pPr>
      <w:r>
        <w:t>Lead / co-lead: [Firm]</w:t>
      </w:r>
    </w:p>
    <w:p>
      <w:pPr>
        <w:pStyle w:val="ListBullet"/>
      </w:pPr>
      <w:r>
        <w:t>Board seat: [Yes/No]</w:t>
      </w:r>
    </w:p>
    <w:p>
      <w:pPr>
        <w:pStyle w:val="ListBullet"/>
      </w:pPr>
      <w:r>
        <w:t>Key milestones for tranche release: [Milestone-based if warranted]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i/>
        </w:rPr>
        <w:t>This analysis is for informational purposes only and does not constitute investment advice. All projections are model estimates subject to material uncertainty.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ulixacaltamide (PRAX-944) — VC Memo</dc:title>
  <dc:subject/>
  <dc:creator>BVE Analytics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