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title: "RLY-2608 — BD Acquisition Analysis"</w:t>
      </w:r>
    </w:p>
    <w:p>
      <w:r>
        <w:t>subtitle: "PIK3CA H1047R HR+/HER2- mBC (2nd/3rd line, US) | PHASE 2"</w:t>
      </w:r>
    </w:p>
    <w:p>
      <w:r>
        <w:t>date: "2026-03-05"</w:t>
      </w:r>
    </w:p>
    <w:p>
      <w:r>
        <w:t>company: "Relay Therapeutics"</w:t>
      </w:r>
    </w:p>
    <w:p>
      <w:r>
        <w:t>prepared_by: "BVE Analytics"</w:t>
      </w:r>
    </w:p>
    <w:p>
      <w:r>
        <w:t>memo_type: Business Development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RLY-2608: BD Acquisition Analysis</w:t>
      </w:r>
    </w:p>
    <w:p>
      <w:r/>
      <w:r>
        <w:rPr>
          <w:b/>
        </w:rPr>
        <w:t>PIK3CA H1047R HR+/HER2- mBC (2nd/3rd line, US) | PHASE 2 | 2026-03-05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Executive Summary</w:t>
      </w:r>
    </w:p>
    <w:p/>
    <w:p>
      <w:r>
        <w:t xml:space="preserve">RLY-2608 is a small molecule developed by </w:t>
      </w:r>
      <w:r>
        <w:rPr>
          <w:b/>
        </w:rPr>
        <w:t>Relay Therapeutics</w:t>
      </w:r>
      <w:r>
        <w:t xml:space="preserve"> (RLAY) targeting </w:t>
      </w:r>
      <w:r>
        <w:rPr>
          <w:b/>
        </w:rPr>
        <w:t>PIK3CA H1047R HR+/HER2- mBC (2nd/3rd line, US)</w:t>
      </w:r>
      <w:r>
        <w:t xml:space="preserve"> in the </w:t>
      </w:r>
      <w:r>
        <w:rPr>
          <w:b/>
        </w:rPr>
        <w:t>Oncology</w:t>
      </w:r>
      <w:r>
        <w:t xml:space="preserve"> space.</w:t>
      </w:r>
    </w:p>
    <w:p/>
    <w:p>
      <w:r>
        <w:t xml:space="preserve">Our risk-adjusted net present value (rNPV) model estimates </w:t>
      </w:r>
      <w:r>
        <w:rPr>
          <w:b/>
        </w:rPr>
        <w:t>$129M</w:t>
      </w:r>
      <w:r>
        <w:t xml:space="preserve"> for the asset, implying a NAV of </w:t>
      </w:r>
      <w:r>
        <w:rPr>
          <w:b/>
        </w:rPr>
        <w:t>$539M</w:t>
      </w:r>
      <w:r>
        <w:t xml:space="preserve"> ($5.76/share) inclusive of Relay Therapeutics's </w:t>
      </w:r>
      <w:r>
        <w:rPr>
          <w:b/>
        </w:rPr>
        <w:t>$410M net cash</w:t>
      </w:r>
      <w:r>
        <w:t xml:space="preserve"> position.</w:t>
      </w:r>
    </w:p>
    <w:p>
      <w:r>
        <w:t xml:space="preserve">At the current stock price of $5.80, our analysis implies </w:t>
      </w:r>
      <w:r>
        <w:rPr>
          <w:b/>
        </w:rPr>
        <w:t>-1% upside</w:t>
      </w:r>
      <w:r>
        <w:t xml:space="preserve"> to our base-case NAV.</w:t>
      </w:r>
    </w:p>
    <w:p/>
    <w:p>
      <w:r>
        <w:t>Key valuation anchors:</w:t>
      </w:r>
    </w:p>
    <w:p>
      <w:pPr>
        <w:pStyle w:val="ListBullet"/>
      </w:pPr>
      <w:r/>
      <w:r>
        <w:rPr>
          <w:b/>
        </w:rPr>
        <w:t>Probability of approval:</w:t>
      </w:r>
      <w:r>
        <w:t xml:space="preserve"> 34.6%</w:t>
      </w:r>
    </w:p>
    <w:p>
      <w:pPr>
        <w:pStyle w:val="ListBullet"/>
      </w:pPr>
      <w:r/>
      <w:r>
        <w:rPr>
          <w:b/>
        </w:rPr>
        <w:t>Peak sales estimate:</w:t>
      </w:r>
      <w:r>
        <w:t xml:space="preserve"> $539M (base case)</w:t>
      </w:r>
    </w:p>
    <w:p>
      <w:pPr>
        <w:pStyle w:val="ListBullet"/>
      </w:pPr>
      <w:r/>
      <w:r>
        <w:rPr>
          <w:b/>
        </w:rPr>
        <w:t>Years to launch:</w:t>
      </w:r>
      <w:r>
        <w:t xml:space="preserve"> 7.0 years</w:t>
      </w:r>
    </w:p>
    <w:p>
      <w:pPr>
        <w:pStyle w:val="ListBullet"/>
      </w:pPr>
      <w:r/>
      <w:r>
        <w:rPr>
          <w:b/>
        </w:rPr>
        <w:t>Monte Carlo P50:</w:t>
      </w:r>
      <w:r>
        <w:t xml:space="preserve"> $38M | P10–P90: $-60M – $262M</w:t>
      </w:r>
    </w:p>
    <w:p/>
    <w:p>
      <w:r/>
      <w:r>
        <w:rPr>
          <w:b/>
        </w:rPr>
        <w:t>Recommendation:</w:t>
      </w:r>
      <w:r>
        <w:t xml:space="preserve"> [BD team to populate based on strategic fit assessment]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Company &amp; Asset Overview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Relay Therapeutics (RLAY)</w:t>
            </w:r>
          </w:p>
        </w:tc>
      </w:tr>
      <w:tr>
        <w:tc>
          <w:tcPr>
            <w:tcW w:type="dxa" w:w="4320"/>
          </w:tcPr>
          <w:p>
            <w:r>
              <w:t>Asset</w:t>
            </w:r>
          </w:p>
        </w:tc>
        <w:tc>
          <w:tcPr>
            <w:tcW w:type="dxa" w:w="4320"/>
          </w:tcPr>
          <w:p>
            <w:r>
              <w:t>RLY-2608</w:t>
            </w:r>
          </w:p>
        </w:tc>
      </w:tr>
      <w:tr>
        <w:tc>
          <w:tcPr>
            <w:tcW w:type="dxa" w:w="4320"/>
          </w:tcPr>
          <w:p>
            <w:r>
              <w:t>Indication</w:t>
            </w:r>
          </w:p>
        </w:tc>
        <w:tc>
          <w:tcPr>
            <w:tcW w:type="dxa" w:w="4320"/>
          </w:tcPr>
          <w:p>
            <w:r>
              <w:t>PIK3CA H1047R HR+/HER2- mBC (2nd/3rd line, US)</w:t>
            </w:r>
          </w:p>
        </w:tc>
      </w:tr>
      <w:tr>
        <w:tc>
          <w:tcPr>
            <w:tcW w:type="dxa" w:w="4320"/>
          </w:tcPr>
          <w:p>
            <w:r>
              <w:t>Therapeutic Area</w:t>
            </w:r>
          </w:p>
        </w:tc>
        <w:tc>
          <w:tcPr>
            <w:tcW w:type="dxa" w:w="4320"/>
          </w:tcPr>
          <w:p>
            <w:r>
              <w:t>Oncology</w:t>
            </w:r>
          </w:p>
        </w:tc>
      </w:tr>
      <w:tr>
        <w:tc>
          <w:tcPr>
            <w:tcW w:type="dxa" w:w="4320"/>
          </w:tcPr>
          <w:p>
            <w:r>
              <w:t>Modality</w:t>
            </w:r>
          </w:p>
        </w:tc>
        <w:tc>
          <w:tcPr>
            <w:tcW w:type="dxa" w:w="4320"/>
          </w:tcPr>
          <w:p>
            <w:r>
              <w:t>Small Molecule</w:t>
            </w:r>
          </w:p>
        </w:tc>
      </w:tr>
      <w:tr>
        <w:tc>
          <w:tcPr>
            <w:tcW w:type="dxa" w:w="4320"/>
          </w:tcPr>
          <w:p>
            <w:r>
              <w:t>Current Stage</w:t>
            </w:r>
          </w:p>
        </w:tc>
        <w:tc>
          <w:tcPr>
            <w:tcW w:type="dxa" w:w="4320"/>
          </w:tcPr>
          <w:p>
            <w:r>
              <w:t>PHASE 2</w:t>
            </w:r>
          </w:p>
        </w:tc>
      </w:tr>
      <w:tr>
        <w:tc>
          <w:tcPr>
            <w:tcW w:type="dxa" w:w="4320"/>
          </w:tcPr>
          <w:p>
            <w:r>
              <w:t>Net Cash</w:t>
            </w:r>
          </w:p>
        </w:tc>
        <w:tc>
          <w:tcPr>
            <w:tcW w:type="dxa" w:w="4320"/>
          </w:tcPr>
          <w:p>
            <w:r>
              <w:t>$410M</w:t>
            </w:r>
          </w:p>
        </w:tc>
      </w:tr>
      <w:tr>
        <w:tc>
          <w:tcPr>
            <w:tcW w:type="dxa" w:w="4320"/>
          </w:tcPr>
          <w:p>
            <w:r>
              <w:t>Cash Runway</w:t>
            </w:r>
          </w:p>
        </w:tc>
        <w:tc>
          <w:tcPr>
            <w:tcW w:type="dxa" w:w="4320"/>
          </w:tcPr>
          <w:p>
            <w:r>
              <w:t>12 quarters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Clinical Program</w:t>
      </w:r>
    </w:p>
    <w:p/>
    <w:p>
      <w:pPr>
        <w:pStyle w:val="Heading3"/>
      </w:pPr>
      <w:r>
        <w:t>Remaining Development Phases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Duration (yrs)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Cost ($M)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Weighted Cost PV ($M)</w:t>
            </w:r>
          </w:p>
        </w:tc>
      </w:tr>
      <w:tr>
        <w:tc>
          <w:tcPr>
            <w:tcW w:type="dxa" w:w="1728"/>
          </w:tcPr>
          <w:p>
            <w:r>
              <w:t>PHASE 2</w:t>
            </w:r>
          </w:p>
        </w:tc>
        <w:tc>
          <w:tcPr>
            <w:tcW w:type="dxa" w:w="1728"/>
          </w:tcPr>
          <w:p>
            <w:r>
              <w:t>49%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$85</w:t>
            </w:r>
          </w:p>
        </w:tc>
        <w:tc>
          <w:tcPr>
            <w:tcW w:type="dxa" w:w="1728"/>
          </w:tcPr>
          <w:p>
            <w:r>
              <w:t>$77.3</w:t>
            </w:r>
          </w:p>
        </w:tc>
      </w:tr>
      <w:tr>
        <w:tc>
          <w:tcPr>
            <w:tcW w:type="dxa" w:w="1728"/>
          </w:tcPr>
          <w:p>
            <w:r>
              <w:t>PHASE 3</w:t>
            </w:r>
          </w:p>
        </w:tc>
        <w:tc>
          <w:tcPr>
            <w:tcW w:type="dxa" w:w="1728"/>
          </w:tcPr>
          <w:p>
            <w:r>
              <w:t>76%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$280</w:t>
            </w:r>
          </w:p>
        </w:tc>
        <w:tc>
          <w:tcPr>
            <w:tcW w:type="dxa" w:w="1728"/>
          </w:tcPr>
          <w:p>
            <w:r>
              <w:t>$95.3</w:t>
            </w:r>
          </w:p>
        </w:tc>
      </w:tr>
      <w:tr>
        <w:tc>
          <w:tcPr>
            <w:tcW w:type="dxa" w:w="1728"/>
          </w:tcPr>
          <w:p>
            <w:r>
              <w:t>NDA BLA</w:t>
            </w:r>
          </w:p>
        </w:tc>
        <w:tc>
          <w:tcPr>
            <w:tcW w:type="dxa" w:w="1728"/>
          </w:tcPr>
          <w:p>
            <w:r>
              <w:t>94%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$35</w:t>
            </w:r>
          </w:p>
        </w:tc>
        <w:tc>
          <w:tcPr>
            <w:tcW w:type="dxa" w:w="1728"/>
          </w:tcPr>
          <w:p>
            <w:r>
              <w:t>$7.1</w:t>
            </w:r>
          </w:p>
        </w:tc>
      </w:tr>
    </w:tbl>
    <w:p/>
    <w:p/>
    <w:p>
      <w:r/>
      <w:r>
        <w:rPr>
          <w:b/>
        </w:rPr>
        <w:t>Cumulative probability of approval:</w:t>
      </w:r>
      <w:r>
        <w:t xml:space="preserve"> 34.6%</w:t>
      </w:r>
    </w:p>
    <w:p>
      <w:r/>
      <w:r>
        <w:rPr>
          <w:b/>
        </w:rPr>
        <w:t>Estimated launch:</w:t>
      </w:r>
      <w:r>
        <w:t xml:space="preserve"> 7.0 years from today</w:t>
      </w:r>
    </w:p>
    <w:p>
      <w:pPr>
        <w:pStyle w:val="Heading3"/>
      </w:pPr>
      <w:r>
        <w:t>Upcoming Catalysts</w:t>
      </w:r>
    </w:p>
    <w:p/>
    <w:p>
      <w:pPr>
        <w:pStyle w:val="ListBullet"/>
      </w:pPr>
      <w:r/>
      <w:r>
        <w:rPr>
          <w:b/>
        </w:rPr>
        <w:t>Readout</w:t>
      </w:r>
      <w:r>
        <w:t xml:space="preserve"> (H2 2025): Phase 2 expansion cohort ORR data (H1047R + fulvestrant arm) — est. 55% probability positive- </w:t>
      </w:r>
      <w:r>
        <w:rPr>
          <w:b/>
        </w:rPr>
        <w:t>Milestone</w:t>
      </w:r>
      <w:r>
        <w:t xml:space="preserve"> (Q1 2026): Phase 3 initiation announcement (pending Ph2 success) — est. 50% probability positive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Market Opportunity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Estimate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Peak Sales (base)</w:t>
            </w:r>
          </w:p>
        </w:tc>
        <w:tc>
          <w:tcPr>
            <w:tcW w:type="dxa" w:w="2160"/>
          </w:tcPr>
          <w:p>
            <w:r>
              <w:t>$539M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Years to Peak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Patent / Revenue Life</w:t>
            </w:r>
          </w:p>
        </w:tc>
        <w:tc>
          <w:tcPr>
            <w:tcW w:type="dxa" w:w="2160"/>
          </w:tcPr>
          <w:p>
            <w:r>
              <w:t>12 years post-launch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COGS Rate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SG&amp;A (launch / mature)</w:t>
            </w:r>
          </w:p>
        </w:tc>
        <w:tc>
          <w:tcPr>
            <w:tcW w:type="dxa" w:w="2160"/>
          </w:tcPr>
          <w:p>
            <w:r>
              <w:t>40% → 20%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Addressable Patients</w:t>
            </w:r>
          </w:p>
        </w:tc>
        <w:tc>
          <w:tcPr>
            <w:tcW w:type="dxa" w:w="2160"/>
          </w:tcPr>
          <w:p>
            <w:r>
              <w:t>17,000</w:t>
            </w:r>
          </w:p>
        </w:tc>
        <w:tc>
          <w:tcPr>
            <w:tcW w:type="dxa" w:w="2160"/>
          </w:tcPr>
          <w:p>
            <w:r>
              <w:t>Net Price/Patient/Yr</w:t>
            </w:r>
          </w:p>
        </w:tc>
        <w:tc>
          <w:tcPr>
            <w:tcW w:type="dxa" w:w="2160"/>
          </w:tcPr>
          <w:p>
            <w:r>
              <w:t>$180000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Valuation Analysis</w:t>
      </w:r>
    </w:p>
    <w:p/>
    <w:p>
      <w:pPr>
        <w:pStyle w:val="Heading3"/>
      </w:pPr>
      <w:r>
        <w:t>Deterministic rNPV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Gross Revenue PV</w:t>
            </w:r>
          </w:p>
        </w:tc>
        <w:tc>
          <w:tcPr>
            <w:tcW w:type="dxa" w:w="4320"/>
          </w:tcPr>
          <w:p>
            <w:r>
              <w:t>$891M</w:t>
            </w:r>
          </w:p>
        </w:tc>
      </w:tr>
      <w:tr>
        <w:tc>
          <w:tcPr>
            <w:tcW w:type="dxa" w:w="4320"/>
          </w:tcPr>
          <w:p>
            <w:r>
              <w:t>Prob-Adjusted Revenue PV</w:t>
            </w:r>
          </w:p>
        </w:tc>
        <w:tc>
          <w:tcPr>
            <w:tcW w:type="dxa" w:w="4320"/>
          </w:tcPr>
          <w:p>
            <w:r>
              <w:t>$308M</w:t>
            </w:r>
          </w:p>
        </w:tc>
      </w:tr>
      <w:tr>
        <w:tc>
          <w:tcPr>
            <w:tcW w:type="dxa" w:w="4320"/>
          </w:tcPr>
          <w:p>
            <w:r>
              <w:t>Trial Costs PV (weighted)</w:t>
            </w:r>
          </w:p>
        </w:tc>
        <w:tc>
          <w:tcPr>
            <w:tcW w:type="dxa" w:w="4320"/>
          </w:tcPr>
          <w:p>
            <w:r>
              <w:t>($180M)</w:t>
            </w:r>
          </w:p>
        </w:tc>
      </w:tr>
      <w:tr>
        <w:tc>
          <w:tcPr>
            <w:tcW w:type="dxa" w:w="4320"/>
          </w:tcPr>
          <w:p>
            <w:r>
              <w:t>**rNPV**</w:t>
            </w:r>
          </w:p>
        </w:tc>
        <w:tc>
          <w:tcPr>
            <w:tcW w:type="dxa" w:w="4320"/>
          </w:tcPr>
          <w:p>
            <w:r>
              <w:t>**$129M**</w:t>
            </w:r>
          </w:p>
        </w:tc>
      </w:tr>
      <w:tr>
        <w:tc>
          <w:tcPr>
            <w:tcW w:type="dxa" w:w="4320"/>
          </w:tcPr>
          <w:p>
            <w:r>
              <w:t>Net Cash</w:t>
            </w:r>
          </w:p>
        </w:tc>
        <w:tc>
          <w:tcPr>
            <w:tcW w:type="dxa" w:w="4320"/>
          </w:tcPr>
          <w:p>
            <w:r>
              <w:t>$410M</w:t>
            </w:r>
          </w:p>
        </w:tc>
      </w:tr>
      <w:tr>
        <w:tc>
          <w:tcPr>
            <w:tcW w:type="dxa" w:w="4320"/>
          </w:tcPr>
          <w:p>
            <w:r>
              <w:t>**Total NAV**</w:t>
            </w:r>
          </w:p>
        </w:tc>
        <w:tc>
          <w:tcPr>
            <w:tcW w:type="dxa" w:w="4320"/>
          </w:tcPr>
          <w:p>
            <w:r>
              <w:t>**$539M ($5.76/share)**</w:t>
            </w:r>
          </w:p>
        </w:tc>
      </w:tr>
    </w:tbl>
    <w:p/>
    <w:p/>
    <w:p>
      <w:pPr>
        <w:pStyle w:val="Heading3"/>
      </w:pPr>
      <w:r>
        <w:t>Scenario Analysis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rNPV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NAV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NAV/Share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P(Approval)</w:t>
            </w:r>
          </w:p>
        </w:tc>
      </w:tr>
      <w:tr>
        <w:tc>
          <w:tcPr>
            <w:tcW w:type="dxa" w:w="1728"/>
          </w:tcPr>
          <w:p>
            <w:r>
              <w:t>**Bull**</w:t>
            </w:r>
          </w:p>
        </w:tc>
        <w:tc>
          <w:tcPr>
            <w:tcW w:type="dxa" w:w="1728"/>
          </w:tcPr>
          <w:p>
            <w:r>
              <w:t>$858M</w:t>
            </w:r>
          </w:p>
        </w:tc>
        <w:tc>
          <w:tcPr>
            <w:tcW w:type="dxa" w:w="1728"/>
          </w:tcPr>
          <w:p>
            <w:r>
              <w:t>$1268M</w:t>
            </w:r>
          </w:p>
        </w:tc>
        <w:tc>
          <w:tcPr>
            <w:tcW w:type="dxa" w:w="1728"/>
          </w:tcPr>
          <w:p>
            <w:r>
              <w:t>$13.56</w:t>
            </w:r>
          </w:p>
        </w:tc>
        <w:tc>
          <w:tcPr>
            <w:tcW w:type="dxa" w:w="1728"/>
          </w:tcPr>
          <w:p>
            <w:r>
              <w:t>62%</w:t>
            </w:r>
          </w:p>
        </w:tc>
      </w:tr>
      <w:tr>
        <w:tc>
          <w:tcPr>
            <w:tcW w:type="dxa" w:w="1728"/>
          </w:tcPr>
          <w:p>
            <w:r>
              <w:t>**Base**</w:t>
            </w:r>
          </w:p>
        </w:tc>
        <w:tc>
          <w:tcPr>
            <w:tcW w:type="dxa" w:w="1728"/>
          </w:tcPr>
          <w:p>
            <w:r>
              <w:t>$129M</w:t>
            </w:r>
          </w:p>
        </w:tc>
        <w:tc>
          <w:tcPr>
            <w:tcW w:type="dxa" w:w="1728"/>
          </w:tcPr>
          <w:p>
            <w:r>
              <w:t>$539M</w:t>
            </w:r>
          </w:p>
        </w:tc>
        <w:tc>
          <w:tcPr>
            <w:tcW w:type="dxa" w:w="1728"/>
          </w:tcPr>
          <w:p>
            <w:r>
              <w:t>$5.76</w:t>
            </w:r>
          </w:p>
        </w:tc>
        <w:tc>
          <w:tcPr>
            <w:tcW w:type="dxa" w:w="1728"/>
          </w:tcPr>
          <w:p>
            <w:r>
              <w:t>35%</w:t>
            </w:r>
          </w:p>
        </w:tc>
      </w:tr>
      <w:tr>
        <w:tc>
          <w:tcPr>
            <w:tcW w:type="dxa" w:w="1728"/>
          </w:tcPr>
          <w:p>
            <w:r>
              <w:t>**Bear**</w:t>
            </w:r>
          </w:p>
        </w:tc>
        <w:tc>
          <w:tcPr>
            <w:tcW w:type="dxa" w:w="1728"/>
          </w:tcPr>
          <w:p>
            <w:r>
              <w:t>$-120M</w:t>
            </w:r>
          </w:p>
        </w:tc>
        <w:tc>
          <w:tcPr>
            <w:tcW w:type="dxa" w:w="1728"/>
          </w:tcPr>
          <w:p>
            <w:r>
              <w:t>$290M</w:t>
            </w:r>
          </w:p>
        </w:tc>
        <w:tc>
          <w:tcPr>
            <w:tcW w:type="dxa" w:w="1728"/>
          </w:tcPr>
          <w:p>
            <w:r>
              <w:t>$3.11</w:t>
            </w:r>
          </w:p>
        </w:tc>
        <w:tc>
          <w:tcPr>
            <w:tcW w:type="dxa" w:w="1728"/>
          </w:tcPr>
          <w:p>
            <w:r>
              <w:t>12%</w:t>
            </w:r>
          </w:p>
        </w:tc>
      </w:tr>
    </w:tbl>
    <w:p/>
    <w:p/>
    <w:p>
      <w:pPr>
        <w:pStyle w:val="Heading3"/>
      </w:pPr>
      <w:r>
        <w:t>Monte Carlo Distribution (10000 simulations)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Percentile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rNPV</w:t>
            </w:r>
          </w:p>
        </w:tc>
      </w:tr>
      <w:tr>
        <w:tc>
          <w:tcPr>
            <w:tcW w:type="dxa" w:w="4320"/>
          </w:tcPr>
          <w:p>
            <w:r>
              <w:t>P5</w:t>
            </w:r>
          </w:p>
        </w:tc>
        <w:tc>
          <w:tcPr>
            <w:tcW w:type="dxa" w:w="4320"/>
          </w:tcPr>
          <w:p>
            <w:r>
              <w:t>$-77M</w:t>
            </w:r>
          </w:p>
        </w:tc>
      </w:tr>
      <w:tr>
        <w:tc>
          <w:tcPr>
            <w:tcW w:type="dxa" w:w="4320"/>
          </w:tcPr>
          <w:p>
            <w:r>
              <w:t>P25</w:t>
            </w:r>
          </w:p>
        </w:tc>
        <w:tc>
          <w:tcPr>
            <w:tcW w:type="dxa" w:w="4320"/>
          </w:tcPr>
          <w:p>
            <w:r>
              <w:t>$-22M</w:t>
            </w:r>
          </w:p>
        </w:tc>
      </w:tr>
      <w:tr>
        <w:tc>
          <w:tcPr>
            <w:tcW w:type="dxa" w:w="4320"/>
          </w:tcPr>
          <w:p>
            <w:r>
              <w:t>**P50 (median)**</w:t>
            </w:r>
          </w:p>
        </w:tc>
        <w:tc>
          <w:tcPr>
            <w:tcW w:type="dxa" w:w="4320"/>
          </w:tcPr>
          <w:p>
            <w:r>
              <w:t>**$38M**</w:t>
            </w:r>
          </w:p>
        </w:tc>
      </w:tr>
      <w:tr>
        <w:tc>
          <w:tcPr>
            <w:tcW w:type="dxa" w:w="4320"/>
          </w:tcPr>
          <w:p>
            <w:r>
              <w:t>P75</w:t>
            </w:r>
          </w:p>
        </w:tc>
        <w:tc>
          <w:tcPr>
            <w:tcW w:type="dxa" w:w="4320"/>
          </w:tcPr>
          <w:p>
            <w:r>
              <w:t>$134M</w:t>
            </w:r>
          </w:p>
        </w:tc>
      </w:tr>
      <w:tr>
        <w:tc>
          <w:tcPr>
            <w:tcW w:type="dxa" w:w="4320"/>
          </w:tcPr>
          <w:p>
            <w:r>
              <w:t>P95</w:t>
            </w:r>
          </w:p>
        </w:tc>
        <w:tc>
          <w:tcPr>
            <w:tcW w:type="dxa" w:w="4320"/>
          </w:tcPr>
          <w:p>
            <w:r>
              <w:t>$365M</w:t>
            </w:r>
          </w:p>
        </w:tc>
      </w:tr>
      <w:tr>
        <w:tc>
          <w:tcPr>
            <w:tcW w:type="dxa" w:w="4320"/>
          </w:tcPr>
          <w:p>
            <w:r>
              <w:t>**Mean**</w:t>
            </w:r>
          </w:p>
        </w:tc>
        <w:tc>
          <w:tcPr>
            <w:tcW w:type="dxa" w:w="4320"/>
          </w:tcPr>
          <w:p>
            <w:r>
              <w:t>**$77M**</w:t>
            </w:r>
          </w:p>
        </w:tc>
      </w:tr>
    </w:tbl>
    <w:p/>
    <w:p/>
    <w:p>
      <w:r>
        <w:t xml:space="preserve">Probability of positive value: </w:t>
      </w:r>
      <w:r>
        <w:rPr>
          <w:b/>
        </w:rPr>
        <w:t>64.9%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Key Sensitivities (Tornado)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Driver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Bear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Bull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Swing</w:t>
            </w:r>
          </w:p>
        </w:tc>
      </w:tr>
      <w:tr>
        <w:tc>
          <w:tcPr>
            <w:tcW w:type="dxa" w:w="1728"/>
          </w:tcPr>
          <w:p>
            <w:r>
              <w:t>Phase POS (±20%)</w:t>
            </w:r>
          </w:p>
        </w:tc>
        <w:tc>
          <w:tcPr>
            <w:tcW w:type="dxa" w:w="1728"/>
          </w:tcPr>
          <w:p>
            <w:r>
              <w:t>$-0M</w:t>
            </w:r>
          </w:p>
        </w:tc>
        <w:tc>
          <w:tcPr>
            <w:tcW w:type="dxa" w:w="1728"/>
          </w:tcPr>
          <w:p>
            <w:r>
              <w:t>$129M</w:t>
            </w:r>
          </w:p>
        </w:tc>
        <w:tc>
          <w:tcPr>
            <w:tcW w:type="dxa" w:w="1728"/>
          </w:tcPr>
          <w:p>
            <w:r>
              <w:t>$267M</w:t>
            </w:r>
          </w:p>
        </w:tc>
        <w:tc>
          <w:tcPr>
            <w:tcW w:type="dxa" w:w="1728"/>
          </w:tcPr>
          <w:p>
            <w:r>
              <w:t>$268M</w:t>
            </w:r>
          </w:p>
        </w:tc>
      </w:tr>
      <w:tr>
        <w:tc>
          <w:tcPr>
            <w:tcW w:type="dxa" w:w="1728"/>
          </w:tcPr>
          <w:p>
            <w:r>
              <w:t>Peak Sales (±30%)</w:t>
            </w:r>
          </w:p>
        </w:tc>
        <w:tc>
          <w:tcPr>
            <w:tcW w:type="dxa" w:w="1728"/>
          </w:tcPr>
          <w:p>
            <w:r>
              <w:t>$36M</w:t>
            </w:r>
          </w:p>
        </w:tc>
        <w:tc>
          <w:tcPr>
            <w:tcW w:type="dxa" w:w="1728"/>
          </w:tcPr>
          <w:p>
            <w:r>
              <w:t>$129M</w:t>
            </w:r>
          </w:p>
        </w:tc>
        <w:tc>
          <w:tcPr>
            <w:tcW w:type="dxa" w:w="1728"/>
          </w:tcPr>
          <w:p>
            <w:r>
              <w:t>$221M</w:t>
            </w:r>
          </w:p>
        </w:tc>
        <w:tc>
          <w:tcPr>
            <w:tcW w:type="dxa" w:w="1728"/>
          </w:tcPr>
          <w:p>
            <w:r>
              <w:t>$185M</w:t>
            </w:r>
          </w:p>
        </w:tc>
      </w:tr>
      <w:tr>
        <w:tc>
          <w:tcPr>
            <w:tcW w:type="dxa" w:w="1728"/>
          </w:tcPr>
          <w:p>
            <w:r>
              <w:t>Peak Penetration (±30%)</w:t>
            </w:r>
          </w:p>
        </w:tc>
        <w:tc>
          <w:tcPr>
            <w:tcW w:type="dxa" w:w="1728"/>
          </w:tcPr>
          <w:p>
            <w:r>
              <w:t>$36M</w:t>
            </w:r>
          </w:p>
        </w:tc>
        <w:tc>
          <w:tcPr>
            <w:tcW w:type="dxa" w:w="1728"/>
          </w:tcPr>
          <w:p>
            <w:r>
              <w:t>$129M</w:t>
            </w:r>
          </w:p>
        </w:tc>
        <w:tc>
          <w:tcPr>
            <w:tcW w:type="dxa" w:w="1728"/>
          </w:tcPr>
          <w:p>
            <w:r>
              <w:t>$221M</w:t>
            </w:r>
          </w:p>
        </w:tc>
        <w:tc>
          <w:tcPr>
            <w:tcW w:type="dxa" w:w="1728"/>
          </w:tcPr>
          <w:p>
            <w:r>
              <w:t>$185M</w:t>
            </w:r>
          </w:p>
        </w:tc>
      </w:tr>
      <w:tr>
        <w:tc>
          <w:tcPr>
            <w:tcW w:type="dxa" w:w="1728"/>
          </w:tcPr>
          <w:p>
            <w:r>
              <w:t>Discount Rate (±2pp)</w:t>
            </w:r>
          </w:p>
        </w:tc>
        <w:tc>
          <w:tcPr>
            <w:tcW w:type="dxa" w:w="1728"/>
          </w:tcPr>
          <w:p>
            <w:r>
              <w:t>$70M</w:t>
            </w:r>
          </w:p>
        </w:tc>
        <w:tc>
          <w:tcPr>
            <w:tcW w:type="dxa" w:w="1728"/>
          </w:tcPr>
          <w:p>
            <w:r>
              <w:t>$129M</w:t>
            </w:r>
          </w:p>
        </w:tc>
        <w:tc>
          <w:tcPr>
            <w:tcW w:type="dxa" w:w="1728"/>
          </w:tcPr>
          <w:p>
            <w:r>
              <w:t>$208M</w:t>
            </w:r>
          </w:p>
        </w:tc>
        <w:tc>
          <w:tcPr>
            <w:tcW w:type="dxa" w:w="1728"/>
          </w:tcPr>
          <w:p>
            <w:r>
              <w:t>$138M</w:t>
            </w:r>
          </w:p>
        </w:tc>
      </w:tr>
      <w:tr>
        <w:tc>
          <w:tcPr>
            <w:tcW w:type="dxa" w:w="1728"/>
          </w:tcPr>
          <w:p>
            <w:r>
              <w:t>Patent Life (±3 yrs)</w:t>
            </w:r>
          </w:p>
        </w:tc>
        <w:tc>
          <w:tcPr>
            <w:tcW w:type="dxa" w:w="1728"/>
          </w:tcPr>
          <w:p>
            <w:r>
              <w:t>$63M</w:t>
            </w:r>
          </w:p>
        </w:tc>
        <w:tc>
          <w:tcPr>
            <w:tcW w:type="dxa" w:w="1728"/>
          </w:tcPr>
          <w:p>
            <w:r>
              <w:t>$129M</w:t>
            </w:r>
          </w:p>
        </w:tc>
        <w:tc>
          <w:tcPr>
            <w:tcW w:type="dxa" w:w="1728"/>
          </w:tcPr>
          <w:p>
            <w:r>
              <w:t>$178M</w:t>
            </w:r>
          </w:p>
        </w:tc>
        <w:tc>
          <w:tcPr>
            <w:tcW w:type="dxa" w:w="1728"/>
          </w:tcPr>
          <w:p>
            <w:r>
              <w:t>$115M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Decision Framing</w:t>
      </w:r>
    </w:p>
    <w:p/>
    <w:p>
      <w:pPr>
        <w:pStyle w:val="Heading3"/>
      </w:pPr>
      <w:r>
        <w:t>Variant Perception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Market Consensus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Our 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Edge</w:t>
            </w:r>
          </w:p>
        </w:tc>
      </w:tr>
      <w:tr>
        <w:tc>
          <w:tcPr>
            <w:tcW w:type="dxa" w:w="2160"/>
          </w:tcPr>
          <w:p>
            <w:r>
              <w:t>P(Approval)</w:t>
            </w:r>
          </w:p>
        </w:tc>
        <w:tc>
          <w:tcPr>
            <w:tcW w:type="dxa" w:w="2160"/>
          </w:tcPr>
          <w:p>
            <w:r>
              <w:t>~20%</w:t>
            </w:r>
          </w:p>
        </w:tc>
        <w:tc>
          <w:tcPr>
            <w:tcW w:type="dxa" w:w="2160"/>
          </w:tcPr>
          <w:p>
            <w:r>
              <w:t>34.6%</w:t>
            </w:r>
          </w:p>
        </w:tc>
        <w:tc>
          <w:tcPr>
            <w:tcW w:type="dxa" w:w="2160"/>
          </w:tcPr>
          <w:p>
            <w:r>
              <w:t>+15pp</w:t>
            </w:r>
          </w:p>
        </w:tc>
      </w:tr>
      <w:tr>
        <w:tc>
          <w:tcPr>
            <w:tcW w:type="dxa" w:w="2160"/>
          </w:tcPr>
          <w:p>
            <w:r>
              <w:t>Peak Sales</w:t>
            </w:r>
          </w:p>
        </w:tc>
        <w:tc>
          <w:tcPr>
            <w:tcW w:type="dxa" w:w="2160"/>
          </w:tcPr>
          <w:p>
            <w:r>
              <w:t>$350M</w:t>
            </w:r>
          </w:p>
        </w:tc>
        <w:tc>
          <w:tcPr>
            <w:tcW w:type="dxa" w:w="2160"/>
          </w:tcPr>
          <w:p>
            <w:r>
              <w:t>$539M</w:t>
            </w:r>
          </w:p>
        </w:tc>
        <w:tc>
          <w:tcPr>
            <w:tcW w:type="dxa" w:w="2160"/>
          </w:tcPr>
          <w:p>
            <w:r>
              <w:t>$+189M</w:t>
            </w:r>
          </w:p>
        </w:tc>
      </w:tr>
      <w:tr>
        <w:tc>
          <w:tcPr>
            <w:tcW w:type="dxa" w:w="2160"/>
          </w:tcPr>
          <w:p>
            <w:r>
              <w:t>NAV/Share</w:t>
            </w:r>
          </w:p>
        </w:tc>
        <w:tc>
          <w:tcPr>
            <w:tcW w:type="dxa" w:w="2160"/>
          </w:tcPr>
          <w:p>
            <w:r>
              <w:t>$5.80 (current)</w:t>
            </w:r>
          </w:p>
        </w:tc>
        <w:tc>
          <w:tcPr>
            <w:tcW w:type="dxa" w:w="2160"/>
          </w:tcPr>
          <w:p>
            <w:r>
              <w:t>$5.76</w:t>
            </w:r>
          </w:p>
        </w:tc>
        <w:tc>
          <w:tcPr>
            <w:tcW w:type="dxa" w:w="2160"/>
          </w:tcPr>
          <w:p>
            <w:r>
              <w:t>-1%</w:t>
            </w:r>
          </w:p>
        </w:tc>
      </w:tr>
    </w:tbl>
    <w:p/>
    <w:p>
      <w:r/>
      <w:r>
        <w:rPr>
          <w:b/>
        </w:rPr>
        <w:t>Market-implied P(approval):</w:t>
      </w:r>
      <w:r>
        <w:t xml:space="preserve"> 35.0% (back-solved from market cap – net cash)</w:t>
      </w:r>
    </w:p>
    <w:p>
      <w:r/>
      <w:r>
        <w:rPr>
          <w:b/>
        </w:rPr>
        <w:t>Model P(approval):</w:t>
      </w:r>
      <w:r>
        <w:t xml:space="preserve"> 34.6%</w:t>
      </w:r>
    </w:p>
    <w:p/>
    <w:p>
      <w:r/>
      <w:r>
        <w:rPr>
          <w:b/>
        </w:rPr>
        <w:t>Our edge:</w:t>
      </w:r>
      <w:r>
        <w:t xml:space="preserve"> The market underestimates three factors: (1) inavolisib's FDA approval de-risks the regulatory path for PI3Ka-selective agents — the class is now validated; (2) RLY-2608's 300x H1047R selectivity should enable continuous dosing and CDK4/6 combinations that inavolisib cannot access; (3) H1047R accounts for ~40% of PIK3CA mutations but is underserved by current options — RLY-2608 could become class leader in this subgroup.</w:t>
      </w:r>
    </w:p>
    <w:p/>
    <w:p/>
    <w:p>
      <w:pPr>
        <w:pStyle w:val="Heading3"/>
      </w:pPr>
      <w:r>
        <w:t>Kill Criteria</w:t>
      </w:r>
    </w:p>
    <w:p>
      <w:pPr>
        <w:pStyle w:val="ListBullet"/>
      </w:pPr>
      <w:r>
        <w:t>Phase 2 confirmed ORR &lt; 30% in H1047R + fulvestrant cohort (inavolisib showed ~36% ORR in all-comers; &lt;30% removes differentiation claim)</w:t>
      </w:r>
    </w:p>
    <w:p>
      <w:pPr>
        <w:pStyle w:val="ListBullet"/>
      </w:pPr>
      <w:r>
        <w:t>Grade 3+ hyperglycemia rate &gt; 20% (would eliminate the tolerability advantage vs. alpelisib that underlies the entire thesis)</w:t>
      </w:r>
    </w:p>
    <w:p>
      <w:pPr>
        <w:pStyle w:val="ListBullet"/>
      </w:pPr>
      <w:r>
        <w:t>FDA requires OS endpoint (not ORR/PFS) for approval in 2nd-line mBC (raises bar substantially)</w:t>
      </w:r>
    </w:p>
    <w:p>
      <w:pPr>
        <w:pStyle w:val="ListBullet"/>
      </w:pPr>
      <w:r>
        <w:t>Head-to-head Phase 3 vs. inavolisib fails to show superiority — regulatory approval becomes uncertain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Key Risks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880"/>
          </w:tcPr>
          <w:p>
            <w:r>
              <w:t>**CMC / Manufacturing**</w:t>
            </w:r>
          </w:p>
        </w:tc>
        <w:tc>
          <w:tcPr>
            <w:tcW w:type="dxa" w:w="2880"/>
          </w:tcPr>
          <w:p>
            <w:r>
              <w:t>Covalent inhibitor synthesis is complex; commercial-scale manufacturing not yet demonstrated. Supply chain risk could delay launch or limit distribution in year 1-2 post-approval.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**Endpoint / Regulatory**</w:t>
            </w:r>
          </w:p>
        </w:tc>
        <w:tc>
          <w:tcPr>
            <w:tcW w:type="dxa" w:w="2880"/>
          </w:tcPr>
          <w:p>
            <w:r>
              <w:t>FDA trend toward requiring randomized trials for accelerated approval may require RLY-2608 to run a confirmatory arm earlier than expected. Active comparator (inavolisib) design for Phase 3 is a high bar — superiority vs. an approved agent is harder than placebo-controlled.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**Payer / Pricing**</w:t>
            </w:r>
          </w:p>
        </w:tc>
        <w:tc>
          <w:tcPr>
            <w:tcW w:type="dxa" w:w="2880"/>
          </w:tcPr>
          <w:p>
            <w:r>
              <w:t>IRA drug price negotiation eligibility in year 9 post-launch could compress net pricing earlier than modeled. Specialty oncology G2N has been rising (SSR Health 2024: average 32-35% in oncology). Inavolisib biosimilar entry post-exclusivity could also cap pricing.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**Competition**</w:t>
            </w:r>
          </w:p>
        </w:tc>
        <w:tc>
          <w:tcPr>
            <w:tcW w:type="dxa" w:w="2880"/>
          </w:tcPr>
          <w:p>
            <w:r>
              <w:t>Multiple PI3Ka-selective programs in development (Arvinas PROTAC, Revolution Medicines). If a cleaner (degrader vs. inhibitor) profile reaches Phase 2 readout simultaneously, it could reset the competitive bar. Inavolisib label expansion to earlier lines would also reduce RLY-2608 TAM.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**IP / Patent**</w:t>
            </w:r>
          </w:p>
        </w:tc>
        <w:tc>
          <w:tcPr>
            <w:tcW w:type="dxa" w:w="2880"/>
          </w:tcPr>
          <w:p>
            <w:r>
              <w:t>Composition-of-matter patent for the covalent binding mode should be strong, but validity depends on scope vs. inavolisib and other PI3Ka inhibitors. Patent landscape not independently verified; 12-year exclusivity assumption should be confirmed with IP counsel.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Clinical failure</w:t>
            </w:r>
          </w:p>
        </w:tc>
        <w:tc>
          <w:tcPr>
            <w:tcW w:type="dxa" w:w="2880"/>
          </w:tcPr>
          <w:p>
            <w:r>
              <w:t>P(failure) = 65%; applies to each remaining phase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Cash runway</w:t>
            </w:r>
          </w:p>
        </w:tc>
        <w:tc>
          <w:tcPr>
            <w:tcW w:type="dxa" w:w="2880"/>
          </w:tcPr>
          <w:p>
            <w:r>
              <w:t>12 quarters at current burn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Deal Considerations</w:t>
      </w:r>
    </w:p>
    <w:p/>
    <w:p>
      <w:r/>
      <w:r>
        <w:rPr>
          <w:i/>
        </w:rPr>
        <w:t>[BD team to populate: deal structure, license vs. acquisition, milestones, royalties, manufacturing/CMC considerations, strategic synergies, competing bids]</w:t>
      </w:r>
      <w:r/>
    </w:p>
    <w:p/>
    <w:p>
      <w:r/>
      <w:r>
        <w:rPr>
          <w:b/>
        </w:rPr>
        <w:t>Suggested deal framework:</w:t>
      </w:r>
      <w:r/>
    </w:p>
    <w:p>
      <w:pPr>
        <w:pStyle w:val="ListBullet"/>
      </w:pPr>
      <w:r>
        <w:t>Structure: [License-in / Co-development / Full acquisition]</w:t>
      </w:r>
    </w:p>
    <w:p>
      <w:pPr>
        <w:pStyle w:val="ListBullet"/>
      </w:pPr>
      <w:r>
        <w:t>Target upfront: [To be determined based on competitive tension and strategic priority]</w:t>
      </w:r>
    </w:p>
    <w:p>
      <w:pPr>
        <w:pStyle w:val="ListBullet"/>
      </w:pPr>
      <w:r>
        <w:t>Milestone structure: Phase 3 initiation / NDA submission / Approval / Sales milestones</w:t>
      </w:r>
    </w:p>
    <w:p>
      <w:pPr>
        <w:pStyle w:val="ListBullet"/>
      </w:pPr>
      <w:r>
        <w:t>Royalty tiers: [10–15% net sales, depending on geography split]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Appendix A: Key Assumptions</w:t>
      </w:r>
    </w:p>
    <w:p/>
    <w:p>
      <w:r>
        <w:t>Every assumption that materially affects rNPV is listed below.</w:t>
      </w:r>
    </w:p>
    <w:p>
      <w:pPr>
        <w:pStyle w:val="ListBullet"/>
      </w:pPr>
      <w:r/>
      <w:r>
        <w:rPr>
          <w:b/>
        </w:rPr>
        <w:t>Sensitivity</w:t>
      </w:r>
      <w:r>
        <w:t xml:space="preserve"> = impact on rNPV if assumption is wrong by ±1σ</w:t>
      </w:r>
    </w:p>
    <w:p>
      <w:pPr>
        <w:pStyle w:val="ListBullet"/>
      </w:pPr>
      <w:r/>
      <w:r>
        <w:rPr>
          <w:b/>
        </w:rPr>
        <w:t>Confidence</w:t>
      </w:r>
      <w:r>
        <w:t xml:space="preserve"> = analyst's confidence in the input value itself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rNPV Sensitivity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WACC (Discount Rate)</w:t>
            </w:r>
          </w:p>
        </w:tc>
        <w:tc>
          <w:tcPr>
            <w:tcW w:type="dxa" w:w="1234"/>
          </w:tcPr>
          <w:p>
            <w:r>
              <w:t>10%</w:t>
            </w:r>
          </w:p>
        </w:tc>
        <w:tc>
          <w:tcPr>
            <w:tcW w:type="dxa" w:w="1234"/>
          </w:tcPr>
          <w:p>
            <w:r>
              <w:t>% per year</w:t>
            </w:r>
          </w:p>
        </w:tc>
        <w:tc>
          <w:tcPr>
            <w:tcW w:type="dxa" w:w="1234"/>
          </w:tcPr>
          <w:p>
            <w:r>
              <w:t>Damodaran biotech sector WACC; standard industry conven…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Commercial Horizon</w:t>
            </w:r>
          </w:p>
        </w:tc>
        <w:tc>
          <w:tcPr>
            <w:tcW w:type="dxa" w:w="1234"/>
          </w:tcPr>
          <w:p>
            <w:r>
              <w:t>12 years post-launch</w:t>
            </w:r>
          </w:p>
        </w:tc>
        <w:tc>
          <w:tcPr>
            <w:tcW w:type="dxa" w:w="1234"/>
          </w:tcPr>
          <w:p>
            <w:r>
              <w:t>years</w:t>
            </w:r>
          </w:p>
        </w:tc>
        <w:tc>
          <w:tcPr>
            <w:tcW w:type="dxa" w:w="1234"/>
          </w:tcPr>
          <w:p>
            <w:r>
              <w:t>Estimated based on typical composition-of-matter patent…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Net Economic Ownership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%</w:t>
            </w:r>
          </w:p>
        </w:tc>
        <w:tc>
          <w:tcPr>
            <w:tcW w:type="dxa" w:w="1234"/>
          </w:tcPr>
          <w:p>
            <w:r>
              <w:t>Implied by royalty_rate in config; adjust for any licen…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Addressable Patients (annual, US)</w:t>
            </w:r>
          </w:p>
        </w:tc>
        <w:tc>
          <w:tcPr>
            <w:tcW w:type="dxa" w:w="1234"/>
          </w:tcPr>
          <w:p>
            <w:r>
              <w:t>17,000</w:t>
            </w:r>
          </w:p>
        </w:tc>
        <w:tc>
          <w:tcPr>
            <w:tcW w:type="dxa" w:w="1234"/>
          </w:tcPr>
          <w:p>
            <w:r>
              <w:t>patients/year</w:t>
            </w:r>
          </w:p>
        </w:tc>
        <w:tc>
          <w:tcPr>
            <w:tcW w:type="dxa" w:w="1234"/>
          </w:tcPr>
          <w:p>
            <w:r>
              <w:t>[Public epidemiology data (SEER, IQVIA, compan…](https://seer.cancer.gov/statfacts/html/breast.html)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Net Price per Patient / Year (US)</w:t>
            </w:r>
          </w:p>
        </w:tc>
        <w:tc>
          <w:tcPr>
            <w:tcW w:type="dxa" w:w="1234"/>
          </w:tcPr>
          <w:p>
            <w:r>
              <w:t>$180,000</w:t>
            </w:r>
          </w:p>
        </w:tc>
        <w:tc>
          <w:tcPr>
            <w:tcW w:type="dxa" w:w="1234"/>
          </w:tcPr>
          <w:p>
            <w:r>
              <w:t>USD/patient/year</w:t>
            </w:r>
          </w:p>
        </w:tc>
        <w:tc>
          <w:tcPr>
            <w:tcW w:type="dxa" w:w="1234"/>
          </w:tcPr>
          <w:p>
            <w:r>
              <w:t>[Benchmarked against approved comps; WAC × (1 …](https://www.prnewswire.com/news-releases/fda-approves-itovebi-inavolisib-for-adults-with-pik3ca-mutated-hr-her2--advanced-breast-cancer-302281977.html)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Gross-to-Net Discount</w:t>
            </w:r>
          </w:p>
        </w:tc>
        <w:tc>
          <w:tcPr>
            <w:tcW w:type="dxa" w:w="1234"/>
          </w:tcPr>
          <w:p>
            <w:r>
              <w:t>45%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SSR Health / CMS data benchmarks for small molecule in …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COGS Rate</w:t>
            </w:r>
          </w:p>
        </w:tc>
        <w:tc>
          <w:tcPr>
            <w:tcW w:type="dxa" w:w="1234"/>
          </w:tcPr>
          <w:p>
            <w:r>
              <w:t>15% of net revenue</w:t>
            </w:r>
          </w:p>
        </w:tc>
        <w:tc>
          <w:tcPr>
            <w:tcW w:type="dxa" w:w="1234"/>
          </w:tcPr>
          <w:p>
            <w:r>
              <w:t>% of net revenue</w:t>
            </w:r>
          </w:p>
        </w:tc>
        <w:tc>
          <w:tcPr>
            <w:tcW w:type="dxa" w:w="1234"/>
          </w:tcPr>
          <w:p>
            <w:r>
              <w:t>Industry benchmark for small molecule; DiMasi / company…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Peak Market Penetration</w:t>
            </w:r>
          </w:p>
        </w:tc>
        <w:tc>
          <w:tcPr>
            <w:tcW w:type="dxa" w:w="1234"/>
          </w:tcPr>
          <w:p>
            <w:r>
              <w:t>22% of addressable patients</w:t>
            </w:r>
          </w:p>
        </w:tc>
        <w:tc>
          <w:tcPr>
            <w:tcW w:type="dxa" w:w="1234"/>
          </w:tcPr>
          <w:p>
            <w:r>
              <w:t>% of addressable population</w:t>
            </w:r>
          </w:p>
        </w:tc>
        <w:tc>
          <w:tcPr>
            <w:tcW w:type="dxa" w:w="1234"/>
          </w:tcPr>
          <w:p>
            <w:r>
              <w:t>[Analyst estimate based on competitive positio…](https://www.accessdata.fda.gov/drugsatfda_docs/label/2019/212526s000lbl.pdf)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Years to Peak Sales</w:t>
            </w:r>
          </w:p>
        </w:tc>
        <w:tc>
          <w:tcPr>
            <w:tcW w:type="dxa" w:w="1234"/>
          </w:tcPr>
          <w:p>
            <w:r>
              <w:t>5 years post-launch</w:t>
            </w:r>
          </w:p>
        </w:tc>
        <w:tc>
          <w:tcPr>
            <w:tcW w:type="dxa" w:w="1234"/>
          </w:tcPr>
          <w:p>
            <w:r>
              <w:t>years</w:t>
            </w:r>
          </w:p>
        </w:tc>
        <w:tc>
          <w:tcPr>
            <w:tcW w:type="dxa" w:w="1234"/>
          </w:tcPr>
          <w:p>
            <w:r>
              <w:t>Comparable product launches in specialty/oncology; fast…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SG&amp;A Structure</w:t>
            </w:r>
          </w:p>
        </w:tc>
        <w:tc>
          <w:tcPr>
            <w:tcW w:type="dxa" w:w="1234"/>
          </w:tcPr>
          <w:p>
            <w:r>
              <w:t>40% (launch) → 20% (mature) of revenue</w:t>
            </w:r>
          </w:p>
        </w:tc>
        <w:tc>
          <w:tcPr>
            <w:tcW w:type="dxa" w:w="1234"/>
          </w:tcPr>
          <w:p>
            <w:r>
              <w:t>% of net revenue</w:t>
            </w:r>
          </w:p>
        </w:tc>
        <w:tc>
          <w:tcPr>
            <w:tcW w:type="dxa" w:w="1234"/>
          </w:tcPr>
          <w:p>
            <w:r>
              <w:t>Industry benchmarks; specialty pharma commercial model.…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POS Methodology</w:t>
            </w:r>
          </w:p>
        </w:tc>
        <w:tc>
          <w:tcPr>
            <w:tcW w:type="dxa" w:w="1234"/>
          </w:tcPr>
          <w:p>
            <w:r>
              <w:t>Heuristic log-odds model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[Industry-prior base rates (Biomedtracker/IQVI…](https://www.ncbi.nlm.nih.gov/pmc/articles/PMC4609178/)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P(Success</w:t>
            </w:r>
          </w:p>
        </w:tc>
        <w:tc>
          <w:tcPr>
            <w:tcW w:type="dxa" w:w="1234"/>
          </w:tcPr>
          <w:p>
            <w:r>
              <w:t>PHASE 2)</w:t>
            </w:r>
          </w:p>
        </w:tc>
        <w:tc>
          <w:tcPr>
            <w:tcW w:type="dxa" w:w="1234"/>
          </w:tcPr>
          <w:p>
            <w:r>
              <w:t>49%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Analyst estimate; adjusted from TA-specific prior via P…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P(Success</w:t>
            </w:r>
          </w:p>
        </w:tc>
        <w:tc>
          <w:tcPr>
            <w:tcW w:type="dxa" w:w="1234"/>
          </w:tcPr>
          <w:p>
            <w:r>
              <w:t>PHASE 3)</w:t>
            </w:r>
          </w:p>
        </w:tc>
        <w:tc>
          <w:tcPr>
            <w:tcW w:type="dxa" w:w="1234"/>
          </w:tcPr>
          <w:p>
            <w:r>
              <w:t>76%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Analyst estimate; adjusted from TA-specific prior via P…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P(Success</w:t>
            </w:r>
          </w:p>
        </w:tc>
        <w:tc>
          <w:tcPr>
            <w:tcW w:type="dxa" w:w="1234"/>
          </w:tcPr>
          <w:p>
            <w:r>
              <w:t>NDA BLA)</w:t>
            </w:r>
          </w:p>
        </w:tc>
        <w:tc>
          <w:tcPr>
            <w:tcW w:type="dxa" w:w="1234"/>
          </w:tcPr>
          <w:p>
            <w:r>
              <w:t>94%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Analyst estimate; adjusted from TA-specific prior via P…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Appendix B: What Would Change This Thesis</w:t>
      </w:r>
    </w:p>
    <w:p/>
    <w:p/>
    <w:p>
      <w:pPr>
        <w:pStyle w:val="ListNumber"/>
      </w:pPr>
      <w:r>
        <w:t>Phase 2 ORR data: confirmed ORR ≥50% in H1047R cohort → strong bull case (+30-50% NAV). ORR &lt;30% → clinical failure.</w:t>
      </w:r>
    </w:p>
    <w:p>
      <w:pPr>
        <w:pStyle w:val="ListNumber"/>
      </w:pPr>
      <w:r>
        <w:t>Inavolisib achieves superior PFS in real-world use → raises Phase 3 bar; reduces peak penetration assumption.</w:t>
      </w:r>
    </w:p>
    <w:p>
      <w:pPr>
        <w:pStyle w:val="ListNumber"/>
      </w:pPr>
      <w:r>
        <w:t>FDA grants accelerated approval on Phase 2 ORR → removes Phase 3 risk from base case (huge positive).</w:t>
      </w:r>
    </w:p>
    <w:p>
      <w:pPr>
        <w:pStyle w:val="ListNumber"/>
      </w:pPr>
      <w:r>
        <w:t>Safety signal (Grade 3 hyperglycemia despite selectivity) → removes key differentiator vs. alpelisib.</w:t>
      </w:r>
    </w:p>
    <w:p>
      <w:pPr>
        <w:pStyle w:val="ListNumber"/>
      </w:pPr>
      <w:r>
        <w:t>Partnership/BD deal at Phase 2 readout → milestone + royalty structure could deliver near-term value.</w:t>
      </w:r>
    </w:p>
    <w:p>
      <w:pPr>
        <w:pStyle w:val="ListNumber"/>
      </w:pPr>
      <w:r>
        <w:t>Company raises equity below current NAV/share → dilutive; watch burn rate vs. runway.</w:t>
      </w:r>
    </w:p>
    <w:p>
      <w:pPr>
        <w:pStyle w:val="ListNumber"/>
      </w:pPr>
      <w:r>
        <w:t>ctDNA / NGS testing rates increase faster than expected → addressable patient pool expands beyond 17K.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Appendix C: Limitations</w:t>
      </w:r>
    </w:p>
    <w:p/>
    <w:p>
      <w:pPr>
        <w:pStyle w:val="ListBullet"/>
      </w:pPr>
      <w:r>
        <w:t>US market only. Ex-US revenues not modeled; global sales could add 35-50% to US revenue.</w:t>
      </w:r>
    </w:p>
    <w:p>
      <w:pPr>
        <w:pStyle w:val="ListBullet"/>
      </w:pPr>
      <w:r>
        <w:t>H1047R label only modeled. Label expansion to full PIK3CA-mutant population would increase TAM ~2.5×.</w:t>
      </w:r>
    </w:p>
    <w:p>
      <w:pPr>
        <w:pStyle w:val="ListBullet"/>
      </w:pPr>
      <w:r>
        <w:t>No CDK4/6i combination scenario modeled; combo could accelerate uptake and expand addressable pool.</w:t>
      </w:r>
    </w:p>
    <w:p>
      <w:pPr>
        <w:pStyle w:val="ListBullet"/>
      </w:pPr>
      <w:r>
        <w:t>Inavolisib competition modeled as fixed penetration ceiling; actual share dynamics will be time-varying.</w:t>
      </w:r>
    </w:p>
    <w:p>
      <w:pPr>
        <w:pStyle w:val="ListBullet"/>
      </w:pPr>
      <w:r>
        <w:t>Phase 3 design (vs. inavolisib) adds execution risk; head-to-head superiority trial is a high bar.</w:t>
      </w:r>
    </w:p>
    <w:p>
      <w:pPr>
        <w:pStyle w:val="ListBullet"/>
      </w:pPr>
      <w:r>
        <w:t>Company-level pipeline (non-RLY-2608 assets) not included; NAV is single-asset.</w:t>
      </w:r>
    </w:p>
    <w:p>
      <w:pPr>
        <w:pStyle w:val="ListBullet"/>
      </w:pPr>
      <w:r>
        <w:t>Tax shield from NOL carryforward not modeled; meaningful for commercial-stage value.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Appendix D: Methodology</w:t>
      </w:r>
    </w:p>
    <w:p/>
    <w:p>
      <w:r/>
      <w:r>
        <w:rPr>
          <w:b/>
        </w:rPr>
        <w:t>rNPV:</w:t>
      </w:r>
      <w:r>
        <w:t xml:space="preserve"> Probability-weighted DCF. Trial costs discounted at phase midpoint, weighted by P(reaching each phase). Revenue modeled as EBIT (net revenue − COGS − SG&amp;A), discounted at 10% WACC over a 12-year commercial horizon.</w:t>
      </w:r>
    </w:p>
    <w:p/>
    <w:p>
      <w:r/>
      <w:r>
        <w:rPr>
          <w:b/>
        </w:rPr>
        <w:t>POS model:</w:t>
      </w:r>
      <w:r>
        <w:t xml:space="preserve"> Industry-prior phase transition rates (Biomedtracker/IQVIA 2021, by therapeutic area) adjusted in log-odds space for: endpoint type, MoA precedent, sample adequacy, safety profile, biomarker selection, and competitive pressure. Each adjuster shifts P by ±10–25pp around the base rate.</w:t>
      </w:r>
    </w:p>
    <w:p/>
    <w:p>
      <w:r/>
      <w:r>
        <w:rPr>
          <w:b/>
        </w:rPr>
        <w:t>Monte Carlo (10000 simulations):</w:t>
      </w:r>
      <w:r>
        <w:t xml:space="preserve"> Phase success ~ Beta(α, β) from analyst mean + ESS; peak sales ~ log-normal (CV=194%); discount rate ~ Normal(μ, 2pp); years-to-peak ~ Normal(μ, 1.5 yrs). Correlated draws via Gaussian copula (peak_sales ↔ penetration ρ = −0.20).</w:t>
      </w:r>
    </w:p>
    <w:p/>
    <w:p>
      <w:r/>
      <w:r>
        <w:rPr>
          <w:b/>
        </w:rPr>
        <w:t>Scenario analysis:</w:t>
      </w:r>
      <w:r>
        <w:t xml:space="preserve"> Bull/base/bear applied as multiplicative shocks to peak sales (×1.5/1.0/0.55), POS (×1.3/1.0/0.70), duration (−0.5/0/+1.0 yrs), and WACC (−1pp/0/+2pp).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i/>
        </w:rPr>
        <w:t>This analysis is for informational purposes only and does not constitute investment advice. All projections are model estimates subject to material uncertainty.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RLY-2608 — BD Memo</dc:title>
  <dc:subject/>
  <dc:creator>BVE Analytics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