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title: "RLY-2608 / RLAY — HF Event-Driven Analysis"</w:t>
      </w:r>
    </w:p>
    <w:p>
      <w:r>
        <w:t>date: "2026-03-05"</w:t>
      </w:r>
    </w:p>
    <w:p>
      <w:r>
        <w:t>memo_type: Hedge Fund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t>RLAY: Event-Driven / Mispricing Analysis</w:t>
      </w:r>
    </w:p>
    <w:p>
      <w:r/>
      <w:r>
        <w:rPr>
          <w:b/>
        </w:rPr>
        <w:t>RLY-2608 | PIK3CA H1047R HR+/HER2- mBC (2nd/3rd line, US) | 2026-03-05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Variant Perception</w:t>
      </w:r>
    </w:p>
    <w:p/>
    <w:p>
      <w:r/>
      <w:r>
        <w:rPr>
          <w:i/>
        </w:rPr>
        <w:t>What does the market believe, and why are we different?</w:t>
      </w:r>
      <w:r/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Dimension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Market Consensus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Our Model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Edge</w:t>
            </w:r>
          </w:p>
        </w:tc>
      </w:tr>
      <w:tr>
        <w:tc>
          <w:tcPr>
            <w:tcW w:type="dxa" w:w="2160"/>
          </w:tcPr>
          <w:p>
            <w:r>
              <w:t>P(Approval)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34.6%</w:t>
            </w:r>
          </w:p>
        </w:tc>
        <w:tc>
          <w:tcPr>
            <w:tcW w:type="dxa" w:w="2160"/>
          </w:tcPr>
          <w:p>
            <w:r>
              <w:t>+15pp</w:t>
            </w:r>
          </w:p>
        </w:tc>
      </w:tr>
      <w:tr>
        <w:tc>
          <w:tcPr>
            <w:tcW w:type="dxa" w:w="2160"/>
          </w:tcPr>
          <w:p>
            <w:r>
              <w:t>Peak Sales</w:t>
            </w:r>
          </w:p>
        </w:tc>
        <w:tc>
          <w:tcPr>
            <w:tcW w:type="dxa" w:w="2160"/>
          </w:tcPr>
          <w:p>
            <w:r>
              <w:t>$350M</w:t>
            </w:r>
          </w:p>
        </w:tc>
        <w:tc>
          <w:tcPr>
            <w:tcW w:type="dxa" w:w="2160"/>
          </w:tcPr>
          <w:p>
            <w:r>
              <w:t>$539M</w:t>
            </w:r>
          </w:p>
        </w:tc>
        <w:tc>
          <w:tcPr>
            <w:tcW w:type="dxa" w:w="2160"/>
          </w:tcPr>
          <w:p>
            <w:r>
              <w:t>$+189M</w:t>
            </w:r>
          </w:p>
        </w:tc>
      </w:tr>
      <w:tr>
        <w:tc>
          <w:tcPr>
            <w:tcW w:type="dxa" w:w="2160"/>
          </w:tcPr>
          <w:p>
            <w:r>
              <w:t>NAV/Share</w:t>
            </w:r>
          </w:p>
        </w:tc>
        <w:tc>
          <w:tcPr>
            <w:tcW w:type="dxa" w:w="2160"/>
          </w:tcPr>
          <w:p>
            <w:r>
              <w:t>$5.80 (market)</w:t>
            </w:r>
          </w:p>
        </w:tc>
        <w:tc>
          <w:tcPr>
            <w:tcW w:type="dxa" w:w="2160"/>
          </w:tcPr>
          <w:p>
            <w:r>
              <w:t>$5.76</w:t>
            </w:r>
          </w:p>
        </w:tc>
        <w:tc>
          <w:tcPr>
            <w:tcW w:type="dxa" w:w="2160"/>
          </w:tcPr>
          <w:p>
            <w:r>
              <w:t>-1%</w:t>
            </w:r>
          </w:p>
        </w:tc>
      </w:tr>
    </w:tbl>
    <w:p/>
    <w:p/>
    <w:p>
      <w:r/>
      <w:r>
        <w:rPr>
          <w:b/>
        </w:rPr>
        <w:t>Market-implied P(approval):</w:t>
      </w:r>
      <w:r>
        <w:t xml:space="preserve"> 35.0% (back-solved: [market cap − net cash + weighted trial costs] ÷ gross revenue PV)</w:t>
      </w:r>
    </w:p>
    <w:p/>
    <w:p>
      <w:r/>
      <w:r>
        <w:rPr>
          <w:b/>
        </w:rPr>
        <w:t>Thesis:</w:t>
      </w:r>
      <w:r>
        <w:t xml:space="preserve"> The market underestimates three factors: (1) inavolisib's FDA approval de-risks the regulatory path for PI3Ka-selective agents — the class is now validated; (2) RLY-2608's 300x H1047R selectivity should enable continuous dosing and CDK4/6 combinations that inavolisib cannot access; (3) H1047R accounts for ~40% of PIK3CA mutations but is underserved by current options — RLY-2608 could become class leader in this subgroup.</w:t>
      </w:r>
    </w:p>
    <w:p/>
    <w:p/>
    <w:p>
      <w:r/>
      <w:r>
        <w:rPr>
          <w:b/>
        </w:rPr>
        <w:t>Kill criteria:</w:t>
      </w:r>
      <w:r/>
    </w:p>
    <w:p>
      <w:pPr>
        <w:pStyle w:val="ListBullet"/>
      </w:pPr>
      <w:r>
        <w:t>Phase 2 confirmed ORR &lt; 30% in H1047R + fulvestrant cohort (inavolisib showed ~36% ORR in all-comers; &lt;30% removes differentiation claim)</w:t>
      </w:r>
    </w:p>
    <w:p>
      <w:pPr>
        <w:pStyle w:val="ListBullet"/>
      </w:pPr>
      <w:r>
        <w:t>Grade 3+ hyperglycemia rate &gt; 20% (would eliminate the tolerability advantage vs. alpelisib that underlies the entire thesis)</w:t>
      </w:r>
    </w:p>
    <w:p>
      <w:pPr>
        <w:pStyle w:val="ListBullet"/>
      </w:pPr>
      <w:r>
        <w:t>FDA requires OS endpoint (not ORR/PFS) for approval in 2nd-line mBC (raises bar substantially)</w:t>
      </w:r>
    </w:p>
    <w:p>
      <w:pPr>
        <w:pStyle w:val="ListBullet"/>
      </w:pPr>
      <w:r>
        <w:t>Head-to-head Phase 3 vs. inavolisib fails to show superiority — regulatory approval becomes uncertain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Catalyst Calendar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P(Positive)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Move</w:t>
            </w:r>
          </w:p>
        </w:tc>
      </w:tr>
      <w:tr>
        <w:tc>
          <w:tcPr>
            <w:tcW w:type="dxa" w:w="1728"/>
          </w:tcPr>
          <w:p>
            <w:r>
              <w:t>H2 2025</w:t>
            </w:r>
          </w:p>
        </w:tc>
        <w:tc>
          <w:tcPr>
            <w:tcW w:type="dxa" w:w="1728"/>
          </w:tcPr>
          <w:p>
            <w:r>
              <w:t>Phase 2 expansion cohort ORR data (H1047R + fulvestrant arm)</w:t>
            </w:r>
          </w:p>
        </w:tc>
        <w:tc>
          <w:tcPr>
            <w:tcW w:type="dxa" w:w="1728"/>
          </w:tcPr>
          <w:p>
            <w:r>
              <w:t>Readout</w:t>
            </w:r>
          </w:p>
        </w:tc>
        <w:tc>
          <w:tcPr>
            <w:tcW w:type="dxa" w:w="1728"/>
          </w:tcPr>
          <w:p>
            <w:r>
              <w:t>55%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  <w:tr>
        <w:tc>
          <w:tcPr>
            <w:tcW w:type="dxa" w:w="1728"/>
          </w:tcPr>
          <w:p>
            <w:r>
              <w:t>Q1 2026</w:t>
            </w:r>
          </w:p>
        </w:tc>
        <w:tc>
          <w:tcPr>
            <w:tcW w:type="dxa" w:w="1728"/>
          </w:tcPr>
          <w:p>
            <w:r>
              <w:t>Phase 3 initiation announcement (pending Ph2 success)</w:t>
            </w:r>
          </w:p>
        </w:tc>
        <w:tc>
          <w:tcPr>
            <w:tcW w:type="dxa" w:w="1728"/>
          </w:tcPr>
          <w:p>
            <w:r>
              <w:t>Milestone</w:t>
            </w:r>
          </w:p>
        </w:tc>
        <w:tc>
          <w:tcPr>
            <w:tcW w:type="dxa" w:w="1728"/>
          </w:tcPr>
          <w:p>
            <w:r>
              <w:t>50%</w:t>
            </w:r>
          </w:p>
        </w:tc>
        <w:tc>
          <w:tcPr>
            <w:tcW w:type="dxa" w:w="1728"/>
          </w:tcPr>
          <w:p>
            <w:r>
              <w:t>TBD</w:t>
            </w:r>
          </w:p>
        </w:tc>
      </w:tr>
    </w:tbl>
    <w:p/>
    <w:p/>
    <w:p>
      <w:r/>
      <w:r>
        <w:rPr>
          <w:b/>
        </w:rPr>
        <w:t>Next catalyst:</w:t>
      </w:r>
      <w:r>
        <w:t xml:space="preserve"> [Identify and date the single most important near-term catalyst]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Market-Implied vs. Our Distribution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Market Implied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Our Model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Enterprise value ($M)</w:t>
            </w:r>
          </w:p>
        </w:tc>
        <w:tc>
          <w:tcPr>
            <w:tcW w:type="dxa" w:w="2880"/>
          </w:tcPr>
          <w:p>
            <w:r>
              <w:t>$132M</w:t>
            </w:r>
          </w:p>
        </w:tc>
        <w:tc>
          <w:tcPr>
            <w:tcW w:type="dxa" w:w="2880"/>
          </w:tcPr>
          <w:p>
            <w:r>
              <w:t>$129M</w:t>
            </w:r>
          </w:p>
        </w:tc>
      </w:tr>
      <w:tr>
        <w:tc>
          <w:tcPr>
            <w:tcW w:type="dxa" w:w="2880"/>
          </w:tcPr>
          <w:p>
            <w:r>
              <w:t>Implied peak sales ($M)</w:t>
            </w:r>
          </w:p>
        </w:tc>
        <w:tc>
          <w:tcPr>
            <w:tcW w:type="dxa" w:w="2880"/>
          </w:tcPr>
          <w:p>
            <w:r>
              <w:t>[Back-solve]</w:t>
            </w:r>
          </w:p>
        </w:tc>
        <w:tc>
          <w:tcPr>
            <w:tcW w:type="dxa" w:w="2880"/>
          </w:tcPr>
          <w:p>
            <w:r>
              <w:t>$539M</w:t>
            </w:r>
          </w:p>
        </w:tc>
      </w:tr>
      <w:tr>
        <w:tc>
          <w:tcPr>
            <w:tcW w:type="dxa" w:w="2880"/>
          </w:tcPr>
          <w:p>
            <w:r>
              <w:t>Implied P(approval)</w:t>
            </w:r>
          </w:p>
        </w:tc>
        <w:tc>
          <w:tcPr>
            <w:tcW w:type="dxa" w:w="2880"/>
          </w:tcPr>
          <w:p>
            <w:r>
              <w:t>[Back-solve]</w:t>
            </w:r>
          </w:p>
        </w:tc>
        <w:tc>
          <w:tcPr>
            <w:tcW w:type="dxa" w:w="2880"/>
          </w:tcPr>
          <w:p>
            <w:r>
              <w:t>34.6%</w:t>
            </w:r>
          </w:p>
        </w:tc>
      </w:tr>
      <w:tr>
        <w:tc>
          <w:tcPr>
            <w:tcW w:type="dxa" w:w="2880"/>
          </w:tcPr>
          <w:p>
            <w:r>
              <w:t>NAV/share</w:t>
            </w:r>
          </w:p>
        </w:tc>
        <w:tc>
          <w:tcPr>
            <w:tcW w:type="dxa" w:w="2880"/>
          </w:tcPr>
          <w:p>
            <w:r>
              <w:t>$5.80</w:t>
            </w:r>
          </w:p>
        </w:tc>
        <w:tc>
          <w:tcPr>
            <w:tcW w:type="dxa" w:w="2880"/>
          </w:tcPr>
          <w:p>
            <w:r>
              <w:t>$5.76</w:t>
            </w:r>
          </w:p>
        </w:tc>
      </w:tr>
      <w:tr>
        <w:tc>
          <w:tcPr>
            <w:tcW w:type="dxa" w:w="2880"/>
          </w:tcPr>
          <w:p>
            <w:r>
              <w:t>Implied upside to base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-1%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Valuation Framework</w:t>
      </w:r>
    </w:p>
    <w:p/>
    <w:p>
      <w:pPr>
        <w:pStyle w:val="Heading3"/>
      </w:pPr>
      <w:r>
        <w:t>Base-Case rNPV</w:t>
      </w:r>
    </w:p>
    <w:p>
      <w:pPr>
        <w:pStyle w:val="ListBullet"/>
      </w:pPr>
      <w:r/>
      <w:r>
        <w:rPr>
          <w:b/>
        </w:rPr>
        <w:t>Asset rNPV:</w:t>
      </w:r>
      <w:r>
        <w:t xml:space="preserve"> $129M (10% WACC, 34.6% P(approval))</w:t>
      </w:r>
    </w:p>
    <w:p>
      <w:pPr>
        <w:pStyle w:val="ListBullet"/>
      </w:pPr>
      <w:r/>
      <w:r>
        <w:rPr>
          <w:b/>
        </w:rPr>
        <w:t>Net cash:</w:t>
      </w:r>
      <w:r>
        <w:t xml:space="preserve"> $410M (12 qtrs runway)</w:t>
      </w:r>
    </w:p>
    <w:p>
      <w:pPr>
        <w:pStyle w:val="ListBullet"/>
      </w:pPr>
      <w:r/>
      <w:r>
        <w:rPr>
          <w:b/>
        </w:rPr>
        <w:t>Total NAV:</w:t>
      </w:r>
      <w:r>
        <w:t xml:space="preserve"> $539M = </w:t>
      </w:r>
      <w:r>
        <w:rPr>
          <w:b/>
        </w:rPr>
        <w:t>$5.76/share</w:t>
      </w:r>
      <w:r/>
    </w:p>
    <w:p/>
    <w:p>
      <w:pPr>
        <w:pStyle w:val="Heading3"/>
      </w:pPr>
      <w:r>
        <w:t>Scenario Distribution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rNPV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NAV/Share</w:t>
            </w:r>
          </w:p>
        </w:tc>
      </w:tr>
      <w:tr>
        <w:tc>
          <w:tcPr>
            <w:tcW w:type="dxa" w:w="2160"/>
          </w:tcPr>
          <w:p>
            <w:r>
              <w:t>Bull</w:t>
            </w:r>
          </w:p>
        </w:tc>
        <w:tc>
          <w:tcPr>
            <w:tcW w:type="dxa" w:w="2160"/>
          </w:tcPr>
          <w:p>
            <w:r>
              <w:t>~20%</w:t>
            </w:r>
          </w:p>
        </w:tc>
        <w:tc>
          <w:tcPr>
            <w:tcW w:type="dxa" w:w="2160"/>
          </w:tcPr>
          <w:p>
            <w:r>
              <w:t>$858M</w:t>
            </w:r>
          </w:p>
        </w:tc>
        <w:tc>
          <w:tcPr>
            <w:tcW w:type="dxa" w:w="2160"/>
          </w:tcPr>
          <w:p>
            <w:r>
              <w:t>$13.56</w:t>
            </w:r>
          </w:p>
        </w:tc>
      </w:tr>
      <w:tr>
        <w:tc>
          <w:tcPr>
            <w:tcW w:type="dxa" w:w="2160"/>
          </w:tcPr>
          <w:p>
            <w:r>
              <w:t>Base</w:t>
            </w:r>
          </w:p>
        </w:tc>
        <w:tc>
          <w:tcPr>
            <w:tcW w:type="dxa" w:w="2160"/>
          </w:tcPr>
          <w:p>
            <w:r>
              <w:t>~50%</w:t>
            </w:r>
          </w:p>
        </w:tc>
        <w:tc>
          <w:tcPr>
            <w:tcW w:type="dxa" w:w="2160"/>
          </w:tcPr>
          <w:p>
            <w:r>
              <w:t>$129M</w:t>
            </w:r>
          </w:p>
        </w:tc>
        <w:tc>
          <w:tcPr>
            <w:tcW w:type="dxa" w:w="2160"/>
          </w:tcPr>
          <w:p>
            <w:r>
              <w:t>$5.76</w:t>
            </w:r>
          </w:p>
        </w:tc>
      </w:tr>
      <w:tr>
        <w:tc>
          <w:tcPr>
            <w:tcW w:type="dxa" w:w="2160"/>
          </w:tcPr>
          <w:p>
            <w:r>
              <w:t>Bear</w:t>
            </w:r>
          </w:p>
        </w:tc>
        <w:tc>
          <w:tcPr>
            <w:tcW w:type="dxa" w:w="2160"/>
          </w:tcPr>
          <w:p>
            <w:r>
              <w:t>~30%</w:t>
            </w:r>
          </w:p>
        </w:tc>
        <w:tc>
          <w:tcPr>
            <w:tcW w:type="dxa" w:w="2160"/>
          </w:tcPr>
          <w:p>
            <w:r>
              <w:t>$-120M</w:t>
            </w:r>
          </w:p>
        </w:tc>
        <w:tc>
          <w:tcPr>
            <w:tcW w:type="dxa" w:w="2160"/>
          </w:tcPr>
          <w:p>
            <w:r>
              <w:t>$3.11</w:t>
            </w:r>
          </w:p>
        </w:tc>
      </w:tr>
      <w:tr>
        <w:tc>
          <w:tcPr>
            <w:tcW w:type="dxa" w:w="2160"/>
          </w:tcPr>
          <w:p>
            <w:r>
              <w:t>**Expected**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**$77M**</w:t>
            </w:r>
          </w:p>
        </w:tc>
        <w:tc>
          <w:tcPr>
            <w:tcW w:type="dxa" w:w="2160"/>
          </w:tcPr>
          <w:p>
            <w:r>
              <w:t>**$5.21**</w:t>
            </w:r>
          </w:p>
        </w:tc>
      </w:tr>
    </w:tbl>
    <w:p/>
    <w:p/>
    <w:p>
      <w:pPr>
        <w:pStyle w:val="Heading3"/>
      </w:pPr>
      <w:r>
        <w:t>Monte Carlo Summary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P10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P50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P75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P90</w:t>
            </w:r>
          </w:p>
        </w:tc>
      </w:tr>
      <w:tr>
        <w:tc>
          <w:tcPr>
            <w:tcW w:type="dxa" w:w="1728"/>
          </w:tcPr>
          <w:p>
            <w:r>
              <w:t>$-60M</w:t>
            </w:r>
          </w:p>
        </w:tc>
        <w:tc>
          <w:tcPr>
            <w:tcW w:type="dxa" w:w="1728"/>
          </w:tcPr>
          <w:p>
            <w:r>
              <w:t>$-22M</w:t>
            </w:r>
          </w:p>
        </w:tc>
        <w:tc>
          <w:tcPr>
            <w:tcW w:type="dxa" w:w="1728"/>
          </w:tcPr>
          <w:p>
            <w:r>
              <w:t>$38M</w:t>
            </w:r>
          </w:p>
        </w:tc>
        <w:tc>
          <w:tcPr>
            <w:tcW w:type="dxa" w:w="1728"/>
          </w:tcPr>
          <w:p>
            <w:r>
              <w:t>$134M</w:t>
            </w:r>
          </w:p>
        </w:tc>
        <w:tc>
          <w:tcPr>
            <w:tcW w:type="dxa" w:w="1728"/>
          </w:tcPr>
          <w:p>
            <w:r>
              <w:t>$262M</w:t>
            </w:r>
          </w:p>
        </w:tc>
      </w:tr>
    </w:tbl>
    <w:p/>
    <w:p/>
    <w:p>
      <w:r/>
      <w:r>
        <w:rPr>
          <w:b/>
        </w:rPr>
        <w:t>P(positive value):</w:t>
      </w:r>
      <w:r>
        <w:t xml:space="preserve"> 64.9%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Key Sensitivities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Bear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Δ rNPV</w:t>
            </w:r>
          </w:p>
        </w:tc>
      </w:tr>
      <w:tr>
        <w:tc>
          <w:tcPr>
            <w:tcW w:type="dxa" w:w="1728"/>
          </w:tcPr>
          <w:p>
            <w:r>
              <w:t>Phase POS (±20%)</w:t>
            </w:r>
          </w:p>
        </w:tc>
        <w:tc>
          <w:tcPr>
            <w:tcW w:type="dxa" w:w="1728"/>
          </w:tcPr>
          <w:p>
            <w:r>
              <w:t>$-0M</w:t>
            </w:r>
          </w:p>
        </w:tc>
        <w:tc>
          <w:tcPr>
            <w:tcW w:type="dxa" w:w="1728"/>
          </w:tcPr>
          <w:p>
            <w:r>
              <w:t>$129M</w:t>
            </w:r>
          </w:p>
        </w:tc>
        <w:tc>
          <w:tcPr>
            <w:tcW w:type="dxa" w:w="1728"/>
          </w:tcPr>
          <w:p>
            <w:r>
              <w:t>$267M</w:t>
            </w:r>
          </w:p>
        </w:tc>
        <w:tc>
          <w:tcPr>
            <w:tcW w:type="dxa" w:w="1728"/>
          </w:tcPr>
          <w:p>
            <w:r>
              <w:t>$268M</w:t>
            </w:r>
          </w:p>
        </w:tc>
      </w:tr>
      <w:tr>
        <w:tc>
          <w:tcPr>
            <w:tcW w:type="dxa" w:w="1728"/>
          </w:tcPr>
          <w:p>
            <w:r>
              <w:t>Peak Sales (±30%)</w:t>
            </w:r>
          </w:p>
        </w:tc>
        <w:tc>
          <w:tcPr>
            <w:tcW w:type="dxa" w:w="1728"/>
          </w:tcPr>
          <w:p>
            <w:r>
              <w:t>$36M</w:t>
            </w:r>
          </w:p>
        </w:tc>
        <w:tc>
          <w:tcPr>
            <w:tcW w:type="dxa" w:w="1728"/>
          </w:tcPr>
          <w:p>
            <w:r>
              <w:t>$129M</w:t>
            </w:r>
          </w:p>
        </w:tc>
        <w:tc>
          <w:tcPr>
            <w:tcW w:type="dxa" w:w="1728"/>
          </w:tcPr>
          <w:p>
            <w:r>
              <w:t>$221M</w:t>
            </w:r>
          </w:p>
        </w:tc>
        <w:tc>
          <w:tcPr>
            <w:tcW w:type="dxa" w:w="1728"/>
          </w:tcPr>
          <w:p>
            <w:r>
              <w:t>$185M</w:t>
            </w:r>
          </w:p>
        </w:tc>
      </w:tr>
      <w:tr>
        <w:tc>
          <w:tcPr>
            <w:tcW w:type="dxa" w:w="1728"/>
          </w:tcPr>
          <w:p>
            <w:r>
              <w:t>Peak Penetration (±30%)</w:t>
            </w:r>
          </w:p>
        </w:tc>
        <w:tc>
          <w:tcPr>
            <w:tcW w:type="dxa" w:w="1728"/>
          </w:tcPr>
          <w:p>
            <w:r>
              <w:t>$36M</w:t>
            </w:r>
          </w:p>
        </w:tc>
        <w:tc>
          <w:tcPr>
            <w:tcW w:type="dxa" w:w="1728"/>
          </w:tcPr>
          <w:p>
            <w:r>
              <w:t>$129M</w:t>
            </w:r>
          </w:p>
        </w:tc>
        <w:tc>
          <w:tcPr>
            <w:tcW w:type="dxa" w:w="1728"/>
          </w:tcPr>
          <w:p>
            <w:r>
              <w:t>$221M</w:t>
            </w:r>
          </w:p>
        </w:tc>
        <w:tc>
          <w:tcPr>
            <w:tcW w:type="dxa" w:w="1728"/>
          </w:tcPr>
          <w:p>
            <w:r>
              <w:t>$185M</w:t>
            </w:r>
          </w:p>
        </w:tc>
      </w:tr>
      <w:tr>
        <w:tc>
          <w:tcPr>
            <w:tcW w:type="dxa" w:w="1728"/>
          </w:tcPr>
          <w:p>
            <w:r>
              <w:t>Discount Rate (±2pp)</w:t>
            </w:r>
          </w:p>
        </w:tc>
        <w:tc>
          <w:tcPr>
            <w:tcW w:type="dxa" w:w="1728"/>
          </w:tcPr>
          <w:p>
            <w:r>
              <w:t>$70M</w:t>
            </w:r>
          </w:p>
        </w:tc>
        <w:tc>
          <w:tcPr>
            <w:tcW w:type="dxa" w:w="1728"/>
          </w:tcPr>
          <w:p>
            <w:r>
              <w:t>$129M</w:t>
            </w:r>
          </w:p>
        </w:tc>
        <w:tc>
          <w:tcPr>
            <w:tcW w:type="dxa" w:w="1728"/>
          </w:tcPr>
          <w:p>
            <w:r>
              <w:t>$208M</w:t>
            </w:r>
          </w:p>
        </w:tc>
        <w:tc>
          <w:tcPr>
            <w:tcW w:type="dxa" w:w="1728"/>
          </w:tcPr>
          <w:p>
            <w:r>
              <w:t>$138M</w:t>
            </w:r>
          </w:p>
        </w:tc>
      </w:tr>
      <w:tr>
        <w:tc>
          <w:tcPr>
            <w:tcW w:type="dxa" w:w="1728"/>
          </w:tcPr>
          <w:p>
            <w:r>
              <w:t>Patent Life (±3 yrs)</w:t>
            </w:r>
          </w:p>
        </w:tc>
        <w:tc>
          <w:tcPr>
            <w:tcW w:type="dxa" w:w="1728"/>
          </w:tcPr>
          <w:p>
            <w:r>
              <w:t>$63M</w:t>
            </w:r>
          </w:p>
        </w:tc>
        <w:tc>
          <w:tcPr>
            <w:tcW w:type="dxa" w:w="1728"/>
          </w:tcPr>
          <w:p>
            <w:r>
              <w:t>$129M</w:t>
            </w:r>
          </w:p>
        </w:tc>
        <w:tc>
          <w:tcPr>
            <w:tcW w:type="dxa" w:w="1728"/>
          </w:tcPr>
          <w:p>
            <w:r>
              <w:t>$178M</w:t>
            </w:r>
          </w:p>
        </w:tc>
        <w:tc>
          <w:tcPr>
            <w:tcW w:type="dxa" w:w="1728"/>
          </w:tcPr>
          <w:p>
            <w:r>
              <w:t>$115M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Event Study Evidence</w:t>
      </w:r>
    </w:p>
    <w:p/>
    <w:p>
      <w:r/>
      <w:r>
        <w:rPr>
          <w:i/>
        </w:rPr>
        <w:t>[Populate from abnormal_returns analysis: historical CAR at comparable readouts]</w:t>
      </w:r>
      <w:r/>
    </w:p>
    <w:p/>
    <w:p>
      <w:r>
        <w:t>Benchmarked against XBI (SPDR S&amp;P Biotech ETF):</w:t>
      </w:r>
    </w:p>
    <w:p>
      <w:pPr>
        <w:pStyle w:val="ListBullet"/>
      </w:pPr>
      <w:r>
        <w:t xml:space="preserve">Average 2-day CAR at </w:t>
      </w:r>
      <w:r>
        <w:rPr>
          <w:b/>
        </w:rPr>
        <w:t>positive</w:t>
      </w:r>
      <w:r>
        <w:t xml:space="preserve"> Phase 3 readouts (comparable assets): +[xx]%</w:t>
      </w:r>
    </w:p>
    <w:p>
      <w:pPr>
        <w:pStyle w:val="ListBullet"/>
      </w:pPr>
      <w:r>
        <w:t xml:space="preserve">Average 2-day CAR at </w:t>
      </w:r>
      <w:r>
        <w:rPr>
          <w:b/>
        </w:rPr>
        <w:t>negative</w:t>
      </w:r>
      <w:r>
        <w:t xml:space="preserve"> Phase 3 readouts: –[xx]%</w:t>
      </w:r>
    </w:p>
    <w:p>
      <w:pPr>
        <w:pStyle w:val="ListBullet"/>
      </w:pPr>
      <w:r>
        <w:t>Our base-case expected move: +[xx]% on success (34.6% weight), –[xx]% on failure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Position Sizing &amp; Risk Management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Analysis</w:t>
            </w:r>
          </w:p>
        </w:tc>
      </w:tr>
      <w:tr>
        <w:tc>
          <w:tcPr>
            <w:tcW w:type="dxa" w:w="4320"/>
          </w:tcPr>
          <w:p>
            <w:r>
              <w:t>Expected return to NAV</w:t>
            </w:r>
          </w:p>
        </w:tc>
        <w:tc>
          <w:tcPr>
            <w:tcW w:type="dxa" w:w="4320"/>
          </w:tcPr>
          <w:p>
            <w:r>
              <w:t>-1%</w:t>
            </w:r>
          </w:p>
        </w:tc>
      </w:tr>
      <w:tr>
        <w:tc>
          <w:tcPr>
            <w:tcW w:type="dxa" w:w="4320"/>
          </w:tcPr>
          <w:p>
            <w:r>
              <w:t>Binary event risk</w:t>
            </w:r>
          </w:p>
        </w:tc>
        <w:tc>
          <w:tcPr>
            <w:tcW w:type="dxa" w:w="4320"/>
          </w:tcPr>
          <w:p>
            <w:r>
              <w:t>[±xx% on catalyst; use options to define risk]</w:t>
            </w:r>
          </w:p>
        </w:tc>
      </w:tr>
      <w:tr>
        <w:tc>
          <w:tcPr>
            <w:tcW w:type="dxa" w:w="4320"/>
          </w:tcPr>
          <w:p>
            <w:r>
              <w:t>Recommended position</w:t>
            </w:r>
          </w:p>
        </w:tc>
        <w:tc>
          <w:tcPr>
            <w:tcW w:type="dxa" w:w="4320"/>
          </w:tcPr>
          <w:p>
            <w:r>
              <w:t>[% of portfolio; e.g., 1–3% gross]</w:t>
            </w:r>
          </w:p>
        </w:tc>
      </w:tr>
      <w:tr>
        <w:tc>
          <w:tcPr>
            <w:tcW w:type="dxa" w:w="4320"/>
          </w:tcPr>
          <w:p>
            <w:r>
              <w:t>Catalyst hedge</w:t>
            </w:r>
          </w:p>
        </w:tc>
        <w:tc>
          <w:tcPr>
            <w:tcW w:type="dxa" w:w="4320"/>
          </w:tcPr>
          <w:p>
            <w:r>
              <w:t>[Protective puts / collar if large position]</w:t>
            </w:r>
          </w:p>
        </w:tc>
      </w:tr>
      <w:tr>
        <w:tc>
          <w:tcPr>
            <w:tcW w:type="dxa" w:w="4320"/>
          </w:tcPr>
          <w:p>
            <w:r>
              <w:t>Stop-loss</w:t>
            </w:r>
          </w:p>
        </w:tc>
        <w:tc>
          <w:tcPr>
            <w:tcW w:type="dxa" w:w="4320"/>
          </w:tcPr>
          <w:p>
            <w:r>
              <w:t>[e.g., –20% from entry, or "clinical hold"]</w:t>
            </w:r>
          </w:p>
        </w:tc>
      </w:tr>
      <w:tr>
        <w:tc>
          <w:tcPr>
            <w:tcW w:type="dxa" w:w="4320"/>
          </w:tcPr>
          <w:p>
            <w:r>
              <w:t>Time horizon</w:t>
            </w:r>
          </w:p>
        </w:tc>
        <w:tc>
          <w:tcPr>
            <w:tcW w:type="dxa" w:w="4320"/>
          </w:tcPr>
          <w:p>
            <w:r>
              <w:t>7.0 years to launch; next catalyst in [xx months]</w:t>
            </w:r>
          </w:p>
        </w:tc>
      </w:tr>
    </w:tbl>
    <w:p/>
    <w:p/>
    <w:p>
      <w:r/>
      <w:r>
        <w:rPr>
          <w:b/>
        </w:rPr>
        <w:t>Options market</w:t>
      </w:r>
      <w:r>
        <w:t xml:space="preserve"> (if available): IV suggests market pricing ~[xx]% move at next catalyst. We [agree/disagree] because [thesis].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Trade Recommendation</w:t>
      </w:r>
    </w:p>
    <w:p/>
    <w:p>
      <w:r/>
      <w:r>
        <w:rPr>
          <w:b/>
        </w:rPr>
        <w:t>Action:</w:t>
      </w:r>
      <w:r>
        <w:t xml:space="preserve"> [LONG / LONG with hedge / AVOID / SHORT]</w:t>
      </w:r>
    </w:p>
    <w:p/>
    <w:p>
      <w:r/>
      <w:r>
        <w:rPr>
          <w:b/>
        </w:rPr>
        <w:t>Entry:</w:t>
      </w:r>
      <w:r>
        <w:t xml:space="preserve"> [Price or price range]</w:t>
      </w:r>
    </w:p>
    <w:p/>
    <w:p>
      <w:r/>
      <w:r>
        <w:rPr>
          <w:b/>
        </w:rPr>
        <w:t>Thesis confirmation events:</w:t>
      </w:r>
      <w:r>
        <w:t xml:space="preserve"> [What data points / milestones would confirm or refute the thesis?]</w:t>
      </w:r>
    </w:p>
    <w:p/>
    <w:p>
      <w:r/>
      <w:r>
        <w:rPr>
          <w:b/>
        </w:rPr>
        <w:t>Exit triggers:</w:t>
      </w:r>
      <w:r/>
    </w:p>
    <w:p>
      <w:pPr>
        <w:pStyle w:val="ListNumber"/>
      </w:pPr>
      <w:r>
        <w:t>Primary endpoint read-out (positive → scale, negative → exit)</w:t>
      </w:r>
    </w:p>
    <w:p>
      <w:pPr>
        <w:pStyle w:val="ListNumber"/>
      </w:pPr>
      <w:r>
        <w:t>[Secondary trigger]</w:t>
      </w:r>
    </w:p>
    <w:p>
      <w:pPr>
        <w:pStyle w:val="ListNumber"/>
      </w:pPr>
      <w:r>
        <w:t>[Stop-loss level]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i/>
        </w:rPr>
        <w:t>This analysis is for informational purposes only and does not constitute investment advice. All projections are model estimates subject to material uncertainty.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RLY-2608 — HF Memo</dc:title>
  <dc:subject/>
  <dc:creator>BVE Analytics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