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BD screening memo: Hypothetical U.S. oncology BD (CLDN18.2 comparison, INTERNAL DEVELOPMENT)</w:t>
      </w:r>
    </w:p>
    <w:p/>
    <w:p>
      <w:r>
        <w:t xml:space="preserve">&gt; </w:t>
      </w:r>
      <w:r>
        <w:rPr>
          <w:b/>
        </w:rPr>
        <w:t>UNVALIDATED.</w:t>
      </w:r>
      <w:r>
        <w:t xml:space="preserve"> This output is UNVALIDATED-grade only. Screening uses source-provided vendor assertions that BVE has not independently confirmed. Do not use for trade sizing, acquisition probability or a transaction decision. Landscape built from public sources (research_only); hypothetical financial inputs. This memo is not an investment or transaction recommendation.</w:t>
      </w:r>
    </w:p>
    <w:p/>
    <w:p>
      <w:r/>
      <w:r>
        <w:rPr>
          <w:b/>
        </w:rPr>
        <w:t>Need screened.</w:t>
      </w:r>
      <w:r>
        <w:t xml:space="preserve"> We are a mid-size U.S. oncology company with antibody-drug-conjugate manufacturing. We want to in-license or acquire one or two Claudin 18.2 (CLDN18.2)-directed therapeutic programs for gastric or gastro-oesophageal junction (GEJ) adenocarcinoma. In scope: antibody-drug conjugates and bispecific or T-cell-engaging antibodies, Phase 1 or later with human data. Out of scope: cell therapies (CAR-T, CAR-NK), naked monoclonal antibodies, imaging agents and programs whose target is not CLDN18.2. Transaction preferences: we need U.S. rights (ideally ex-China or global); a program whose U.S. rights are already held by a large pharmaceutical company is not attractive unless those rights have been returned; we do not want an already-marketed product; prefer Phase 2 or later and active development; we value assets we could manufacture (ADCs). Do not assume any program is available: availability must be evidenced. Scientific suitability, ownership, rights and availability must be kept separate.</w:t>
      </w:r>
    </w:p>
    <w:p/>
    <w:p>
      <w:r/>
      <w:r>
        <w:rPr>
          <w:b/>
        </w:rPr>
        <w:t>Funnel.</w:t>
      </w:r>
      <w:r>
        <w:t xml:space="preserve"> 62 programs imported → 8 scientifically eligible, 28 unresolved (need diligence), 26 excluded. Main exclusion reasons: modality outside the allowed set (20), target not the specified target (6). Eligible means every hard gate passed on cited source claims (target expression, allowed modality, required biology, area, indication and phase). Unresolved means at least one gate lacks or has conflicting evidence. (2 of the eligible records share open identity flags and may be the same molecule; see identity flags.)</w:t>
      </w:r>
    </w:p>
    <w:p/>
    <w:p>
      <w:r/>
      <w:r>
        <w:rPr>
          <w:b/>
        </w:rPr>
        <w:t>Rights are a separate question.</w:t>
      </w:r>
      <w:r>
        <w:t xml:space="preserve"> Of the 8 eligible programs, U.S. rights status is: unknown 8. A U.S. labeler or holder is named in a cited source for 0 of them (an FDA labeler is not the legal owner, and neither says whether rights are available). No program is shown as available without an explicit statement.</w:t>
      </w:r>
    </w:p>
    <w:p/>
    <w:p>
      <w:r/>
      <w:r>
        <w:rPr>
          <w:b/>
        </w:rPr>
        <w:t>Candidates: 10 prepared by an AI assistant, NOT approved by a human analyst</w:t>
      </w:r>
      <w:r>
        <w:t xml:space="preserve"> (rank order by declared preferences, reasons per program in the workbook Screening sheet; rights shown separately):</w:t>
      </w:r>
    </w:p>
    <w:p>
      <w:pPr>
        <w:pStyle w:val="ListBullet"/>
      </w:pPr>
      <w:r>
        <w:t>LM-302 (LaNova Medicines Zhejiang Co., Ltd.): Phase 3 (open scientific question); U.S. rights unknown</w:t>
      </w:r>
    </w:p>
    <w:p>
      <w:pPr>
        <w:pStyle w:val="ListBullet"/>
      </w:pPr>
      <w:r>
        <w:t>QLS31905 (Qilu Pharmaceutical Co., Ltd.): Phase 3; U.S. rights unknown</w:t>
      </w:r>
    </w:p>
    <w:p>
      <w:pPr>
        <w:pStyle w:val="ListBullet"/>
      </w:pPr>
      <w:r>
        <w:t>ATG-022 (Antengene Biologics Limited): Phase 3 (open scientific question); U.S. rights unknown</w:t>
      </w:r>
    </w:p>
    <w:p>
      <w:pPr>
        <w:pStyle w:val="ListBullet"/>
      </w:pPr>
      <w:r>
        <w:t>JS107 (NingBo Junyan Hongshi Biosciences Co., Ltd): Phase 3; U.S. rights unknown</w:t>
      </w:r>
    </w:p>
    <w:p>
      <w:pPr>
        <w:pStyle w:val="ListBullet"/>
      </w:pPr>
      <w:r>
        <w:t>RC118 (RemeGen Co., Ltd.): Phase 2 (open scientific question); U.S. rights unknown</w:t>
      </w:r>
    </w:p>
    <w:p>
      <w:pPr>
        <w:pStyle w:val="ListBullet"/>
      </w:pPr>
      <w:r>
        <w:t>BL-M05D1 (Sichuan Baili Pharmaceutical Co., Ltd.): Phase 3; U.S. rights unknown</w:t>
      </w:r>
    </w:p>
    <w:p>
      <w:pPr>
        <w:pStyle w:val="ListBullet"/>
      </w:pPr>
      <w:r>
        <w:t>TORL-2-307-ADC (TORL Biotherapeutics, LLC): Phase 1; U.S. rights unknown</w:t>
      </w:r>
    </w:p>
    <w:p>
      <w:pPr>
        <w:pStyle w:val="ListBullet"/>
      </w:pPr>
      <w:r>
        <w:t>VBC108 (VelaVigo Bio Inc): Phase 2 (open scientific question); U.S. rights unknown</w:t>
      </w:r>
    </w:p>
    <w:p>
      <w:pPr>
        <w:pStyle w:val="ListBullet"/>
      </w:pPr>
      <w:r>
        <w:t>Givastomig (I-Mab Biopharma US Limited): Phase 2 (open scientific question); U.S. rights unknown</w:t>
      </w:r>
    </w:p>
    <w:p>
      <w:pPr>
        <w:pStyle w:val="ListBullet"/>
      </w:pPr>
      <w:r>
        <w:t>Spevatamig (PT886) (Phanes Therapeutics): Phase 2 (open scientific question); U.S. rights unknown</w:t>
      </w:r>
    </w:p>
    <w:p/>
    <w:p>
      <w:r/>
      <w:r>
        <w:rPr>
          <w:b/>
        </w:rPr>
        <w:t>Preliminary valuations</w:t>
      </w:r>
      <w:r>
        <w:t xml:space="preserve"> (BVE engine via CLI; hypothetical analyst inputs; $M rNPV):</w:t>
      </w:r>
    </w:p>
    <w:p>
      <w:pPr>
        <w:pStyle w:val="ListBullet"/>
      </w:pPr>
      <w:r>
        <w:t>NOT READY FOR VALUATION (no invented inputs): QLS31905 (11 missing), VBC108 (11 missing), TORL-2-307-ADC (11 missing), Givastomig (11 missing), BL-M05D1 (11 missing), JS107 (11 missing), Spevatamig (PT886) (11 missing).</w:t>
      </w:r>
    </w:p>
    <w:p>
      <w:pPr>
        <w:pStyle w:val="ListBullet"/>
      </w:pPr>
      <w:r>
        <w:t>No valuation was run. A valuation runs only for a finalist that a HUMAN reviewer approved and selected for valuation, with READY inputs.</w:t>
      </w:r>
    </w:p>
    <w:p/>
    <w:p>
      <w:r/>
      <w:r>
        <w:rPr>
          <w:b/>
        </w:rPr>
        <w:t>Investigate next.</w:t>
      </w:r>
      <w:r/>
    </w:p>
    <w:p>
      <w:pPr>
        <w:pStyle w:val="ListBullet"/>
      </w:pPr>
      <w:r>
        <w:t>5 cited fact(s) proposed by an AI assistant await human confirmation (they change nothing until confirmed; re-check each quote at its URL).</w:t>
      </w:r>
    </w:p>
    <w:p>
      <w:pPr>
        <w:pStyle w:val="ListBullet"/>
      </w:pPr>
      <w:r>
        <w:t>Confirm ownership and U.S. rights for 10 of 10 listed programs (none is analyst-confirmed).</w:t>
      </w:r>
    </w:p>
    <w:p>
      <w:pPr>
        <w:pStyle w:val="ListBullet"/>
      </w:pPr>
      <w:r>
        <w:t>LM-302: resolve strategy.indication.</w:t>
      </w:r>
    </w:p>
    <w:p>
      <w:pPr>
        <w:pStyle w:val="ListBullet"/>
      </w:pPr>
      <w:r>
        <w:t>ATG-022: resolve strategy.indication.</w:t>
      </w:r>
    </w:p>
    <w:p>
      <w:pPr>
        <w:pStyle w:val="ListBullet"/>
      </w:pPr>
      <w:r>
        <w:t>RC118: resolve strategy.indication.</w:t>
      </w:r>
    </w:p>
    <w:p>
      <w:pPr>
        <w:pStyle w:val="ListBullet"/>
      </w:pPr>
      <w:r>
        <w:t>VBC108: resolve strategy.indication.</w:t>
      </w:r>
    </w:p>
    <w:p>
      <w:pPr>
        <w:pStyle w:val="ListBullet"/>
      </w:pPr>
      <w:r>
        <w:t>Givastomig: resolve strategy.indication.</w:t>
      </w:r>
    </w:p>
    <w:p>
      <w:pPr>
        <w:pStyle w:val="ListBullet"/>
      </w:pPr>
      <w:r>
        <w:t>Spevatamig (PT886): resolve strategy.indication.</w:t>
      </w:r>
    </w:p>
    <w:p>
      <w:pPr>
        <w:pStyle w:val="ListBullet"/>
      </w:pPr>
      <w:r>
        <w:t>Work the 28-program unresolved queue; open gates: strategy.indication (28), modality.required (8), evidence.phase_constraint (2), target.expression (1).</w:t>
      </w:r>
    </w:p>
    <w:p>
      <w:pPr>
        <w:pStyle w:val="ListBullet"/>
      </w:pPr>
      <w:r>
        <w:t>Replace hypothetical market and deal inputs with owned, sourced assumptions.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 screening memo</dc:title>
  <dc:subject/>
  <dc:creator>BVE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