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Permalink of the work: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http://viaf.org/viaf/206980422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World library: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https://www.wdl.org/en/item/10632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URN urn:cts:greekLit:tlg0656.tlg001.wellmann:3.113@ἀρτεμισία[1]-113@βαρύοσμα[1]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Language:  GRC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Author's name: Dioscorides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Author Permalink: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http://viaf.org/viaf/78822798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Edition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Georgia" w:cs="Georgia" w:eastAsia="Georgia" w:hAnsi="Georgia"/>
          <w:color w:val="2e0a03"/>
          <w:sz w:val="18"/>
          <w:szCs w:val="18"/>
          <w:rtl w:val="0"/>
        </w:rPr>
        <w:t xml:space="preserve">M. Wellmann, </w:t>
      </w:r>
      <w:r w:rsidDel="00000000" w:rsidR="00000000" w:rsidRPr="00000000">
        <w:rPr>
          <w:rFonts w:ascii="Georgia" w:cs="Georgia" w:eastAsia="Georgia" w:hAnsi="Georgia"/>
          <w:i w:val="1"/>
          <w:color w:val="2e0a03"/>
          <w:sz w:val="18"/>
          <w:szCs w:val="18"/>
          <w:rtl w:val="0"/>
        </w:rPr>
        <w:t xml:space="preserve">Pedanii Dioscuridis Anazarbei de materia medica libri quinque</w:t>
      </w:r>
      <w:r w:rsidDel="00000000" w:rsidR="00000000" w:rsidRPr="00000000">
        <w:rPr>
          <w:rFonts w:ascii="Georgia" w:cs="Georgia" w:eastAsia="Georgia" w:hAnsi="Georgia"/>
          <w:color w:val="2e0a03"/>
          <w:sz w:val="18"/>
          <w:szCs w:val="18"/>
          <w:rtl w:val="0"/>
        </w:rPr>
        <w:t xml:space="preserve">, 3 vols., Berlin: Weidmann, Lib.3:vol.2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Scientific name:  artemisia herba-alba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Picture: no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Commentary: no</w:t>
      </w:r>
    </w:p>
    <w:sectPr>
      <w:pgSz w:h="16838" w:w="11906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iaf.org/viaf/206980422" TargetMode="External"/><Relationship Id="rId7" Type="http://schemas.openxmlformats.org/officeDocument/2006/relationships/hyperlink" Target="https://www.wdl.org/en/item/10632" TargetMode="External"/><Relationship Id="rId8" Type="http://schemas.openxmlformats.org/officeDocument/2006/relationships/hyperlink" Target="http://viaf.org/viaf/788227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