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Community Workbench Trust Review — Implementation Prompt</w:t>
      </w:r>
    </w:p>
    <w:p>
      <w:pPr>
        <w:jc w:val="center"/>
      </w:pPr>
      <w:r>
        <w:rPr>
          <w:i/>
          <w:sz w:val="19"/>
        </w:rPr>
        <w:t>Prepared for direct use by a builder or coding agent</w:t>
      </w:r>
    </w:p>
    <w:p>
      <w:r>
        <w:t>Review and correct the remaining Community Workbench trust defects.</w:t>
      </w:r>
    </w:p>
    <w:p>
      <w:r>
        <w:t>Work from the current repository state at djcdevelopment/baseline. Do not redesign the page broadly. Preserve the existing information hierarchy, card layout, honesty guards, Discord invite flow, contribution-right schema, download prominence, and generated-HTML ownership.</w:t>
      </w:r>
    </w:p>
    <w:p>
      <w:r>
        <w:t>The goal is to eliminate the remaining cases where the page presents an action, count, status, or provenance claim that is technically true in the data but not actually executable or verifiable by a visitor.</w:t>
      </w:r>
    </w:p>
    <w:p>
      <w:pPr>
        <w:pStyle w:val="Heading1"/>
      </w:pPr>
      <w:r>
        <w:t>1. Fix the MCP Mod Channel task contradiction</w:t>
      </w:r>
    </w:p>
    <w:p>
      <w:r>
        <w:t>The MCP Mod Channel currently has a discussion label but a null href, while MC-1 says completion requires putting the result “in the thread.” That makes the task impossible to complete under its own done_when, while the page still counts and presents it as an open first task.</w:t>
      </w:r>
    </w:p>
    <w:p>
      <w:r>
        <w:rPr>
          <w:b/>
        </w:rPr>
        <w:t>Resolve this honestly using one of these approaches, in descending preference:</w:t>
      </w:r>
    </w:p>
    <w:p>
      <w:pPr>
        <w:pStyle w:val="ListNumber"/>
      </w:pPr>
      <w:r>
        <w:t>Create and wire the real MCP Mod Channel discussion thread.</w:t>
      </w:r>
    </w:p>
    <w:p>
      <w:pPr>
        <w:pStyle w:val="ListNumber"/>
      </w:pPr>
      <w:r>
        <w:t>Give MC-1 an explicit temporary completion destination in the main forum.</w:t>
      </w:r>
    </w:p>
    <w:p>
      <w:pPr>
        <w:pStyle w:val="ListNumber"/>
      </w:pPr>
      <w:r>
        <w:t>Mark MC-1 blocked and exclude it from the actionable-task count.</w:t>
      </w:r>
    </w:p>
    <w:p>
      <w:r>
        <w:t>Do not hide the inert discussion row merely to conceal the inconsistency.</w:t>
      </w:r>
    </w:p>
    <w:p>
      <w:r>
        <w:rPr>
          <w:b/>
        </w:rPr>
        <w:t>Add a build-time validation rule:</w:t>
      </w:r>
    </w:p>
    <w:p>
      <w:r>
        <w:t>If a task requires posting in “the thread,” the tool must have a non-null discussion destination.</w:t>
      </w:r>
    </w:p>
    <w:p>
      <w:r>
        <w:t>Otherwise the task must explicitly declare an alternative destination or a blocked state.</w:t>
      </w:r>
    </w:p>
    <w:p>
      <w:r>
        <w:t>A blocked task must not contribute to the hero’s actionable-task count.</w:t>
      </w:r>
    </w:p>
    <w:p>
      <w:r>
        <w:t>Prefer structured fields over parsing arbitrary prose. The renderer should communicate blocked state plainly rather than silently omitting the task.</w:t>
      </w:r>
    </w:p>
    <w:p>
      <w:pPr>
        <w:spacing w:before="60" w:after="120"/>
        <w:ind w:left="360" w:right="360"/>
        <w:shd w:fill="F2F2F2"/>
      </w:pPr>
      <w:r>
        <w:rPr>
          <w:rFonts w:ascii="Consolas" w:hAnsi="Consolas"/>
          <w:sz w:val="18"/>
        </w:rPr>
        <w:t>"completion": {</w:t>
        <w:br/>
        <w:t xml:space="preserve">  "destination_kind": "tool-thread",</w:t>
        <w:br/>
        <w:t xml:space="preserve">  "href": "https://discord.com/...",</w:t>
        <w:br/>
        <w:t xml:space="preserve">  "state": "actionable"</w:t>
        <w:br/>
        <w:t>}</w:t>
        <w:br/>
        <w:br/>
        <w:t>OR</w:t>
        <w:br/>
        <w:br/>
        <w:t>"completion": {</w:t>
        <w:br/>
        <w:t xml:space="preserve">  "destination_kind": "tool-thread",</w:t>
        <w:br/>
        <w:t xml:space="preserve">  "href": null,</w:t>
        <w:br/>
        <w:t xml:space="preserve">  "state": "blocked",</w:t>
        <w:br/>
        <w:t xml:space="preserve">  "blocked_reason": "Discussion thread has not been created yet."</w:t>
        <w:br/>
        <w:t>}</w:t>
      </w:r>
    </w:p>
    <w:p>
      <w:pPr>
        <w:pStyle w:val="Heading1"/>
      </w:pPr>
      <w:r>
        <w:t>2. Make the task count mean “actionable now”</w:t>
      </w:r>
    </w:p>
    <w:p>
      <w:r>
        <w:t>The hero currently reports a count such as “11 first tasks open.” That should not include tasks whose prerequisites are missing.</w:t>
      </w:r>
    </w:p>
    <w:p>
      <w:r>
        <w:t>Define and enforce the difference between present in the catalog, open, actionable now, and blocked.</w:t>
      </w:r>
    </w:p>
    <w:p>
      <w:r>
        <w:t>Use the actionable count in the hero. If blocked tasks exist, surface them separately and compactly, for example: “10 actionable · 1 blocked.”</w:t>
      </w:r>
    </w:p>
    <w:p>
      <w:r>
        <w:t>Do not inflate the invitation by counting work a contributor cannot complete.</w:t>
      </w:r>
    </w:p>
    <w:p>
      <w:r>
        <w:t>Add checks that every task has an explicit state or derives one deterministically; a task cannot be actionable when its required destination, source, download, or prerequisite is absent; the rendered hero count matches the computed actionable-task count; and hardcoded task-count prose is forbidden.</w:t>
      </w:r>
    </w:p>
    <w:p>
      <w:pPr>
        <w:pStyle w:val="Heading1"/>
      </w:pPr>
      <w:r>
        <w:t>3. Tighten publish provenance</w:t>
      </w:r>
    </w:p>
    <w:p>
      <w:r>
        <w:t>The current generated page can say “Rendered ... from an uncommitted working tree” and then be committed and publicly served unchanged. That statement records the renderer’s historical state, but it becomes ambiguous once the file exists at repository HEAD.</w:t>
      </w:r>
    </w:p>
    <w:p>
      <w:r>
        <w:t>Separate preview provenance from published provenance.</w:t>
      </w:r>
    </w:p>
    <w:p>
      <w:r>
        <w:t>Local preview from a dirty tree: render something explicit such as “Preview rendered 2026-07-29 11:07 UTC with uncommitted changes.” This artifact may be inspected locally but must not pass the production publish gate.</w:t>
      </w:r>
    </w:p>
    <w:p>
      <w:r>
        <w:t>Public production artifact: render “Published from e5b0089 · 2026-07-29 11:07 UTC.” Use the clean source commit SHA and a deterministic source timestamp.</w:t>
      </w:r>
    </w:p>
    <w:p>
      <w:r>
        <w:t>Production publishing must fail from a dirty tree. Public output must identify the source commit. Dirty-tree state belongs only on preview output. There must be one authoritative provenance path, not a manually maintained timestamp plus a separately inferred commit. Keep timezone formatting unambiguous.</w:t>
      </w:r>
    </w:p>
    <w:p>
      <w:r>
        <w:t>Do not use the file’s later commit as evidence if the generated artifact was actually produced from different content. The provenance must identify the source used by the generator.</w:t>
      </w:r>
    </w:p>
    <w:p>
      <w:pPr>
        <w:pStyle w:val="Heading1"/>
      </w:pPr>
      <w:r>
        <w:t>4. Remove duplicated access-policy prose</w:t>
      </w:r>
    </w:p>
    <w:p>
      <w:r>
        <w:t>The catalog now has structured contribution fields such as stage_3_reward and code_contributions, but several source.note values still repeat policy text such as “Nothing here is gated — what opens at ladder stage 3 is commit access, not the ability to read it.”</w:t>
      </w:r>
    </w:p>
    <w:p>
      <w:r>
        <w:t>This creates another drift surface. The contribution schema is now authoritative; arbitrary prose should not restate the same global policy.</w:t>
      </w:r>
    </w:p>
    <w:p>
      <w:r>
        <w:t>Refactor the renderer so compact access language is derived from structured fields including source visibility, repository, licence category, code_contributions, and stage_3_reward.</w:t>
      </w:r>
    </w:p>
    <w:p>
      <w:r>
        <w:t>Keep source.note only for tool-specific facts, such as the exact path, archive status, relationship between copies, or where supporting code lives.</w:t>
      </w:r>
    </w:p>
    <w:p>
      <w:r>
        <w:t>Do not mechanically delete useful source notes. Remove only duplicated policy claims.</w:t>
      </w:r>
    </w:p>
    <w:p>
      <w:r>
        <w:t>Add validation that prevents a source note from contradicting structured contribution rights.</w:t>
      </w:r>
    </w:p>
    <w:p>
      <w:pPr>
        <w:pStyle w:val="Heading1"/>
      </w:pPr>
      <w:r>
        <w:t>5. Introduce explicit operator identity</w:t>
      </w:r>
    </w:p>
    <w:p>
      <w:r>
        <w:t>Stage four currently says “Derek agrees you are the person holding it.” A stranger has not necessarily been told who Derek is, while the rest of the page generally uses “the operator.”</w:t>
      </w:r>
    </w:p>
    <w:p>
      <w:r>
        <w:t>Choose one consistent model: use “the project operator” in the ladder, or introduce Derek once as the named project operator and link to a stable identity or ownership document.</w:t>
      </w:r>
    </w:p>
    <w:p>
      <w:r>
        <w:t>Do not turn this into personal branding. The purpose is governance clarity: the visitor should know who grants ownership and why that person has the authority.</w:t>
      </w:r>
    </w:p>
    <w:p>
      <w:r>
        <w:t>Preferred wording: “Sustained the contribution over time, and the project operator agrees you are the person holding it.”</w:t>
      </w:r>
    </w:p>
    <w:p>
      <w:r>
        <w:t>If Derek remains named, define him once and use the same term consistently across the page and Discord instructions.</w:t>
      </w:r>
    </w:p>
    <w:p>
      <w:pPr>
        <w:pStyle w:val="Heading1"/>
      </w:pPr>
      <w:r>
        <w:t>6. Add publish-time remote destination verification</w:t>
      </w:r>
    </w:p>
    <w:p>
      <w:r>
        <w:t>Keep ordinary render/check deterministic and offline where practical. Add a distinct publish verification step for claims that require live remote state.</w:t>
      </w:r>
    </w:p>
    <w:p>
      <w:r>
        <w:t>At publish time, verify Discord: the invite resolves; it targets the expected guild; it has not expired; every non-null forum or thread URL resolves; and every tool task requiring a thread has a live thread destination.</w:t>
      </w:r>
    </w:p>
    <w:p>
      <w:r>
        <w:t>Verify GitHub: every public repository URL resolves; every deep-linked path exists; repository visibility matches the catalog’s declared source visibility; OWNERS.md resolves; and licence links or named licence files resolve where the page relies on them.</w:t>
      </w:r>
    </w:p>
    <w:p>
      <w:r>
        <w:t>Verify downloads: every published download returns successfully; response size matches size_bytes; SHA-256 matches the catalog; the download manifest shape matches the consumer contract; and the package is the artifact the card claims it is.</w:t>
      </w:r>
    </w:p>
    <w:p>
      <w:r>
        <w:t>Verify internal routes: /community, /roadmap, and other promoted internal links return successfully; redirects do not unexpectedly land on authentication gates or error pages.</w:t>
      </w:r>
    </w:p>
    <w:p>
      <w:r>
        <w:t>Separate failures clearly into render/schema failure, offline content-integrity failure, and live publish-verification failure.</w:t>
      </w:r>
    </w:p>
    <w:p>
      <w:r>
        <w:t>Do not let transient remote checks make local editing impossible. They belong in the release path.</w:t>
      </w:r>
    </w:p>
    <w:p>
      <w:pPr>
        <w:pStyle w:val="Heading1"/>
      </w:pPr>
      <w:r>
        <w:t>7. Preserve these decisions</w:t>
      </w:r>
    </w:p>
    <w:p>
      <w:r>
        <w:rPr>
          <w:b/>
        </w:rPr>
        <w:t>Do not change: tools appearing before the ladder; the dense seven-tool index; the card action row; status_detail, requirements, and download digests remaining outside details; visible SHA-256, size, and published metadata; the not_a_verdict content; RECOVERABLE · NOT RUNNING; Unknown — nothing runs yet. CG-1 produces the first honest estimate.; the inert discussion-row pattern for destinations that genuinely do not exist; BUSL-1.1 or proprietary licence descriptions; per-tool stage-three contribution rights; the current honest reply language; the explicit print limitation; JSON → generator → HTML ownership; the rule that generated HTML is never hand-edited; and downloads remaining primary where they provide a meaningful cold-start package.</w:t>
      </w:r>
    </w:p>
    <w:p>
      <w:r>
        <w:t>Do not reintroduce a response-time promise.</w:t>
      </w:r>
    </w:p>
    <w:p>
      <w:r>
        <w:t>Do not hide blocked state to make the catalog look more complete.</w:t>
      </w:r>
    </w:p>
    <w:p>
      <w:pPr>
        <w:pStyle w:val="Heading1"/>
      </w:pPr>
      <w:r>
        <w:t>8. Add regression tests and negative tests</w:t>
      </w:r>
    </w:p>
    <w:p>
      <w:r>
        <w:t>For every new invariant, prove the guard is load-bearing.</w:t>
      </w:r>
    </w:p>
    <w:p>
      <w:r>
        <w:rPr>
          <w:b/>
        </w:rPr>
        <w:t>At minimum, negative-test:</w:t>
      </w:r>
    </w:p>
    <w:p>
      <w:pPr>
        <w:pStyle w:val="ListBullet"/>
      </w:pPr>
      <w:r>
        <w:t>A task says “post it in the thread” while discussion.href is null.</w:t>
      </w:r>
    </w:p>
    <w:p>
      <w:pPr>
        <w:pStyle w:val="ListBullet"/>
      </w:pPr>
      <w:r>
        <w:t>A blocked task is incorrectly included in the actionable count.</w:t>
      </w:r>
    </w:p>
    <w:p>
      <w:pPr>
        <w:pStyle w:val="ListBullet"/>
      </w:pPr>
      <w:r>
        <w:t>A hardcoded headline task count disagrees with computed data.</w:t>
      </w:r>
    </w:p>
    <w:p>
      <w:pPr>
        <w:pStyle w:val="ListBullet"/>
      </w:pPr>
      <w:r>
        <w:t>Production publish runs from a dirty tree.</w:t>
      </w:r>
    </w:p>
    <w:p>
      <w:pPr>
        <w:pStyle w:val="ListBullet"/>
      </w:pPr>
      <w:r>
        <w:t>Published HTML lacks a source commit.</w:t>
      </w:r>
    </w:p>
    <w:p>
      <w:pPr>
        <w:pStyle w:val="ListBullet"/>
      </w:pPr>
      <w:r>
        <w:t>Structured code_contributions: false coexists with source prose promising commit access.</w:t>
      </w:r>
    </w:p>
    <w:p>
      <w:pPr>
        <w:pStyle w:val="ListBullet"/>
      </w:pPr>
      <w:r>
        <w:t>A public-repo deep link returns 404.</w:t>
      </w:r>
    </w:p>
    <w:p>
      <w:pPr>
        <w:pStyle w:val="ListBullet"/>
      </w:pPr>
      <w:r>
        <w:t>A Discord invite is validly shaped but expired.</w:t>
      </w:r>
    </w:p>
    <w:p>
      <w:pPr>
        <w:pStyle w:val="ListBullet"/>
      </w:pPr>
      <w:r>
        <w:t>A discussion URL points to the wrong guild.</w:t>
      </w:r>
    </w:p>
    <w:p>
      <w:pPr>
        <w:pStyle w:val="ListBullet"/>
      </w:pPr>
      <w:r>
        <w:t>A download returns the wrong digest or size.</w:t>
      </w:r>
    </w:p>
    <w:p>
      <w:r>
        <w:t>Show that each mutation fails for the intended reason, then restore the valid state and confirm the output is deterministic.</w:t>
      </w:r>
    </w:p>
    <w:p>
      <w:pPr>
        <w:pStyle w:val="Heading1"/>
      </w:pPr>
      <w:r>
        <w:t>9. Verification</w:t>
      </w:r>
    </w:p>
    <w:p>
      <w:r>
        <w:rPr>
          <w:b/>
        </w:rPr>
        <w:t>Before committing:</w:t>
      </w:r>
    </w:p>
    <w:p>
      <w:pPr>
        <w:pStyle w:val="ListBullet"/>
      </w:pPr>
      <w:r>
        <w:t>Run workbench:render.</w:t>
      </w:r>
    </w:p>
    <w:p>
      <w:pPr>
        <w:pStyle w:val="ListBullet"/>
      </w:pPr>
      <w:r>
        <w:t>Run workbench:check.</w:t>
      </w:r>
    </w:p>
    <w:p>
      <w:pPr>
        <w:pStyle w:val="ListBullet"/>
      </w:pPr>
      <w:r>
        <w:t>Run all new schema and regression tests.</w:t>
      </w:r>
    </w:p>
    <w:p>
      <w:pPr>
        <w:pStyle w:val="ListBullet"/>
      </w:pPr>
      <w:r>
        <w:t>Run the publish-verification path against the current live destinations.</w:t>
      </w:r>
    </w:p>
    <w:p>
      <w:pPr>
        <w:pStyle w:val="ListBullet"/>
      </w:pPr>
      <w:r>
        <w:t>Confirm every actionable task can be started and completed using only destinations exposed by its card.</w:t>
      </w:r>
    </w:p>
    <w:p>
      <w:pPr>
        <w:pStyle w:val="ListBullet"/>
      </w:pPr>
      <w:r>
        <w:t>Confirm blocked tasks are labeled and excluded from the actionable count.</w:t>
      </w:r>
    </w:p>
    <w:p>
      <w:pPr>
        <w:pStyle w:val="ListBullet"/>
      </w:pPr>
      <w:r>
        <w:t>Confirm production provenance names a clean source commit.</w:t>
      </w:r>
    </w:p>
    <w:p>
      <w:pPr>
        <w:pStyle w:val="ListBullet"/>
      </w:pPr>
      <w:r>
        <w:t>Confirm preview provenance clearly identifies dirty-tree output.</w:t>
      </w:r>
    </w:p>
    <w:p>
      <w:pPr>
        <w:pStyle w:val="ListBullet"/>
      </w:pPr>
      <w:r>
        <w:t>Confirm all seven tools retain explicit contribution rights.</w:t>
      </w:r>
    </w:p>
    <w:p>
      <w:pPr>
        <w:pStyle w:val="ListBullet"/>
      </w:pPr>
      <w:r>
        <w:t>Confirm the served page hash matches the locally generated production artifact.</w:t>
      </w:r>
    </w:p>
    <w:p>
      <w:pPr>
        <w:pStyle w:val="ListBullet"/>
      </w:pPr>
      <w:r>
        <w:t>Confirm generated HTML was not edited directly.</w:t>
      </w:r>
    </w:p>
    <w:p>
      <w:pPr>
        <w:pStyle w:val="ListBullet"/>
      </w:pPr>
      <w:r>
        <w:t>Inspect the 1280×800 fold for regressions, but do not remove load-bearing honesty content to recover space.</w:t>
      </w:r>
    </w:p>
    <w:p>
      <w:r>
        <w:t>Create focused commits with clear separation between task/actionability schema and rendering; publish provenance; live destination verification; and copy cleanup derived from structured policy.</w:t>
      </w:r>
    </w:p>
    <w:p>
      <w:r>
        <w:t>Do not push.</w:t>
      </w:r>
    </w:p>
    <w:p>
      <w:pPr>
        <w:pStyle w:val="Heading1"/>
      </w:pPr>
      <w:r>
        <w:t>Completion report</w:t>
      </w:r>
    </w:p>
    <w:p>
      <w:r>
        <w:t>Report the exact remaining contradiction found and how it was resolved; schema changes; how actionable and blocked tasks are computed; the final actionable-task count; preview and production provenance examples; every new offline guard; every new publish-time remote check; negative-test results showing the guards are load-bearing; the current status of all Discord, GitHub, internal, and download destinations; any destination or behavior that could not be verified; and the commit SHAs created.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Community Workbench trust review implementation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Workbench Trust Review — Implementation Prompt</dc:title>
  <dc:subject>Implementation prompt for remaining trust, actionability, and publish-verification defects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