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8784"/>
            <w:shd w:val="clear" w:color="auto" w:fill="1A1A1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rFonts w:ascii="Calibri" w:hAnsi="Calibri"/>
                <w:b/>
                <w:color w:val="FFFFFF"/>
                <w:sz w:val="16"/>
              </w:rPr>
              <w:t>CONFIDENTIAL — VENDOR MANAGEMENT SUBMISSION — NOT FOR GENERAL DISTRIBUTION</w:t>
            </w:r>
          </w:p>
        </w:tc>
      </w:tr>
    </w:tbl>
    <w:p>
      <w:pPr>
        <w:spacing w:before="0" w:after="0" w:line="400" w:lineRule="exact"/>
      </w:pPr>
    </w:p>
    <w:p>
      <w:pPr>
        <w:spacing w:before="0" w:after="40"/>
      </w:pPr>
      <w:r>
        <w:rPr>
          <w:rFonts w:ascii="Calibri" w:hAnsi="Calibri"/>
          <w:b/>
          <w:i w:val="0"/>
          <w:color w:val="1A1A1A"/>
          <w:sz w:val="60"/>
        </w:rPr>
        <w:t>CGI</w:t>
      </w:r>
    </w:p>
    <w:p>
      <w:pPr>
        <w:spacing w:before="0" w:after="360"/>
      </w:pPr>
      <w:r>
        <w:rPr>
          <w:rFonts w:ascii="Calibri" w:hAnsi="Calibri"/>
          <w:b w:val="0"/>
          <w:i w:val="0"/>
          <w:color w:val="6D6D6D"/>
          <w:sz w:val="18"/>
        </w:rPr>
        <w:t>Consult · Build · Run</w:t>
      </w:r>
    </w:p>
    <w:tbl>
      <w:tblPr>
        <w:tblW w:type="auto" w:w="0"/>
        <w:jc w:val="left"/>
        <w:tblLook w:firstColumn="1" w:firstRow="1" w:lastColumn="0" w:lastRow="0" w:noHBand="0" w:noVBand="1" w:val="04A0"/>
      </w:tblPr>
      <w:tblGrid>
        <w:gridCol w:w="8784"/>
      </w:tblGrid>
      <w:tr>
        <w:trPr>
          <w:trHeight w:val="40"/>
        </w:trPr>
        <w:tc>
          <w:tcPr>
            <w:tcW w:type="dxa" w:w="8784"/>
            <w:shd w:val="clear" w:color="auto" w:fill="1A1A1A"/>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r>
    </w:tbl>
    <w:p>
      <w:pPr>
        <w:spacing w:before="0" w:after="0" w:line="280" w:lineRule="exact"/>
      </w:pPr>
    </w:p>
    <w:p>
      <w:pPr>
        <w:spacing w:before="0" w:after="80"/>
      </w:pPr>
      <w:r>
        <w:rPr>
          <w:rFonts w:ascii="Calibri" w:hAnsi="Calibri"/>
          <w:b/>
          <w:i w:val="0"/>
          <w:color w:val="6D6D6D"/>
          <w:sz w:val="17"/>
        </w:rPr>
        <w:t>PROJECT REFERENCE DOCUMENT  ·  VENDOR MANAGEMENT SUBMISSION</w:t>
      </w:r>
    </w:p>
    <w:p>
      <w:pPr>
        <w:spacing w:before="80" w:after="80"/>
      </w:pPr>
      <w:r>
        <w:rPr>
          <w:rFonts w:ascii="Calibri" w:hAnsi="Calibri"/>
          <w:b/>
          <w:i w:val="0"/>
          <w:color w:val="1A1A1A"/>
          <w:sz w:val="44"/>
        </w:rPr>
        <w:t>Artificial Intelligence Usage Guidelines</w:t>
      </w:r>
    </w:p>
    <w:p>
      <w:pPr>
        <w:spacing w:before="0" w:after="520"/>
      </w:pPr>
      <w:r>
        <w:rPr>
          <w:rFonts w:ascii="Calibri" w:hAnsi="Calibri"/>
          <w:b w:val="0"/>
          <w:i w:val="0"/>
          <w:color w:val="6D6D6D"/>
          <w:sz w:val="22"/>
        </w:rPr>
        <w:t>FAST Document Analysis Platform</w:t>
        <w:br/>
        <w:t>Design, Development, Testing, Deployment &amp; Monitoring</w:t>
      </w:r>
    </w:p>
    <w:tbl>
      <w:tblPr>
        <w:tblW w:type="auto" w:w="0"/>
        <w:jc w:val="left"/>
        <w:tblLook w:firstColumn="1" w:firstRow="1" w:lastColumn="0" w:lastRow="0" w:noHBand="0" w:noVBand="1" w:val="04A0"/>
      </w:tblPr>
      <w:tblGrid>
        <w:gridCol w:w="4392"/>
        <w:gridCol w:w="4392"/>
      </w:tblGrid>
      <w:tr>
        <w:tc>
          <w:tcPr>
            <w:tcW w:type="dxa" w:w="27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i w:val="0"/>
                <w:color w:val="6D6D6D"/>
                <w:sz w:val="15"/>
              </w:rPr>
              <w:t>PREPARED BY</w:t>
            </w:r>
          </w:p>
        </w:tc>
        <w:tc>
          <w:tcPr>
            <w:tcW w:type="dxa" w:w="56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val="0"/>
                <w:i w:val="0"/>
                <w:color w:val="3A3A3A"/>
                <w:sz w:val="20"/>
              </w:rPr>
              <w:t>CGI Inc. — Project Delivery</w:t>
            </w:r>
          </w:p>
        </w:tc>
      </w:tr>
      <w:tr>
        <w:tc>
          <w:tcPr>
            <w:tcW w:type="dxa" w:w="27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i w:val="0"/>
                <w:color w:val="6D6D6D"/>
                <w:sz w:val="15"/>
              </w:rPr>
              <w:t>SUBMITTED TO</w:t>
            </w:r>
          </w:p>
        </w:tc>
        <w:tc>
          <w:tcPr>
            <w:tcW w:type="dxa" w:w="56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val="0"/>
                <w:i w:val="0"/>
                <w:color w:val="3A3A3A"/>
                <w:sz w:val="20"/>
              </w:rPr>
              <w:t>Liberty Mutual — Vendor Management Office</w:t>
            </w:r>
          </w:p>
        </w:tc>
      </w:tr>
      <w:tr>
        <w:tc>
          <w:tcPr>
            <w:tcW w:type="dxa" w:w="27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i w:val="0"/>
                <w:color w:val="6D6D6D"/>
                <w:sz w:val="15"/>
              </w:rPr>
              <w:t>DOCUMENT VERSION</w:t>
            </w:r>
          </w:p>
        </w:tc>
        <w:tc>
          <w:tcPr>
            <w:tcW w:type="dxa" w:w="56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val="0"/>
                <w:i w:val="0"/>
                <w:color w:val="3A3A3A"/>
                <w:sz w:val="20"/>
              </w:rPr>
              <w:t>1.0</w:t>
            </w:r>
          </w:p>
        </w:tc>
      </w:tr>
      <w:tr>
        <w:tc>
          <w:tcPr>
            <w:tcW w:type="dxa" w:w="27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i w:val="0"/>
                <w:color w:val="6D6D6D"/>
                <w:sz w:val="15"/>
              </w:rPr>
              <w:t>DATE</w:t>
            </w:r>
          </w:p>
        </w:tc>
        <w:tc>
          <w:tcPr>
            <w:tcW w:type="dxa" w:w="56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val="0"/>
                <w:i w:val="0"/>
                <w:color w:val="3A3A3A"/>
                <w:sz w:val="20"/>
              </w:rPr>
              <w:t>July 14, 2026</w:t>
            </w:r>
          </w:p>
        </w:tc>
      </w:tr>
      <w:tr>
        <w:tc>
          <w:tcPr>
            <w:tcW w:type="dxa" w:w="27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i w:val="0"/>
                <w:color w:val="6D6D6D"/>
                <w:sz w:val="15"/>
              </w:rPr>
              <w:t>REVIEW CYCLE</w:t>
            </w:r>
          </w:p>
        </w:tc>
        <w:tc>
          <w:tcPr>
            <w:tcW w:type="dxa" w:w="56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val="0"/>
                <w:i w:val="0"/>
                <w:color w:val="3A3A3A"/>
                <w:sz w:val="20"/>
              </w:rPr>
              <w:t>Annual or on material change</w:t>
            </w:r>
          </w:p>
        </w:tc>
      </w:tr>
      <w:tr>
        <w:tc>
          <w:tcPr>
            <w:tcW w:type="dxa" w:w="27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i w:val="0"/>
                <w:color w:val="6D6D6D"/>
                <w:sz w:val="15"/>
              </w:rPr>
              <w:t>CLASSIFICATION</w:t>
            </w:r>
          </w:p>
        </w:tc>
        <w:tc>
          <w:tcPr>
            <w:tcW w:type="dxa" w:w="56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pPr>
            <w:r>
              <w:rPr>
                <w:rFonts w:ascii="Calibri" w:hAnsi="Calibri"/>
                <w:b w:val="0"/>
                <w:i w:val="0"/>
                <w:color w:val="3A3A3A"/>
                <w:sz w:val="20"/>
              </w:rPr>
              <w:t>Confidential</w:t>
            </w:r>
          </w:p>
        </w:tc>
      </w:tr>
    </w:tbl>
    <w:p>
      <w:pPr>
        <w:spacing w:before="0" w:after="0" w:line="240" w:lineRule="exact"/>
      </w:pPr>
    </w:p>
    <w:p>
      <w:pPr>
        <w:spacing w:before="0" w:after="0" w:line="280" w:lineRule="exact"/>
        <w:ind w:left="288"/>
      </w:pPr>
      <w:r>
        <w:rPr>
          <w:rFonts w:ascii="Calibri" w:hAnsi="Calibri"/>
          <w:b/>
          <w:i w:val="0"/>
          <w:color w:val="1A1A1A"/>
          <w:sz w:val="19"/>
        </w:rPr>
        <w:t xml:space="preserve">Notice: </w:t>
      </w:r>
      <w:r>
        <w:rPr>
          <w:rFonts w:ascii="Calibri" w:hAnsi="Calibri"/>
          <w:b w:val="0"/>
          <w:i w:val="0"/>
          <w:color w:val="6D6D6D"/>
          <w:sz w:val="19"/>
        </w:rPr>
        <w:t>This is a project-level reference document prepared by CGI's delivery team for the FAST platform. It reflects the practices applied within this engagement and is not an officially ratified CGI corporate policy. For CGI's enterprise Responsible AI framework, please contact your CGI account representative or CGI Legal &amp; Compliance.</w:t>
      </w:r>
    </w:p>
    <w:p>
      <w:r>
        <w:br w:type="page"/>
      </w:r>
    </w:p>
    <w:p>
      <w:pPr>
        <w:spacing w:before="0" w:after="280"/>
      </w:pPr>
      <w:r>
        <w:rPr>
          <w:rFonts w:ascii="Calibri" w:hAnsi="Calibri"/>
          <w:b/>
          <w:i w:val="0"/>
          <w:color w:val="1A1A1A"/>
          <w:sz w:val="18"/>
        </w:rPr>
        <w:t>CONTENTS</w:t>
      </w:r>
    </w:p>
    <w:p>
      <w:pPr>
        <w:spacing w:before="40" w:after="40"/>
      </w:pPr>
      <w:r>
        <w:rPr>
          <w:rFonts w:ascii="Calibri" w:hAnsi="Calibri"/>
          <w:b/>
          <w:i w:val="0"/>
          <w:color w:val="1A1A1A"/>
          <w:sz w:val="20"/>
        </w:rPr>
        <w:t xml:space="preserve">1.   </w:t>
      </w:r>
      <w:r>
        <w:rPr>
          <w:rFonts w:ascii="Calibri" w:hAnsi="Calibri"/>
          <w:b w:val="0"/>
          <w:i w:val="0"/>
          <w:color w:val="3A3A3A"/>
          <w:sz w:val="20"/>
        </w:rPr>
        <w:t>Purpose &amp; Scope</w:t>
      </w:r>
    </w:p>
    <w:p>
      <w:pPr>
        <w:spacing w:before="40" w:after="40"/>
      </w:pPr>
      <w:r>
        <w:rPr>
          <w:rFonts w:ascii="Calibri" w:hAnsi="Calibri"/>
          <w:b/>
          <w:i w:val="0"/>
          <w:color w:val="1A1A1A"/>
          <w:sz w:val="20"/>
        </w:rPr>
        <w:t xml:space="preserve">2.   </w:t>
      </w:r>
      <w:r>
        <w:rPr>
          <w:rFonts w:ascii="Calibri" w:hAnsi="Calibri"/>
          <w:b w:val="0"/>
          <w:i w:val="0"/>
          <w:color w:val="3A3A3A"/>
          <w:sz w:val="20"/>
        </w:rPr>
        <w:t>Design &amp; Architecture Approach</w:t>
      </w:r>
    </w:p>
    <w:p>
      <w:pPr>
        <w:spacing w:before="40" w:after="40"/>
      </w:pPr>
      <w:r>
        <w:rPr>
          <w:rFonts w:ascii="Calibri" w:hAnsi="Calibri"/>
          <w:b/>
          <w:i w:val="0"/>
          <w:color w:val="1A1A1A"/>
          <w:sz w:val="20"/>
        </w:rPr>
        <w:t xml:space="preserve">3.   </w:t>
      </w:r>
      <w:r>
        <w:rPr>
          <w:rFonts w:ascii="Calibri" w:hAnsi="Calibri"/>
          <w:b w:val="0"/>
          <w:i w:val="0"/>
          <w:color w:val="3A3A3A"/>
          <w:sz w:val="20"/>
        </w:rPr>
        <w:t>Development Practices</w:t>
      </w:r>
    </w:p>
    <w:p>
      <w:pPr>
        <w:spacing w:before="40" w:after="40"/>
      </w:pPr>
      <w:r>
        <w:rPr>
          <w:rFonts w:ascii="Calibri" w:hAnsi="Calibri"/>
          <w:b/>
          <w:i w:val="0"/>
          <w:color w:val="1A1A1A"/>
          <w:sz w:val="20"/>
        </w:rPr>
        <w:t xml:space="preserve">4.   </w:t>
      </w:r>
      <w:r>
        <w:rPr>
          <w:rFonts w:ascii="Calibri" w:hAnsi="Calibri"/>
          <w:b w:val="0"/>
          <w:i w:val="0"/>
          <w:color w:val="3A3A3A"/>
          <w:sz w:val="20"/>
        </w:rPr>
        <w:t>Testing &amp; Validation</w:t>
      </w:r>
    </w:p>
    <w:p>
      <w:pPr>
        <w:spacing w:before="40" w:after="40"/>
      </w:pPr>
      <w:r>
        <w:rPr>
          <w:rFonts w:ascii="Calibri" w:hAnsi="Calibri"/>
          <w:b/>
          <w:i w:val="0"/>
          <w:color w:val="1A1A1A"/>
          <w:sz w:val="20"/>
        </w:rPr>
        <w:t xml:space="preserve">5.   </w:t>
      </w:r>
      <w:r>
        <w:rPr>
          <w:rFonts w:ascii="Calibri" w:hAnsi="Calibri"/>
          <w:b w:val="0"/>
          <w:i w:val="0"/>
          <w:color w:val="3A3A3A"/>
          <w:sz w:val="20"/>
        </w:rPr>
        <w:t>Deployment Approach</w:t>
      </w:r>
    </w:p>
    <w:p>
      <w:pPr>
        <w:spacing w:before="40" w:after="40"/>
      </w:pPr>
      <w:r>
        <w:rPr>
          <w:rFonts w:ascii="Calibri" w:hAnsi="Calibri"/>
          <w:b/>
          <w:i w:val="0"/>
          <w:color w:val="1A1A1A"/>
          <w:sz w:val="20"/>
        </w:rPr>
        <w:t xml:space="preserve">6.   </w:t>
      </w:r>
      <w:r>
        <w:rPr>
          <w:rFonts w:ascii="Calibri" w:hAnsi="Calibri"/>
          <w:b w:val="0"/>
          <w:i w:val="0"/>
          <w:color w:val="3A3A3A"/>
          <w:sz w:val="20"/>
        </w:rPr>
        <w:t>Intended Use &amp; Boundaries</w:t>
      </w:r>
    </w:p>
    <w:p>
      <w:pPr>
        <w:spacing w:before="40" w:after="40"/>
      </w:pPr>
      <w:r>
        <w:rPr>
          <w:rFonts w:ascii="Calibri" w:hAnsi="Calibri"/>
          <w:b/>
          <w:i w:val="0"/>
          <w:color w:val="1A1A1A"/>
          <w:sz w:val="20"/>
        </w:rPr>
        <w:t xml:space="preserve">7.   </w:t>
      </w:r>
      <w:r>
        <w:rPr>
          <w:rFonts w:ascii="Calibri" w:hAnsi="Calibri"/>
          <w:b w:val="0"/>
          <w:i w:val="0"/>
          <w:color w:val="3A3A3A"/>
          <w:sz w:val="20"/>
        </w:rPr>
        <w:t>Monitoring &amp; Performance Review</w:t>
      </w:r>
    </w:p>
    <w:p>
      <w:pPr>
        <w:spacing w:before="40" w:after="40"/>
      </w:pPr>
      <w:r>
        <w:rPr>
          <w:rFonts w:ascii="Calibri" w:hAnsi="Calibri"/>
          <w:b/>
          <w:i w:val="0"/>
          <w:color w:val="1A1A1A"/>
          <w:sz w:val="20"/>
        </w:rPr>
        <w:t xml:space="preserve">8.   </w:t>
      </w:r>
      <w:r>
        <w:rPr>
          <w:rFonts w:ascii="Calibri" w:hAnsi="Calibri"/>
          <w:b w:val="0"/>
          <w:i w:val="0"/>
          <w:color w:val="3A3A3A"/>
          <w:sz w:val="20"/>
        </w:rPr>
        <w:t>Data Handling in AI Processing</w:t>
      </w:r>
    </w:p>
    <w:p>
      <w:pPr>
        <w:spacing w:before="40" w:after="40"/>
      </w:pPr>
      <w:r>
        <w:rPr>
          <w:rFonts w:ascii="Calibri" w:hAnsi="Calibri"/>
          <w:b/>
          <w:i w:val="0"/>
          <w:color w:val="1A1A1A"/>
          <w:sz w:val="20"/>
        </w:rPr>
        <w:t xml:space="preserve">9.   </w:t>
      </w:r>
      <w:r>
        <w:rPr>
          <w:rFonts w:ascii="Calibri" w:hAnsi="Calibri"/>
          <w:b w:val="0"/>
          <w:i w:val="0"/>
          <w:color w:val="3A3A3A"/>
          <w:sz w:val="20"/>
        </w:rPr>
        <w:t>Incident Handling</w:t>
      </w:r>
    </w:p>
    <w:p>
      <w:pPr>
        <w:spacing w:before="40" w:after="40"/>
      </w:pPr>
      <w:r>
        <w:rPr>
          <w:rFonts w:ascii="Calibri" w:hAnsi="Calibri"/>
          <w:b/>
          <w:i w:val="0"/>
          <w:color w:val="1A1A1A"/>
          <w:sz w:val="20"/>
        </w:rPr>
        <w:t xml:space="preserve">10.   </w:t>
      </w:r>
      <w:r>
        <w:rPr>
          <w:rFonts w:ascii="Calibri" w:hAnsi="Calibri"/>
          <w:b w:val="0"/>
          <w:i w:val="0"/>
          <w:color w:val="3A3A3A"/>
          <w:sz w:val="20"/>
        </w:rPr>
        <w:t>Governance &amp; Contacts</w:t>
      </w:r>
    </w:p>
    <w:p>
      <w:pPr>
        <w:spacing w:before="40" w:after="40"/>
      </w:pPr>
      <w:r>
        <w:rPr>
          <w:rFonts w:ascii="Calibri" w:hAnsi="Calibri"/>
          <w:b/>
          <w:i w:val="0"/>
          <w:color w:val="1A1A1A"/>
          <w:sz w:val="20"/>
        </w:rPr>
        <w:t xml:space="preserve">11.   </w:t>
      </w:r>
      <w:r>
        <w:rPr>
          <w:rFonts w:ascii="Calibri" w:hAnsi="Calibri"/>
          <w:b w:val="0"/>
          <w:i w:val="0"/>
          <w:color w:val="3A3A3A"/>
          <w:sz w:val="20"/>
        </w:rPr>
        <w:t>Document Control</w:t>
      </w:r>
    </w:p>
    <w:p>
      <w:r>
        <w:br w:type="page"/>
      </w:r>
    </w:p>
    <w:p>
      <w:pPr>
        <w:spacing w:before="360" w:after="80"/>
        <w:pBdr>
          <w:bottom w:val="single" w:sz="6" w:space="4" w:color="1A1A1A"/>
        </w:pBdr>
      </w:pPr>
      <w:r>
        <w:rPr>
          <w:rFonts w:ascii="Calibri" w:hAnsi="Calibri"/>
          <w:b/>
          <w:i w:val="0"/>
          <w:color w:val="1A1A1A"/>
          <w:sz w:val="26"/>
        </w:rPr>
        <w:t xml:space="preserve">1.  </w:t>
      </w:r>
      <w:r>
        <w:rPr>
          <w:rFonts w:ascii="Calibri" w:hAnsi="Calibri"/>
          <w:b/>
          <w:i w:val="0"/>
          <w:color w:val="1A1A1A"/>
          <w:sz w:val="26"/>
        </w:rPr>
        <w:t>Purpose &amp; Scope</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This document describes the approach CGI has taken in designing, building, testing, deploying, and monitoring the AI capabilities within the FAST platform. It is intended to give Liberty Mutual's Vendor Management and IT teams a clear picture of how AI is used, what controls are in place, and how human oversight is maintained throughout.</w:t>
      </w:r>
    </w:p>
    <w:p>
      <w:pPr>
        <w:spacing w:before="200" w:after="60"/>
      </w:pPr>
      <w:r>
        <w:rPr>
          <w:rFonts w:ascii="Calibri" w:hAnsi="Calibri"/>
          <w:b/>
          <w:i w:val="0"/>
          <w:color w:val="1A1A1A"/>
          <w:sz w:val="18"/>
        </w:rPr>
        <w:t>1.1  What This Document Covers</w:t>
      </w:r>
    </w:p>
    <w:p>
      <w:pPr>
        <w:spacing w:before="20" w:after="40" w:line="280" w:lineRule="exact"/>
        <w:ind w:left="504" w:hanging="504"/>
      </w:pPr>
      <w:r>
        <w:rPr>
          <w:rFonts w:ascii="Calibri" w:hAnsi="Calibri"/>
          <w:b/>
          <w:i w:val="0"/>
          <w:color w:val="1A1A1A"/>
          <w:sz w:val="19"/>
        </w:rPr>
        <w:t xml:space="preserve">a.   </w:t>
      </w:r>
      <w:r>
        <w:rPr>
          <w:rFonts w:ascii="Calibri" w:hAnsi="Calibri"/>
          <w:b w:val="0"/>
          <w:i w:val="0"/>
          <w:color w:val="3A3A3A"/>
          <w:sz w:val="20"/>
        </w:rPr>
        <w:t>All AI components within FAST: document parsing, visual page comparison, semantic difference analysis, and optical character recognition.</w:t>
      </w:r>
    </w:p>
    <w:p>
      <w:pPr>
        <w:spacing w:before="20" w:after="40" w:line="280" w:lineRule="exact"/>
        <w:ind w:left="504" w:hanging="504"/>
      </w:pPr>
      <w:r>
        <w:rPr>
          <w:rFonts w:ascii="Calibri" w:hAnsi="Calibri"/>
          <w:b/>
          <w:i w:val="0"/>
          <w:color w:val="1A1A1A"/>
          <w:sz w:val="19"/>
        </w:rPr>
        <w:t xml:space="preserve">b.   </w:t>
      </w:r>
      <w:r>
        <w:rPr>
          <w:rFonts w:ascii="Calibri" w:hAnsi="Calibri"/>
          <w:b w:val="0"/>
          <w:i w:val="0"/>
          <w:color w:val="3A3A3A"/>
          <w:sz w:val="20"/>
        </w:rPr>
        <w:t>The practices applied by CGI's delivery team across development, testing, deployment, and ongoing support.</w:t>
      </w:r>
    </w:p>
    <w:p>
      <w:pPr>
        <w:spacing w:before="20" w:after="40" w:line="280" w:lineRule="exact"/>
        <w:ind w:left="504" w:hanging="504"/>
      </w:pPr>
      <w:r>
        <w:rPr>
          <w:rFonts w:ascii="Calibri" w:hAnsi="Calibri"/>
          <w:b/>
          <w:i w:val="0"/>
          <w:color w:val="1A1A1A"/>
          <w:sz w:val="19"/>
        </w:rPr>
        <w:t xml:space="preserve">c.   </w:t>
      </w:r>
      <w:r>
        <w:rPr>
          <w:rFonts w:ascii="Calibri" w:hAnsi="Calibri"/>
          <w:b w:val="0"/>
          <w:i w:val="0"/>
          <w:color w:val="3A3A3A"/>
          <w:sz w:val="20"/>
        </w:rPr>
        <w:t>Both operating environments: Dev/Test and Production.</w:t>
      </w:r>
    </w:p>
    <w:p>
      <w:pPr>
        <w:spacing w:before="200" w:after="60"/>
      </w:pPr>
      <w:r>
        <w:rPr>
          <w:rFonts w:ascii="Calibri" w:hAnsi="Calibri"/>
          <w:b/>
          <w:i w:val="0"/>
          <w:color w:val="1A1A1A"/>
          <w:sz w:val="18"/>
        </w:rPr>
        <w:t>1.2  AI Components in FAST</w:t>
      </w:r>
    </w:p>
    <w:tbl>
      <w:tblPr>
        <w:tblStyle w:val="TableGrid"/>
        <w:tblW w:type="auto" w:w="0"/>
        <w:jc w:val="left"/>
        <w:tblLook w:firstColumn="1" w:firstRow="1" w:lastColumn="0" w:lastRow="0" w:noHBand="0" w:noVBand="1" w:val="04A0"/>
      </w:tblPr>
      <w:tblGrid>
        <w:gridCol w:w="2928"/>
        <w:gridCol w:w="2928"/>
        <w:gridCol w:w="2928"/>
      </w:tblGrid>
      <w:tr>
        <w:tc>
          <w:tcPr>
            <w:tcW w:type="dxa" w:w="2160"/>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COMPONENT</w:t>
            </w:r>
          </w:p>
        </w:tc>
        <w:tc>
          <w:tcPr>
            <w:tcW w:type="dxa" w:w="2592"/>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TECHNOLOGY USED</w:t>
            </w:r>
          </w:p>
        </w:tc>
        <w:tc>
          <w:tcPr>
            <w:tcW w:type="dxa" w:w="417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WHAT IT DOES</w:t>
            </w:r>
          </w:p>
        </w:tc>
      </w:tr>
      <w:tr>
        <w:tc>
          <w:tcPr>
            <w:tcW w:type="dxa" w:w="216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Document Parser</w:t>
            </w:r>
          </w:p>
        </w:tc>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LlamaParse / PyMuPDF</w:t>
            </w:r>
          </w:p>
        </w:tc>
        <w:tc>
          <w:tcPr>
            <w:tcW w:type="dxa" w:w="417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Extracts text, tables, and structure from PDF documents</w:t>
            </w:r>
          </w:p>
        </w:tc>
      </w:tr>
      <w:tr>
        <w:tc>
          <w:tcPr>
            <w:tcW w:type="dxa" w:w="216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Vision Pipeline</w:t>
            </w:r>
          </w:p>
        </w:tc>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Claude via AWS Bedrock</w:t>
            </w:r>
          </w:p>
        </w:tc>
        <w:tc>
          <w:tcPr>
            <w:tcW w:type="dxa" w:w="417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Compares page images to detect visual changes, missing signatures, stamps</w:t>
            </w:r>
          </w:p>
        </w:tc>
      </w:tr>
      <w:tr>
        <w:tc>
          <w:tcPr>
            <w:tcW w:type="dxa" w:w="216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Semantic Diff Engine</w:t>
            </w:r>
          </w:p>
        </w:tc>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Claude via AWS Bedrock</w:t>
            </w:r>
          </w:p>
        </w:tc>
        <w:tc>
          <w:tcPr>
            <w:tcW w:type="dxa" w:w="417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Interprets field-level differences and produces structured findings</w:t>
            </w:r>
          </w:p>
        </w:tc>
      </w:tr>
      <w:tr>
        <w:tc>
          <w:tcPr>
            <w:tcW w:type="dxa" w:w="216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OCR Manager</w:t>
            </w:r>
          </w:p>
        </w:tc>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Claude Vision / Tesseract</w:t>
            </w:r>
          </w:p>
        </w:tc>
        <w:tc>
          <w:tcPr>
            <w:tcW w:type="dxa" w:w="417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Reads text from scanned or image-based pages</w:t>
            </w:r>
          </w:p>
        </w:tc>
      </w:tr>
    </w:tbl>
    <w:p>
      <w:pPr>
        <w:spacing w:before="0" w:after="0" w:line="160" w:lineRule="exact"/>
      </w:pPr>
    </w:p>
    <w:p>
      <w:pPr>
        <w:spacing w:before="360" w:after="80"/>
        <w:pBdr>
          <w:bottom w:val="single" w:sz="6" w:space="4" w:color="1A1A1A"/>
        </w:pBdr>
      </w:pPr>
      <w:r>
        <w:rPr>
          <w:rFonts w:ascii="Calibri" w:hAnsi="Calibri"/>
          <w:b/>
          <w:i w:val="0"/>
          <w:color w:val="1A1A1A"/>
          <w:sz w:val="26"/>
        </w:rPr>
        <w:t xml:space="preserve">2.  </w:t>
      </w:r>
      <w:r>
        <w:rPr>
          <w:rFonts w:ascii="Calibri" w:hAnsi="Calibri"/>
          <w:b/>
          <w:i w:val="0"/>
          <w:color w:val="1A1A1A"/>
          <w:sz w:val="26"/>
        </w:rPr>
        <w:t>Design &amp; Architecture Approach</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FAST is designed so that AI supports human reviewers — it surfaces findings, but people make the decisions. All AI processing happens within Liberty Mutual's own AWS environment, so documents never leave the client's infrastructure boundary.</w:t>
      </w:r>
    </w:p>
    <w:p>
      <w:pPr>
        <w:spacing w:before="200" w:after="60"/>
      </w:pPr>
      <w:r>
        <w:rPr>
          <w:rFonts w:ascii="Calibri" w:hAnsi="Calibri"/>
          <w:b/>
          <w:i w:val="0"/>
          <w:color w:val="1A1A1A"/>
          <w:sz w:val="18"/>
        </w:rPr>
        <w:t>2.1  Infrastructure Overview</w:t>
      </w:r>
    </w:p>
    <w:p>
      <w:pPr>
        <w:spacing w:before="20" w:after="40" w:line="280" w:lineRule="exact"/>
        <w:ind w:left="504" w:hanging="504"/>
      </w:pPr>
      <w:r>
        <w:rPr>
          <w:rFonts w:ascii="Calibri" w:hAnsi="Calibri"/>
          <w:b/>
          <w:i w:val="0"/>
          <w:color w:val="1A1A1A"/>
          <w:sz w:val="19"/>
        </w:rPr>
        <w:t xml:space="preserve">2.1.1   </w:t>
      </w:r>
      <w:r>
        <w:rPr>
          <w:rFonts w:ascii="Calibri" w:hAnsi="Calibri"/>
          <w:b w:val="0"/>
          <w:i w:val="0"/>
          <w:color w:val="3A3A3A"/>
          <w:sz w:val="20"/>
        </w:rPr>
        <w:t>The FAST application runs on Amazon EC2 instances within a private subnet of Liberty Mutual's AWS VPC. Two environments are maintained: Dev/Test and Production, each with the same architecture.</w:t>
      </w:r>
    </w:p>
    <w:p>
      <w:pPr>
        <w:spacing w:before="20" w:after="40" w:line="280" w:lineRule="exact"/>
        <w:ind w:left="504" w:hanging="504"/>
      </w:pPr>
      <w:r>
        <w:rPr>
          <w:rFonts w:ascii="Calibri" w:hAnsi="Calibri"/>
          <w:b/>
          <w:i w:val="0"/>
          <w:color w:val="1A1A1A"/>
          <w:sz w:val="19"/>
        </w:rPr>
        <w:t xml:space="preserve">2.1.2   </w:t>
      </w:r>
      <w:r>
        <w:rPr>
          <w:rFonts w:ascii="Calibri" w:hAnsi="Calibri"/>
          <w:b w:val="0"/>
          <w:i w:val="0"/>
          <w:color w:val="3A3A3A"/>
          <w:sz w:val="20"/>
        </w:rPr>
        <w:t>User traffic is routed through Route 53 and AWS WAF, then through an Application Load Balancer (HTTPS with ACM certificates) before reaching the EC2 application tier.</w:t>
      </w:r>
    </w:p>
    <w:p>
      <w:pPr>
        <w:spacing w:before="20" w:after="40" w:line="280" w:lineRule="exact"/>
        <w:ind w:left="504" w:hanging="504"/>
      </w:pPr>
      <w:r>
        <w:rPr>
          <w:rFonts w:ascii="Calibri" w:hAnsi="Calibri"/>
          <w:b/>
          <w:i w:val="0"/>
          <w:color w:val="1A1A1A"/>
          <w:sz w:val="19"/>
        </w:rPr>
        <w:t xml:space="preserve">2.1.3   </w:t>
      </w:r>
      <w:r>
        <w:rPr>
          <w:rFonts w:ascii="Calibri" w:hAnsi="Calibri"/>
          <w:b w:val="0"/>
          <w:i w:val="0"/>
          <w:color w:val="3A3A3A"/>
          <w:sz w:val="20"/>
        </w:rPr>
        <w:t>Amazon Cognito handles user authentication, providing identity management and access control without requiring a separate identity server.</w:t>
      </w:r>
    </w:p>
    <w:p>
      <w:pPr>
        <w:spacing w:before="20" w:after="40" w:line="280" w:lineRule="exact"/>
        <w:ind w:left="504" w:hanging="504"/>
      </w:pPr>
      <w:r>
        <w:rPr>
          <w:rFonts w:ascii="Calibri" w:hAnsi="Calibri"/>
          <w:b/>
          <w:i w:val="0"/>
          <w:color w:val="1A1A1A"/>
          <w:sz w:val="19"/>
        </w:rPr>
        <w:t xml:space="preserve">2.1.4   </w:t>
      </w:r>
      <w:r>
        <w:rPr>
          <w:rFonts w:ascii="Calibri" w:hAnsi="Calibri"/>
          <w:b w:val="0"/>
          <w:i w:val="0"/>
          <w:color w:val="3A3A3A"/>
          <w:sz w:val="20"/>
        </w:rPr>
        <w:t>RDS PostgreSQL in the private subnet holds all application data: comparison results, user records, project configurations, and audit logs.</w:t>
      </w:r>
    </w:p>
    <w:p>
      <w:pPr>
        <w:spacing w:before="20" w:after="40" w:line="280" w:lineRule="exact"/>
        <w:ind w:left="504" w:hanging="504"/>
      </w:pPr>
      <w:r>
        <w:rPr>
          <w:rFonts w:ascii="Calibri" w:hAnsi="Calibri"/>
          <w:b/>
          <w:i w:val="0"/>
          <w:color w:val="1A1A1A"/>
          <w:sz w:val="19"/>
        </w:rPr>
        <w:t xml:space="preserve">2.1.5   </w:t>
      </w:r>
      <w:r>
        <w:rPr>
          <w:rFonts w:ascii="Calibri" w:hAnsi="Calibri"/>
          <w:b w:val="0"/>
          <w:i w:val="0"/>
          <w:color w:val="3A3A3A"/>
          <w:sz w:val="20"/>
        </w:rPr>
        <w:t>Amazon S3 stores uploaded PDF documents and comparison artefacts. AWS Secrets Manager holds all credentials and configuration secrets — none are stored in application code.</w:t>
      </w:r>
    </w:p>
    <w:p>
      <w:pPr>
        <w:spacing w:before="20" w:after="40" w:line="280" w:lineRule="exact"/>
        <w:ind w:left="504" w:hanging="504"/>
      </w:pPr>
      <w:r>
        <w:rPr>
          <w:rFonts w:ascii="Calibri" w:hAnsi="Calibri"/>
          <w:b/>
          <w:i w:val="0"/>
          <w:color w:val="1A1A1A"/>
          <w:sz w:val="19"/>
        </w:rPr>
        <w:t xml:space="preserve">2.1.6   </w:t>
      </w:r>
      <w:r>
        <w:rPr>
          <w:rFonts w:ascii="Calibri" w:hAnsi="Calibri"/>
          <w:b w:val="0"/>
          <w:i w:val="0"/>
          <w:color w:val="3A3A3A"/>
          <w:sz w:val="20"/>
        </w:rPr>
        <w:t>AI inference to Amazon Bedrock is routed through a VPC endpoint, keeping document traffic entirely within the AWS private network.</w:t>
      </w:r>
    </w:p>
    <w:p>
      <w:pPr>
        <w:spacing w:before="200" w:after="60"/>
      </w:pPr>
      <w:r>
        <w:rPr>
          <w:rFonts w:ascii="Calibri" w:hAnsi="Calibri"/>
          <w:b/>
          <w:i w:val="0"/>
          <w:color w:val="1A1A1A"/>
          <w:sz w:val="18"/>
        </w:rPr>
        <w:t>2.2  Security Components</w:t>
      </w:r>
    </w:p>
    <w:tbl>
      <w:tblPr>
        <w:tblStyle w:val="TableGrid"/>
        <w:tblW w:type="auto" w:w="0"/>
        <w:jc w:val="left"/>
        <w:tblLook w:firstColumn="1" w:firstRow="1" w:lastColumn="0" w:lastRow="0" w:noHBand="0" w:noVBand="1" w:val="04A0"/>
      </w:tblPr>
      <w:tblGrid>
        <w:gridCol w:w="4392"/>
        <w:gridCol w:w="4392"/>
      </w:tblGrid>
      <w:tr>
        <w:tc>
          <w:tcPr>
            <w:tcW w:type="dxa" w:w="2592"/>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COMPONENT</w:t>
            </w:r>
          </w:p>
        </w:tc>
        <w:tc>
          <w:tcPr>
            <w:tcW w:type="dxa" w:w="633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ROLE IN THE ARCHITECTURE</w:t>
            </w:r>
          </w:p>
        </w:tc>
      </w:tr>
      <w:tr>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WAF</w:t>
            </w:r>
          </w:p>
        </w:tc>
        <w:tc>
          <w:tcPr>
            <w:tcW w:type="dxa" w:w="633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Blocks common web attack patterns before traffic reaches the application</w:t>
            </w:r>
          </w:p>
        </w:tc>
      </w:tr>
      <w:tr>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Amazon Cognito</w:t>
            </w:r>
          </w:p>
        </w:tc>
        <w:tc>
          <w:tcPr>
            <w:tcW w:type="dxa" w:w="63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User authentication and session management</w:t>
            </w:r>
          </w:p>
        </w:tc>
      </w:tr>
      <w:tr>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ACM</w:t>
            </w:r>
          </w:p>
        </w:tc>
        <w:tc>
          <w:tcPr>
            <w:tcW w:type="dxa" w:w="633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Manages TLS certificates for HTTPS on the load balancer</w:t>
            </w:r>
          </w:p>
        </w:tc>
      </w:tr>
      <w:tr>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CrowdStrike</w:t>
            </w:r>
          </w:p>
        </w:tc>
        <w:tc>
          <w:tcPr>
            <w:tcW w:type="dxa" w:w="63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Endpoint detection and response on EC2 instances</w:t>
            </w:r>
          </w:p>
        </w:tc>
      </w:tr>
      <w:tr>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Amazon Inspector</w:t>
            </w:r>
          </w:p>
        </w:tc>
        <w:tc>
          <w:tcPr>
            <w:tcW w:type="dxa" w:w="633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Continuous vulnerability scanning of EC2 instances and container images</w:t>
            </w:r>
          </w:p>
        </w:tc>
      </w:tr>
      <w:tr>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KMS</w:t>
            </w:r>
          </w:p>
        </w:tc>
        <w:tc>
          <w:tcPr>
            <w:tcW w:type="dxa" w:w="63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Encryption key management for S3, RDS, and Secrets Manager</w:t>
            </w:r>
          </w:p>
        </w:tc>
      </w:tr>
      <w:tr>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IAM</w:t>
            </w:r>
          </w:p>
        </w:tc>
        <w:tc>
          <w:tcPr>
            <w:tcW w:type="dxa" w:w="633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Least-privilege roles — each component accesses only what it needs</w:t>
            </w:r>
          </w:p>
        </w:tc>
      </w:tr>
      <w:tr>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CloudWatch + SNS</w:t>
            </w:r>
          </w:p>
        </w:tc>
        <w:tc>
          <w:tcPr>
            <w:tcW w:type="dxa" w:w="633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Monitoring, alerting, and notification for operational events</w:t>
            </w:r>
          </w:p>
        </w:tc>
      </w:tr>
      <w:tr>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NAT Gateway</w:t>
            </w:r>
          </w:p>
        </w:tc>
        <w:tc>
          <w:tcPr>
            <w:tcW w:type="dxa" w:w="633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Controlled outbound internet access for EC2 in the private subnet</w:t>
            </w:r>
          </w:p>
        </w:tc>
      </w:tr>
    </w:tbl>
    <w:p>
      <w:pPr>
        <w:spacing w:before="0" w:after="0" w:line="160" w:lineRule="exact"/>
      </w:pPr>
    </w:p>
    <w:p>
      <w:pPr>
        <w:spacing w:before="200" w:after="60"/>
      </w:pPr>
      <w:r>
        <w:rPr>
          <w:rFonts w:ascii="Calibri" w:hAnsi="Calibri"/>
          <w:b/>
          <w:i w:val="0"/>
          <w:color w:val="1A1A1A"/>
          <w:sz w:val="18"/>
        </w:rPr>
        <w:t>2.3  Design Principles Applied</w:t>
      </w:r>
    </w:p>
    <w:p>
      <w:pPr>
        <w:spacing w:before="20" w:after="40" w:line="280" w:lineRule="exact"/>
        <w:ind w:left="504" w:hanging="504"/>
      </w:pPr>
      <w:r>
        <w:rPr>
          <w:rFonts w:ascii="Calibri" w:hAnsi="Calibri"/>
          <w:b/>
          <w:i w:val="0"/>
          <w:color w:val="1A1A1A"/>
          <w:sz w:val="19"/>
        </w:rPr>
        <w:t xml:space="preserve">2.3.1   </w:t>
      </w:r>
      <w:r>
        <w:rPr>
          <w:rFonts w:ascii="Calibri" w:hAnsi="Calibri"/>
          <w:b w:val="0"/>
          <w:i w:val="0"/>
          <w:color w:val="3A3A3A"/>
          <w:sz w:val="20"/>
        </w:rPr>
        <w:t>Human oversight: Every AI finding is presented to a reviewer for confirmation. The system does not act on AI output alone — approval always requires a human decision.</w:t>
      </w:r>
    </w:p>
    <w:p>
      <w:pPr>
        <w:spacing w:before="20" w:after="40" w:line="280" w:lineRule="exact"/>
        <w:ind w:left="504" w:hanging="504"/>
      </w:pPr>
      <w:r>
        <w:rPr>
          <w:rFonts w:ascii="Calibri" w:hAnsi="Calibri"/>
          <w:b/>
          <w:i w:val="0"/>
          <w:color w:val="1A1A1A"/>
          <w:sz w:val="19"/>
        </w:rPr>
        <w:t xml:space="preserve">2.3.2   </w:t>
      </w:r>
      <w:r>
        <w:rPr>
          <w:rFonts w:ascii="Calibri" w:hAnsi="Calibri"/>
          <w:b w:val="0"/>
          <w:i w:val="0"/>
          <w:color w:val="3A3A3A"/>
          <w:sz w:val="20"/>
        </w:rPr>
        <w:t>Consistent outputs: The AI model runs at temperature 0.0, producing stable, repeatable results.</w:t>
      </w:r>
    </w:p>
    <w:p>
      <w:pPr>
        <w:spacing w:before="20" w:after="40" w:line="280" w:lineRule="exact"/>
        <w:ind w:left="504" w:hanging="504"/>
      </w:pPr>
      <w:r>
        <w:rPr>
          <w:rFonts w:ascii="Calibri" w:hAnsi="Calibri"/>
          <w:b/>
          <w:i w:val="0"/>
          <w:color w:val="1A1A1A"/>
          <w:sz w:val="19"/>
        </w:rPr>
        <w:t xml:space="preserve">2.3.3   </w:t>
      </w:r>
      <w:r>
        <w:rPr>
          <w:rFonts w:ascii="Calibri" w:hAnsi="Calibri"/>
          <w:b w:val="0"/>
          <w:i w:val="0"/>
          <w:color w:val="3A3A3A"/>
          <w:sz w:val="20"/>
        </w:rPr>
        <w:t>Data stays in-boundary: All AI inference runs through a Bedrock VPC endpoint. Documents are processed within Liberty Mutual's AWS account and do not travel over the public internet.</w:t>
      </w:r>
    </w:p>
    <w:p>
      <w:pPr>
        <w:spacing w:before="20" w:after="40" w:line="280" w:lineRule="exact"/>
        <w:ind w:left="504" w:hanging="504"/>
      </w:pPr>
      <w:r>
        <w:rPr>
          <w:rFonts w:ascii="Calibri" w:hAnsi="Calibri"/>
          <w:b/>
          <w:i w:val="0"/>
          <w:color w:val="1A1A1A"/>
          <w:sz w:val="19"/>
        </w:rPr>
        <w:t xml:space="preserve">2.3.4   </w:t>
      </w:r>
      <w:r>
        <w:rPr>
          <w:rFonts w:ascii="Calibri" w:hAnsi="Calibri"/>
          <w:b w:val="0"/>
          <w:i w:val="0"/>
          <w:color w:val="3A3A3A"/>
          <w:sz w:val="20"/>
        </w:rPr>
        <w:t>Transparent confidence: Each finding includes a confidence indicator (certain / probable / possible) so reviewers can prioritise their attention.</w:t>
      </w:r>
    </w:p>
    <w:p>
      <w:pPr>
        <w:spacing w:before="20" w:after="40" w:line="280" w:lineRule="exact"/>
        <w:ind w:left="504" w:hanging="504"/>
      </w:pPr>
      <w:r>
        <w:rPr>
          <w:rFonts w:ascii="Calibri" w:hAnsi="Calibri"/>
          <w:b/>
          <w:i w:val="0"/>
          <w:color w:val="1A1A1A"/>
          <w:sz w:val="19"/>
        </w:rPr>
        <w:t xml:space="preserve">2.3.5   </w:t>
      </w:r>
      <w:r>
        <w:rPr>
          <w:rFonts w:ascii="Calibri" w:hAnsi="Calibri"/>
          <w:b w:val="0"/>
          <w:i w:val="0"/>
          <w:color w:val="3A3A3A"/>
          <w:sz w:val="20"/>
        </w:rPr>
        <w:t>Minimal footprint: Only the content needed for a specific comparison is sent to the AI. The provider does not retain document content after completing the request.</w:t>
      </w:r>
    </w:p>
    <w:p>
      <w:pPr>
        <w:spacing w:before="20" w:after="40" w:line="280" w:lineRule="exact"/>
        <w:ind w:left="504" w:hanging="504"/>
      </w:pPr>
      <w:r>
        <w:rPr>
          <w:rFonts w:ascii="Calibri" w:hAnsi="Calibri"/>
          <w:b/>
          <w:i w:val="0"/>
          <w:color w:val="1A1A1A"/>
          <w:sz w:val="19"/>
        </w:rPr>
        <w:t xml:space="preserve">2.3.6   </w:t>
      </w:r>
      <w:r>
        <w:rPr>
          <w:rFonts w:ascii="Calibri" w:hAnsi="Calibri"/>
          <w:b w:val="0"/>
          <w:i w:val="0"/>
          <w:color w:val="3A3A3A"/>
          <w:sz w:val="20"/>
        </w:rPr>
        <w:t>AI components are read-only — they cannot modify documents, trigger workflows, or write to any data store without explicit human action.</w:t>
      </w:r>
    </w:p>
    <w:p>
      <w:pPr>
        <w:spacing w:before="360" w:after="80"/>
        <w:pBdr>
          <w:bottom w:val="single" w:sz="6" w:space="4" w:color="1A1A1A"/>
        </w:pBdr>
      </w:pPr>
      <w:r>
        <w:rPr>
          <w:rFonts w:ascii="Calibri" w:hAnsi="Calibri"/>
          <w:b/>
          <w:i w:val="0"/>
          <w:color w:val="1A1A1A"/>
          <w:sz w:val="26"/>
        </w:rPr>
        <w:t xml:space="preserve">3.  </w:t>
      </w:r>
      <w:r>
        <w:rPr>
          <w:rFonts w:ascii="Calibri" w:hAnsi="Calibri"/>
          <w:b/>
          <w:i w:val="0"/>
          <w:color w:val="1A1A1A"/>
          <w:sz w:val="26"/>
        </w:rPr>
        <w:t>Development Practices</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CGI treats AI configuration — including the instructions sent to the model — with the same rigour as application code. All changes go through version control and peer review before reaching Production.</w:t>
      </w:r>
    </w:p>
    <w:p>
      <w:pPr>
        <w:spacing w:before="200" w:after="60"/>
      </w:pPr>
      <w:r>
        <w:rPr>
          <w:rFonts w:ascii="Calibri" w:hAnsi="Calibri"/>
          <w:b/>
          <w:i w:val="0"/>
          <w:color w:val="1A1A1A"/>
          <w:sz w:val="18"/>
        </w:rPr>
        <w:t>3.1  Source Control &amp; Review</w:t>
      </w:r>
    </w:p>
    <w:p>
      <w:pPr>
        <w:spacing w:before="20" w:after="40" w:line="280" w:lineRule="exact"/>
        <w:ind w:left="504" w:hanging="504"/>
      </w:pPr>
      <w:r>
        <w:rPr>
          <w:rFonts w:ascii="Calibri" w:hAnsi="Calibri"/>
          <w:b/>
          <w:i w:val="0"/>
          <w:color w:val="1A1A1A"/>
          <w:sz w:val="19"/>
        </w:rPr>
        <w:t xml:space="preserve">3.1.1   </w:t>
      </w:r>
      <w:r>
        <w:rPr>
          <w:rFonts w:ascii="Calibri" w:hAnsi="Calibri"/>
          <w:b w:val="0"/>
          <w:i w:val="0"/>
          <w:color w:val="3A3A3A"/>
          <w:sz w:val="20"/>
        </w:rPr>
        <w:t>All AI-related code, model instructions, and configuration are stored in CodeCommit with full change history. The CI/CD pipeline (CodeBuild → CodeDeploy) promotes builds from Dev/Test to Production following manual approval.</w:t>
      </w:r>
    </w:p>
    <w:p>
      <w:pPr>
        <w:spacing w:before="20" w:after="40" w:line="280" w:lineRule="exact"/>
        <w:ind w:left="504" w:hanging="504"/>
      </w:pPr>
      <w:r>
        <w:rPr>
          <w:rFonts w:ascii="Calibri" w:hAnsi="Calibri"/>
          <w:b/>
          <w:i w:val="0"/>
          <w:color w:val="1A1A1A"/>
          <w:sz w:val="19"/>
        </w:rPr>
        <w:t xml:space="preserve">3.1.2   </w:t>
      </w:r>
      <w:r>
        <w:rPr>
          <w:rFonts w:ascii="Calibri" w:hAnsi="Calibri"/>
          <w:b w:val="0"/>
          <w:i w:val="0"/>
          <w:color w:val="3A3A3A"/>
          <w:sz w:val="20"/>
        </w:rPr>
        <w:t>Changes to model instructions or parameters are reviewed by a second engineer before merging — the same process applied to all production code.</w:t>
      </w:r>
    </w:p>
    <w:p>
      <w:pPr>
        <w:spacing w:before="20" w:after="40" w:line="280" w:lineRule="exact"/>
        <w:ind w:left="504" w:hanging="504"/>
      </w:pPr>
      <w:r>
        <w:rPr>
          <w:rFonts w:ascii="Calibri" w:hAnsi="Calibri"/>
          <w:b/>
          <w:i w:val="0"/>
          <w:color w:val="1A1A1A"/>
          <w:sz w:val="19"/>
        </w:rPr>
        <w:t xml:space="preserve">3.1.3   </w:t>
      </w:r>
      <w:r>
        <w:rPr>
          <w:rFonts w:ascii="Calibri" w:hAnsi="Calibri"/>
          <w:b w:val="0"/>
          <w:i w:val="0"/>
          <w:color w:val="3A3A3A"/>
          <w:sz w:val="20"/>
        </w:rPr>
        <w:t>The specific AI model version used by FAST is pinned in configuration. AWS cannot silently switch to a newer model without a deliberate change going through the release process.</w:t>
      </w:r>
    </w:p>
    <w:p>
      <w:pPr>
        <w:spacing w:before="20" w:after="40" w:line="280" w:lineRule="exact"/>
        <w:ind w:left="504" w:hanging="504"/>
      </w:pPr>
      <w:r>
        <w:rPr>
          <w:rFonts w:ascii="Calibri" w:hAnsi="Calibri"/>
          <w:b/>
          <w:i w:val="0"/>
          <w:color w:val="1A1A1A"/>
          <w:sz w:val="19"/>
        </w:rPr>
        <w:t xml:space="preserve">3.1.4   </w:t>
      </w:r>
      <w:r>
        <w:rPr>
          <w:rFonts w:ascii="Calibri" w:hAnsi="Calibri"/>
          <w:b w:val="0"/>
          <w:i w:val="0"/>
          <w:color w:val="3A3A3A"/>
          <w:sz w:val="20"/>
        </w:rPr>
        <w:t>Every AI call path has a defined fallback. If the model is unavailable or returns an unexpected response, the system returns a structured error — it does not produce silent or misleading output.</w:t>
      </w:r>
    </w:p>
    <w:p>
      <w:pPr>
        <w:spacing w:before="20" w:after="40" w:line="280" w:lineRule="exact"/>
        <w:ind w:left="504" w:hanging="504"/>
      </w:pPr>
      <w:r>
        <w:rPr>
          <w:rFonts w:ascii="Calibri" w:hAnsi="Calibri"/>
          <w:b/>
          <w:i w:val="0"/>
          <w:color w:val="1A1A1A"/>
          <w:sz w:val="19"/>
        </w:rPr>
        <w:t xml:space="preserve">3.1.5   </w:t>
      </w:r>
      <w:r>
        <w:rPr>
          <w:rFonts w:ascii="Calibri" w:hAnsi="Calibri"/>
          <w:b w:val="0"/>
          <w:i w:val="0"/>
          <w:color w:val="3A3A3A"/>
          <w:sz w:val="20"/>
        </w:rPr>
        <w:t>No credentials or API keys are stored in source code. All secrets are held in AWS Secrets Manager and accessed at runtime via IAM role.</w:t>
      </w:r>
    </w:p>
    <w:p>
      <w:pPr>
        <w:spacing w:before="200" w:after="60"/>
      </w:pPr>
      <w:r>
        <w:rPr>
          <w:rFonts w:ascii="Calibri" w:hAnsi="Calibri"/>
          <w:b/>
          <w:i w:val="0"/>
          <w:color w:val="1A1A1A"/>
          <w:sz w:val="18"/>
        </w:rPr>
        <w:t>3.2  Model Instruction Standards</w:t>
      </w:r>
    </w:p>
    <w:p>
      <w:pPr>
        <w:spacing w:before="20" w:after="40" w:line="280" w:lineRule="exact"/>
        <w:ind w:left="504" w:hanging="504"/>
      </w:pPr>
      <w:r>
        <w:rPr>
          <w:rFonts w:ascii="Calibri" w:hAnsi="Calibri"/>
          <w:b/>
          <w:i w:val="0"/>
          <w:color w:val="1A1A1A"/>
          <w:sz w:val="19"/>
        </w:rPr>
        <w:t xml:space="preserve">3.2.1   </w:t>
      </w:r>
      <w:r>
        <w:rPr>
          <w:rFonts w:ascii="Calibri" w:hAnsi="Calibri"/>
          <w:b w:val="0"/>
          <w:i w:val="0"/>
          <w:color w:val="3A3A3A"/>
          <w:sz w:val="20"/>
        </w:rPr>
        <w:t>Instructions to the model specify a structured JSON output format, making responses machine-readable and easy to validate programmatically.</w:t>
      </w:r>
    </w:p>
    <w:p>
      <w:pPr>
        <w:spacing w:before="20" w:after="40" w:line="280" w:lineRule="exact"/>
        <w:ind w:left="504" w:hanging="504"/>
      </w:pPr>
      <w:r>
        <w:rPr>
          <w:rFonts w:ascii="Calibri" w:hAnsi="Calibri"/>
          <w:b/>
          <w:i w:val="0"/>
          <w:color w:val="1A1A1A"/>
          <w:sz w:val="19"/>
        </w:rPr>
        <w:t xml:space="preserve">3.2.2   </w:t>
      </w:r>
      <w:r>
        <w:rPr>
          <w:rFonts w:ascii="Calibri" w:hAnsi="Calibri"/>
          <w:b w:val="0"/>
          <w:i w:val="0"/>
          <w:color w:val="3A3A3A"/>
          <w:sz w:val="20"/>
        </w:rPr>
        <w:t>Instructions are written to be explicit about what counts as a finding, reducing the likelihood of the model reporting things that are not genuine differences.</w:t>
      </w:r>
    </w:p>
    <w:p>
      <w:pPr>
        <w:spacing w:before="20" w:after="40" w:line="280" w:lineRule="exact"/>
        <w:ind w:left="504" w:hanging="504"/>
      </w:pPr>
      <w:r>
        <w:rPr>
          <w:rFonts w:ascii="Calibri" w:hAnsi="Calibri"/>
          <w:b/>
          <w:i w:val="0"/>
          <w:color w:val="1A1A1A"/>
          <w:sz w:val="19"/>
        </w:rPr>
        <w:t xml:space="preserve">3.2.3   </w:t>
      </w:r>
      <w:r>
        <w:rPr>
          <w:rFonts w:ascii="Calibri" w:hAnsi="Calibri"/>
          <w:b w:val="0"/>
          <w:i w:val="0"/>
          <w:color w:val="3A3A3A"/>
          <w:sz w:val="20"/>
        </w:rPr>
        <w:t>Any change to model instructions that could affect what findings are surfaced is treated as a significant change requiring regression testing before deployment.</w:t>
      </w:r>
    </w:p>
    <w:p>
      <w:pPr>
        <w:spacing w:before="360" w:after="80"/>
        <w:pBdr>
          <w:bottom w:val="single" w:sz="6" w:space="4" w:color="1A1A1A"/>
        </w:pBdr>
      </w:pPr>
      <w:r>
        <w:rPr>
          <w:rFonts w:ascii="Calibri" w:hAnsi="Calibri"/>
          <w:b/>
          <w:i w:val="0"/>
          <w:color w:val="1A1A1A"/>
          <w:sz w:val="26"/>
        </w:rPr>
        <w:t xml:space="preserve">4.  </w:t>
      </w:r>
      <w:r>
        <w:rPr>
          <w:rFonts w:ascii="Calibri" w:hAnsi="Calibri"/>
          <w:b/>
          <w:i w:val="0"/>
          <w:color w:val="1A1A1A"/>
          <w:sz w:val="26"/>
        </w:rPr>
        <w:t>Testing &amp; Validation</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Before any release goes to Production, CGI validates the AI components against a defined set of test cases. Accuracy is tracked over time, and Liberty Mutual participates in user acceptance testing for changes that affect the review experience.</w:t>
      </w:r>
    </w:p>
    <w:p>
      <w:pPr>
        <w:spacing w:before="200" w:after="60"/>
      </w:pPr>
      <w:r>
        <w:rPr>
          <w:rFonts w:ascii="Calibri" w:hAnsi="Calibri"/>
          <w:b/>
          <w:i w:val="0"/>
          <w:color w:val="1A1A1A"/>
          <w:sz w:val="18"/>
        </w:rPr>
        <w:t>4.1  Testing Approach</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01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TEST TYPE</w:t>
            </w:r>
          </w:p>
        </w:tc>
        <w:tc>
          <w:tcPr>
            <w:tcW w:type="dxa" w:w="374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WHAT IT CHECKS</w:t>
            </w:r>
          </w:p>
        </w:tc>
        <w:tc>
          <w:tcPr>
            <w:tcW w:type="dxa" w:w="201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WHEN IT RUNS</w:t>
            </w:r>
          </w:p>
        </w:tc>
        <w:tc>
          <w:tcPr>
            <w:tcW w:type="dxa" w:w="158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CURRENT STATE</w:t>
            </w:r>
          </w:p>
        </w:tc>
      </w:tr>
      <w:tr>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Unit Tests</w:t>
            </w:r>
          </w:p>
        </w:tc>
        <w:tc>
          <w:tcPr>
            <w:tcW w:type="dxa" w:w="374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Core logic: JSON parsing, comparison algorithms, reconciliation</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Every code commit</w:t>
            </w:r>
          </w:p>
        </w:tc>
        <w:tc>
          <w:tcPr>
            <w:tcW w:type="dxa" w:w="158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38 tests passing</w:t>
            </w:r>
          </w:p>
        </w:tc>
      </w:tr>
      <w:tr>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Integration Tests</w:t>
            </w:r>
          </w:p>
        </w:tc>
        <w:tc>
          <w:tcPr>
            <w:tcW w:type="dxa" w:w="374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End-to-end comparison on known document pairs</w:t>
            </w:r>
          </w:p>
        </w:tc>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Every release candidate</w:t>
            </w:r>
          </w:p>
        </w:tc>
        <w:tc>
          <w:tcPr>
            <w:tcW w:type="dxa" w:w="158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Active</w:t>
            </w:r>
          </w:p>
        </w:tc>
      </w:tr>
      <w:tr>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Accuracy Benchmarks</w:t>
            </w:r>
          </w:p>
        </w:tc>
        <w:tc>
          <w:tcPr>
            <w:tcW w:type="dxa" w:w="374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Precision and recall against a labelled set of known changes</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Quarterly</w:t>
            </w:r>
          </w:p>
        </w:tc>
        <w:tc>
          <w:tcPr>
            <w:tcW w:type="dxa" w:w="158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Baseline in progress</w:t>
            </w:r>
          </w:p>
        </w:tc>
      </w:tr>
      <w:tr>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Regression Tests</w:t>
            </w:r>
          </w:p>
        </w:tc>
        <w:tc>
          <w:tcPr>
            <w:tcW w:type="dxa" w:w="374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Confirms previously detected findings still appear after any AI change</w:t>
            </w:r>
          </w:p>
        </w:tc>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Every AI-related change</w:t>
            </w:r>
          </w:p>
        </w:tc>
        <w:tc>
          <w:tcPr>
            <w:tcW w:type="dxa" w:w="158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Active</w:t>
            </w:r>
          </w:p>
        </w:tc>
      </w:tr>
      <w:tr>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Edge Case Tests</w:t>
            </w:r>
          </w:p>
        </w:tc>
        <w:tc>
          <w:tcPr>
            <w:tcW w:type="dxa" w:w="374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Scanned documents, low-quality scans, unusual layouts</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Each release</w:t>
            </w:r>
          </w:p>
        </w:tc>
        <w:tc>
          <w:tcPr>
            <w:tcW w:type="dxa" w:w="158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Active</w:t>
            </w:r>
          </w:p>
        </w:tc>
      </w:tr>
    </w:tbl>
    <w:p>
      <w:pPr>
        <w:spacing w:before="0" w:after="0" w:line="160" w:lineRule="exact"/>
      </w:pPr>
    </w:p>
    <w:p>
      <w:pPr>
        <w:spacing w:before="200" w:after="60"/>
      </w:pPr>
      <w:r>
        <w:rPr>
          <w:rFonts w:ascii="Calibri" w:hAnsi="Calibri"/>
          <w:b/>
          <w:i w:val="0"/>
          <w:color w:val="1A1A1A"/>
          <w:sz w:val="18"/>
        </w:rPr>
        <w:t>4.2  Accuracy Targets</w:t>
      </w:r>
    </w:p>
    <w:p>
      <w:pPr>
        <w:spacing w:before="20" w:after="40" w:line="280" w:lineRule="exact"/>
        <w:ind w:left="504" w:hanging="504"/>
      </w:pPr>
      <w:r>
        <w:rPr>
          <w:rFonts w:ascii="Calibri" w:hAnsi="Calibri"/>
          <w:b/>
          <w:i w:val="0"/>
          <w:color w:val="1A1A1A"/>
          <w:sz w:val="19"/>
        </w:rPr>
        <w:t xml:space="preserve">4.2.1   </w:t>
      </w:r>
      <w:r>
        <w:rPr>
          <w:rFonts w:ascii="Calibri" w:hAnsi="Calibri"/>
          <w:b w:val="0"/>
          <w:i w:val="0"/>
          <w:color w:val="3A3A3A"/>
          <w:sz w:val="20"/>
        </w:rPr>
        <w:t>CGI targets a recall rate of 90% or above on the benchmark document set before releasing to Production. Recall (catching real changes) is weighted more heavily than precision — a missed finding is more harmful than a false alarm.</w:t>
      </w:r>
    </w:p>
    <w:p>
      <w:pPr>
        <w:spacing w:before="20" w:after="40" w:line="280" w:lineRule="exact"/>
        <w:ind w:left="504" w:hanging="504"/>
      </w:pPr>
      <w:r>
        <w:rPr>
          <w:rFonts w:ascii="Calibri" w:hAnsi="Calibri"/>
          <w:b/>
          <w:i w:val="0"/>
          <w:color w:val="1A1A1A"/>
          <w:sz w:val="19"/>
        </w:rPr>
        <w:t xml:space="preserve">4.2.2   </w:t>
      </w:r>
      <w:r>
        <w:rPr>
          <w:rFonts w:ascii="Calibri" w:hAnsi="Calibri"/>
          <w:b w:val="0"/>
          <w:i w:val="0"/>
          <w:color w:val="3A3A3A"/>
          <w:sz w:val="20"/>
        </w:rPr>
        <w:t>A release that drops recall below 85% on the benchmark set is held back until investigated and resolved.</w:t>
      </w:r>
    </w:p>
    <w:p>
      <w:pPr>
        <w:spacing w:before="20" w:after="40" w:line="280" w:lineRule="exact"/>
        <w:ind w:left="504" w:hanging="504"/>
      </w:pPr>
      <w:r>
        <w:rPr>
          <w:rFonts w:ascii="Calibri" w:hAnsi="Calibri"/>
          <w:b/>
          <w:i w:val="0"/>
          <w:color w:val="1A1A1A"/>
          <w:sz w:val="19"/>
        </w:rPr>
        <w:t xml:space="preserve">4.2.3   </w:t>
      </w:r>
      <w:r>
        <w:rPr>
          <w:rFonts w:ascii="Calibri" w:hAnsi="Calibri"/>
          <w:b w:val="0"/>
          <w:i w:val="0"/>
          <w:color w:val="3A3A3A"/>
          <w:sz w:val="20"/>
        </w:rPr>
        <w:t>Accuracy results are documented and available to Liberty Mutual on request.</w:t>
      </w:r>
    </w:p>
    <w:p>
      <w:pPr>
        <w:spacing w:before="200" w:after="60"/>
      </w:pPr>
      <w:r>
        <w:rPr>
          <w:rFonts w:ascii="Calibri" w:hAnsi="Calibri"/>
          <w:b/>
          <w:i w:val="0"/>
          <w:color w:val="1A1A1A"/>
          <w:sz w:val="18"/>
        </w:rPr>
        <w:t>4.3  User Acceptance Testing</w:t>
      </w:r>
    </w:p>
    <w:p>
      <w:pPr>
        <w:spacing w:before="20" w:after="40" w:line="280" w:lineRule="exact"/>
        <w:ind w:left="504" w:hanging="504"/>
      </w:pPr>
      <w:r>
        <w:rPr>
          <w:rFonts w:ascii="Calibri" w:hAnsi="Calibri"/>
          <w:b/>
          <w:i w:val="0"/>
          <w:color w:val="1A1A1A"/>
          <w:sz w:val="19"/>
        </w:rPr>
        <w:t xml:space="preserve">4.3.1   </w:t>
      </w:r>
      <w:r>
        <w:rPr>
          <w:rFonts w:ascii="Calibri" w:hAnsi="Calibri"/>
          <w:b w:val="0"/>
          <w:i w:val="0"/>
          <w:color w:val="3A3A3A"/>
          <w:sz w:val="20"/>
        </w:rPr>
        <w:t>Liberty Mutual is involved in UAT before major releases are promoted to Production.</w:t>
      </w:r>
    </w:p>
    <w:p>
      <w:pPr>
        <w:spacing w:before="20" w:after="40" w:line="280" w:lineRule="exact"/>
        <w:ind w:left="504" w:hanging="504"/>
      </w:pPr>
      <w:r>
        <w:rPr>
          <w:rFonts w:ascii="Calibri" w:hAnsi="Calibri"/>
          <w:b/>
          <w:i w:val="0"/>
          <w:color w:val="1A1A1A"/>
          <w:sz w:val="19"/>
        </w:rPr>
        <w:t xml:space="preserve">4.3.2   </w:t>
      </w:r>
      <w:r>
        <w:rPr>
          <w:rFonts w:ascii="Calibri" w:hAnsi="Calibri"/>
          <w:b w:val="0"/>
          <w:i w:val="0"/>
          <w:color w:val="3A3A3A"/>
          <w:sz w:val="20"/>
        </w:rPr>
        <w:t>UAT sign-off from Liberty Mutual is required before deploying changes that affect how findings are detected, presented, or reviewed.</w:t>
      </w:r>
    </w:p>
    <w:p>
      <w:pPr>
        <w:spacing w:before="360" w:after="80"/>
        <w:pBdr>
          <w:bottom w:val="single" w:sz="6" w:space="4" w:color="1A1A1A"/>
        </w:pBdr>
      </w:pPr>
      <w:r>
        <w:rPr>
          <w:rFonts w:ascii="Calibri" w:hAnsi="Calibri"/>
          <w:b/>
          <w:i w:val="0"/>
          <w:color w:val="1A1A1A"/>
          <w:sz w:val="26"/>
        </w:rPr>
        <w:t xml:space="preserve">5.  </w:t>
      </w:r>
      <w:r>
        <w:rPr>
          <w:rFonts w:ascii="Calibri" w:hAnsi="Calibri"/>
          <w:b/>
          <w:i w:val="0"/>
          <w:color w:val="1A1A1A"/>
          <w:sz w:val="26"/>
        </w:rPr>
        <w:t>Deployment Approach</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Releases follow a structured promotion path through Dev/Test and then Production. The pipeline includes a manual approval gate before any change reaches the Production environment.</w:t>
      </w:r>
    </w:p>
    <w:p>
      <w:pPr>
        <w:spacing w:before="200" w:after="60"/>
      </w:pPr>
      <w:r>
        <w:rPr>
          <w:rFonts w:ascii="Calibri" w:hAnsi="Calibri"/>
          <w:b/>
          <w:i w:val="0"/>
          <w:color w:val="1A1A1A"/>
          <w:sz w:val="18"/>
        </w:rPr>
        <w:t>5.1  CI/CD Pipeline</w:t>
      </w:r>
    </w:p>
    <w:p>
      <w:pPr>
        <w:spacing w:before="20" w:after="40" w:line="280" w:lineRule="exact"/>
        <w:ind w:left="504" w:hanging="504"/>
      </w:pPr>
      <w:r>
        <w:rPr>
          <w:rFonts w:ascii="Calibri" w:hAnsi="Calibri"/>
          <w:b/>
          <w:i w:val="0"/>
          <w:color w:val="1A1A1A"/>
          <w:sz w:val="19"/>
        </w:rPr>
        <w:t xml:space="preserve">5.1.1   </w:t>
      </w:r>
      <w:r>
        <w:rPr>
          <w:rFonts w:ascii="Calibri" w:hAnsi="Calibri"/>
          <w:b w:val="0"/>
          <w:i w:val="0"/>
          <w:color w:val="3A3A3A"/>
          <w:sz w:val="20"/>
        </w:rPr>
        <w:t>The delivery pipeline uses AWS CodePipeline: source from CodeCommit, built by CodeBuild, deployed by CodeDeploy. The same pipeline serves both environments.</w:t>
      </w:r>
    </w:p>
    <w:p>
      <w:pPr>
        <w:spacing w:before="20" w:after="40" w:line="280" w:lineRule="exact"/>
        <w:ind w:left="504" w:hanging="504"/>
      </w:pPr>
      <w:r>
        <w:rPr>
          <w:rFonts w:ascii="Calibri" w:hAnsi="Calibri"/>
          <w:b/>
          <w:i w:val="0"/>
          <w:color w:val="1A1A1A"/>
          <w:sz w:val="19"/>
        </w:rPr>
        <w:t xml:space="preserve">5.1.2   </w:t>
      </w:r>
      <w:r>
        <w:rPr>
          <w:rFonts w:ascii="Calibri" w:hAnsi="Calibri"/>
          <w:b w:val="0"/>
          <w:i w:val="0"/>
          <w:color w:val="3A3A3A"/>
          <w:sz w:val="20"/>
        </w:rPr>
        <w:t>Promotion from Dev/Test to Production requires a manual approval step within the pipeline. This gives Liberty Mutual the ability to review and gate production releases.</w:t>
      </w:r>
    </w:p>
    <w:p>
      <w:pPr>
        <w:spacing w:before="20" w:after="40" w:line="280" w:lineRule="exact"/>
        <w:ind w:left="504" w:hanging="504"/>
      </w:pPr>
      <w:r>
        <w:rPr>
          <w:rFonts w:ascii="Calibri" w:hAnsi="Calibri"/>
          <w:b/>
          <w:i w:val="0"/>
          <w:color w:val="1A1A1A"/>
          <w:sz w:val="19"/>
        </w:rPr>
        <w:t xml:space="preserve">5.1.3   </w:t>
      </w:r>
      <w:r>
        <w:rPr>
          <w:rFonts w:ascii="Calibri" w:hAnsi="Calibri"/>
          <w:b w:val="0"/>
          <w:i w:val="0"/>
          <w:color w:val="3A3A3A"/>
          <w:sz w:val="20"/>
        </w:rPr>
        <w:t>AI-related releases require documented confirmation from the CGI project lead that regression tests have passed before the approval gate is triggered.</w:t>
      </w:r>
    </w:p>
    <w:p>
      <w:pPr>
        <w:spacing w:before="20" w:after="40" w:line="280" w:lineRule="exact"/>
        <w:ind w:left="504" w:hanging="504"/>
      </w:pPr>
      <w:r>
        <w:rPr>
          <w:rFonts w:ascii="Calibri" w:hAnsi="Calibri"/>
          <w:b/>
          <w:i w:val="0"/>
          <w:color w:val="1A1A1A"/>
          <w:sz w:val="19"/>
        </w:rPr>
        <w:t xml:space="preserve">5.1.4   </w:t>
      </w:r>
      <w:r>
        <w:rPr>
          <w:rFonts w:ascii="Calibri" w:hAnsi="Calibri"/>
          <w:b w:val="0"/>
          <w:i w:val="0"/>
          <w:color w:val="3A3A3A"/>
          <w:sz w:val="20"/>
        </w:rPr>
        <w:t>Build artefacts are stored in a dedicated S3 artefact bucket. All artefacts are versioned, allowing rollback to a previous known-good build.</w:t>
      </w:r>
    </w:p>
    <w:p>
      <w:pPr>
        <w:spacing w:before="200" w:after="60"/>
      </w:pPr>
      <w:r>
        <w:rPr>
          <w:rFonts w:ascii="Calibri" w:hAnsi="Calibri"/>
          <w:b/>
          <w:i w:val="0"/>
          <w:color w:val="1A1A1A"/>
          <w:sz w:val="18"/>
        </w:rPr>
        <w:t>5.2  Environment Configuration</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58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ENVIRONMENT</w:t>
            </w:r>
          </w:p>
        </w:tc>
        <w:tc>
          <w:tcPr>
            <w:tcW w:type="dxa" w:w="3312"/>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PURPOSE</w:t>
            </w:r>
          </w:p>
        </w:tc>
        <w:tc>
          <w:tcPr>
            <w:tcW w:type="dxa" w:w="2592"/>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ACCESS</w:t>
            </w:r>
          </w:p>
        </w:tc>
        <w:tc>
          <w:tcPr>
            <w:tcW w:type="dxa" w:w="201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PROMOTION GATE</w:t>
            </w:r>
          </w:p>
        </w:tc>
      </w:tr>
      <w:tr>
        <w:tc>
          <w:tcPr>
            <w:tcW w:type="dxa" w:w="158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Dev/Test</w:t>
            </w:r>
          </w:p>
        </w:tc>
        <w:tc>
          <w:tcPr>
            <w:tcW w:type="dxa" w:w="331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Development, integration testing, and UAT</w:t>
            </w:r>
          </w:p>
        </w:tc>
        <w:tc>
          <w:tcPr>
            <w:tcW w:type="dxa" w:w="259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engineers, Liberty UAT users</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Manual approval in CodePipeline</w:t>
            </w:r>
          </w:p>
        </w:tc>
      </w:tr>
      <w:tr>
        <w:tc>
          <w:tcPr>
            <w:tcW w:type="dxa" w:w="158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Production</w:t>
            </w:r>
          </w:p>
        </w:tc>
        <w:tc>
          <w:tcPr>
            <w:tcW w:type="dxa" w:w="331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Live operational environment for Liberty Mutual users</w:t>
            </w:r>
          </w:p>
        </w:tc>
        <w:tc>
          <w:tcPr>
            <w:tcW w:type="dxa" w:w="2592"/>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Authorised Liberty Mutual users only</w:t>
            </w:r>
          </w:p>
        </w:tc>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N/A — final destination</w:t>
            </w:r>
          </w:p>
        </w:tc>
      </w:tr>
    </w:tbl>
    <w:p>
      <w:pPr>
        <w:spacing w:before="0" w:after="0" w:line="160" w:lineRule="exact"/>
      </w:pPr>
    </w:p>
    <w:p>
      <w:pPr>
        <w:spacing w:before="200" w:after="60"/>
      </w:pPr>
      <w:r>
        <w:rPr>
          <w:rFonts w:ascii="Calibri" w:hAnsi="Calibri"/>
          <w:b/>
          <w:i w:val="0"/>
          <w:color w:val="1A1A1A"/>
          <w:sz w:val="18"/>
        </w:rPr>
        <w:t>5.3  Infrastructure Configuration</w:t>
      </w:r>
    </w:p>
    <w:p>
      <w:pPr>
        <w:spacing w:before="20" w:after="40" w:line="280" w:lineRule="exact"/>
        <w:ind w:left="504" w:hanging="504"/>
      </w:pPr>
      <w:r>
        <w:rPr>
          <w:rFonts w:ascii="Calibri" w:hAnsi="Calibri"/>
          <w:b/>
          <w:i w:val="0"/>
          <w:color w:val="1A1A1A"/>
          <w:sz w:val="19"/>
        </w:rPr>
        <w:t xml:space="preserve">5.3.1   </w:t>
      </w:r>
      <w:r>
        <w:rPr>
          <w:rFonts w:ascii="Calibri" w:hAnsi="Calibri"/>
          <w:b w:val="0"/>
          <w:i w:val="0"/>
          <w:color w:val="3A3A3A"/>
          <w:sz w:val="20"/>
        </w:rPr>
        <w:t>The application runs on EC2 instances in a private subnet. EC2 instances are not directly accessible from the internet — all traffic enters through the Application Load Balancer.</w:t>
      </w:r>
    </w:p>
    <w:p>
      <w:pPr>
        <w:spacing w:before="20" w:after="40" w:line="280" w:lineRule="exact"/>
        <w:ind w:left="504" w:hanging="504"/>
      </w:pPr>
      <w:r>
        <w:rPr>
          <w:rFonts w:ascii="Calibri" w:hAnsi="Calibri"/>
          <w:b/>
          <w:i w:val="0"/>
          <w:color w:val="1A1A1A"/>
          <w:sz w:val="19"/>
        </w:rPr>
        <w:t xml:space="preserve">5.3.2   </w:t>
      </w:r>
      <w:r>
        <w:rPr>
          <w:rFonts w:ascii="Calibri" w:hAnsi="Calibri"/>
          <w:b w:val="0"/>
          <w:i w:val="0"/>
          <w:color w:val="3A3A3A"/>
          <w:sz w:val="20"/>
        </w:rPr>
        <w:t>Bedrock AI calls use a VPC endpoint — document content stays within the AWS network and never crosses the public internet.</w:t>
      </w:r>
    </w:p>
    <w:p>
      <w:pPr>
        <w:spacing w:before="20" w:after="40" w:line="280" w:lineRule="exact"/>
        <w:ind w:left="504" w:hanging="504"/>
      </w:pPr>
      <w:r>
        <w:rPr>
          <w:rFonts w:ascii="Calibri" w:hAnsi="Calibri"/>
          <w:b/>
          <w:i w:val="0"/>
          <w:color w:val="1A1A1A"/>
          <w:sz w:val="19"/>
        </w:rPr>
        <w:t xml:space="preserve">5.3.3   </w:t>
      </w:r>
      <w:r>
        <w:rPr>
          <w:rFonts w:ascii="Calibri" w:hAnsi="Calibri"/>
          <w:b w:val="0"/>
          <w:i w:val="0"/>
          <w:color w:val="3A3A3A"/>
          <w:sz w:val="20"/>
        </w:rPr>
        <w:t>EC2 instances run CrowdStrike for endpoint protection and are continuously scanned by Amazon Inspector for vulnerabilities.</w:t>
      </w:r>
    </w:p>
    <w:p>
      <w:pPr>
        <w:spacing w:before="20" w:after="40" w:line="280" w:lineRule="exact"/>
        <w:ind w:left="504" w:hanging="504"/>
      </w:pPr>
      <w:r>
        <w:rPr>
          <w:rFonts w:ascii="Calibri" w:hAnsi="Calibri"/>
          <w:b/>
          <w:i w:val="0"/>
          <w:color w:val="1A1A1A"/>
          <w:sz w:val="19"/>
        </w:rPr>
        <w:t xml:space="preserve">5.3.4   </w:t>
      </w:r>
      <w:r>
        <w:rPr>
          <w:rFonts w:ascii="Calibri" w:hAnsi="Calibri"/>
          <w:b w:val="0"/>
          <w:i w:val="0"/>
          <w:color w:val="3A3A3A"/>
          <w:sz w:val="20"/>
        </w:rPr>
        <w:t>The application's IAM role follows least-privilege: it can call Bedrock and access designated S3 buckets and Secrets Manager paths, and nothing else.</w:t>
      </w:r>
    </w:p>
    <w:p>
      <w:pPr>
        <w:spacing w:before="360" w:after="80"/>
        <w:pBdr>
          <w:bottom w:val="single" w:sz="6" w:space="4" w:color="1A1A1A"/>
        </w:pBdr>
      </w:pPr>
      <w:r>
        <w:rPr>
          <w:rFonts w:ascii="Calibri" w:hAnsi="Calibri"/>
          <w:b/>
          <w:i w:val="0"/>
          <w:color w:val="1A1A1A"/>
          <w:sz w:val="26"/>
        </w:rPr>
        <w:t xml:space="preserve">6.  </w:t>
      </w:r>
      <w:r>
        <w:rPr>
          <w:rFonts w:ascii="Calibri" w:hAnsi="Calibri"/>
          <w:b/>
          <w:i w:val="0"/>
          <w:color w:val="1A1A1A"/>
          <w:sz w:val="26"/>
        </w:rPr>
        <w:t>Intended Use &amp; Boundaries</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FAST is built for document comparison and review within Liberty Mutual's authorised workflows. AI findings are inputs to a human review process — they are not decisions. Users are expected to apply professional judgement when reviewing and acting on findings.</w:t>
      </w:r>
    </w:p>
    <w:p>
      <w:pPr>
        <w:spacing w:before="200" w:after="60"/>
      </w:pPr>
      <w:r>
        <w:rPr>
          <w:rFonts w:ascii="Calibri" w:hAnsi="Calibri"/>
          <w:b/>
          <w:i w:val="0"/>
          <w:color w:val="1A1A1A"/>
          <w:sz w:val="18"/>
        </w:rPr>
        <w:t>6.1  Intended Uses</w:t>
      </w:r>
    </w:p>
    <w:p>
      <w:pPr>
        <w:spacing w:before="20" w:after="40" w:line="280" w:lineRule="exact"/>
        <w:ind w:left="504" w:hanging="504"/>
      </w:pPr>
      <w:r>
        <w:rPr>
          <w:rFonts w:ascii="Calibri" w:hAnsi="Calibri"/>
          <w:b/>
          <w:i w:val="0"/>
          <w:color w:val="1A1A1A"/>
          <w:sz w:val="19"/>
        </w:rPr>
        <w:t xml:space="preserve">a.   </w:t>
      </w:r>
      <w:r>
        <w:rPr>
          <w:rFonts w:ascii="Calibri" w:hAnsi="Calibri"/>
          <w:b w:val="0"/>
          <w:i w:val="0"/>
          <w:color w:val="3A3A3A"/>
          <w:sz w:val="20"/>
        </w:rPr>
        <w:t>Comparing two versions of a document to identify changes, additions, deletions, and anomalies.</w:t>
      </w:r>
    </w:p>
    <w:p>
      <w:pPr>
        <w:spacing w:before="20" w:after="40" w:line="280" w:lineRule="exact"/>
        <w:ind w:left="504" w:hanging="504"/>
      </w:pPr>
      <w:r>
        <w:rPr>
          <w:rFonts w:ascii="Calibri" w:hAnsi="Calibri"/>
          <w:b/>
          <w:i w:val="0"/>
          <w:color w:val="1A1A1A"/>
          <w:sz w:val="19"/>
        </w:rPr>
        <w:t xml:space="preserve">b.   </w:t>
      </w:r>
      <w:r>
        <w:rPr>
          <w:rFonts w:ascii="Calibri" w:hAnsi="Calibri"/>
          <w:b w:val="0"/>
          <w:i w:val="0"/>
          <w:color w:val="3A3A3A"/>
          <w:sz w:val="20"/>
        </w:rPr>
        <w:t>Detecting the presence or absence of signatures, stamps, and approval markings.</w:t>
      </w:r>
    </w:p>
    <w:p>
      <w:pPr>
        <w:spacing w:before="20" w:after="40" w:line="280" w:lineRule="exact"/>
        <w:ind w:left="504" w:hanging="504"/>
      </w:pPr>
      <w:r>
        <w:rPr>
          <w:rFonts w:ascii="Calibri" w:hAnsi="Calibri"/>
          <w:b/>
          <w:i w:val="0"/>
          <w:color w:val="1A1A1A"/>
          <w:sz w:val="19"/>
        </w:rPr>
        <w:t xml:space="preserve">c.   </w:t>
      </w:r>
      <w:r>
        <w:rPr>
          <w:rFonts w:ascii="Calibri" w:hAnsi="Calibri"/>
          <w:b w:val="0"/>
          <w:i w:val="0"/>
          <w:color w:val="3A3A3A"/>
          <w:sz w:val="20"/>
        </w:rPr>
        <w:t>Generating structured comparison reports to support human review and sign-off.</w:t>
      </w:r>
    </w:p>
    <w:p>
      <w:pPr>
        <w:spacing w:before="20" w:after="40" w:line="280" w:lineRule="exact"/>
        <w:ind w:left="504" w:hanging="504"/>
      </w:pPr>
      <w:r>
        <w:rPr>
          <w:rFonts w:ascii="Calibri" w:hAnsi="Calibri"/>
          <w:b/>
          <w:i w:val="0"/>
          <w:color w:val="1A1A1A"/>
          <w:sz w:val="19"/>
        </w:rPr>
        <w:t xml:space="preserve">d.   </w:t>
      </w:r>
      <w:r>
        <w:rPr>
          <w:rFonts w:ascii="Calibri" w:hAnsi="Calibri"/>
          <w:b w:val="0"/>
          <w:i w:val="0"/>
          <w:color w:val="3A3A3A"/>
          <w:sz w:val="20"/>
        </w:rPr>
        <w:t>Connecting FAST outputs to downstream systems via the REST API, subject to the same use boundaries.</w:t>
      </w:r>
    </w:p>
    <w:p>
      <w:pPr>
        <w:spacing w:before="200" w:after="60"/>
      </w:pPr>
      <w:r>
        <w:rPr>
          <w:rFonts w:ascii="Calibri" w:hAnsi="Calibri"/>
          <w:b/>
          <w:i w:val="0"/>
          <w:color w:val="1A1A1A"/>
          <w:sz w:val="18"/>
        </w:rPr>
        <w:t>6.2  Use Outside These Boundaries</w:t>
      </w:r>
    </w:p>
    <w:p>
      <w:pPr>
        <w:spacing w:before="20" w:after="40" w:line="280" w:lineRule="exact"/>
        <w:ind w:left="504" w:hanging="504"/>
      </w:pPr>
      <w:r>
        <w:rPr>
          <w:rFonts w:ascii="Calibri" w:hAnsi="Calibri"/>
          <w:b/>
          <w:i w:val="0"/>
          <w:color w:val="1A1A1A"/>
          <w:sz w:val="19"/>
        </w:rPr>
        <w:t xml:space="preserve">a.   </w:t>
      </w:r>
      <w:r>
        <w:rPr>
          <w:rFonts w:ascii="Calibri" w:hAnsi="Calibri"/>
          <w:b w:val="0"/>
          <w:i w:val="0"/>
          <w:color w:val="3A3A3A"/>
          <w:sz w:val="20"/>
        </w:rPr>
        <w:t>AI findings should not be the sole basis for a compliance, legal, or financial decision. Human review is always required.</w:t>
      </w:r>
    </w:p>
    <w:p>
      <w:pPr>
        <w:spacing w:before="20" w:after="40" w:line="280" w:lineRule="exact"/>
        <w:ind w:left="504" w:hanging="504"/>
      </w:pPr>
      <w:r>
        <w:rPr>
          <w:rFonts w:ascii="Calibri" w:hAnsi="Calibri"/>
          <w:b/>
          <w:i w:val="0"/>
          <w:color w:val="1A1A1A"/>
          <w:sz w:val="19"/>
        </w:rPr>
        <w:t xml:space="preserve">b.   </w:t>
      </w:r>
      <w:r>
        <w:rPr>
          <w:rFonts w:ascii="Calibri" w:hAnsi="Calibri"/>
          <w:b w:val="0"/>
          <w:i w:val="0"/>
          <w:color w:val="3A3A3A"/>
          <w:sz w:val="20"/>
        </w:rPr>
        <w:t>Documents uploaded to FAST should be limited to what is needed for the comparison. Unnecessary information should not be included.</w:t>
      </w:r>
    </w:p>
    <w:p>
      <w:pPr>
        <w:spacing w:before="20" w:after="40" w:line="280" w:lineRule="exact"/>
        <w:ind w:left="504" w:hanging="504"/>
      </w:pPr>
      <w:r>
        <w:rPr>
          <w:rFonts w:ascii="Calibri" w:hAnsi="Calibri"/>
          <w:b/>
          <w:i w:val="0"/>
          <w:color w:val="1A1A1A"/>
          <w:sz w:val="19"/>
        </w:rPr>
        <w:t xml:space="preserve">c.   </w:t>
      </w:r>
      <w:r>
        <w:rPr>
          <w:rFonts w:ascii="Calibri" w:hAnsi="Calibri"/>
          <w:b w:val="0"/>
          <w:i w:val="0"/>
          <w:color w:val="3A3A3A"/>
          <w:sz w:val="20"/>
        </w:rPr>
        <w:t>FAST should only be used for Liberty Mutual's authorised workflows. Use for other purposes requires prior agreement.</w:t>
      </w:r>
    </w:p>
    <w:p>
      <w:pPr>
        <w:spacing w:before="200" w:after="60"/>
      </w:pPr>
      <w:r>
        <w:rPr>
          <w:rFonts w:ascii="Calibri" w:hAnsi="Calibri"/>
          <w:b/>
          <w:i w:val="0"/>
          <w:color w:val="1A1A1A"/>
          <w:sz w:val="18"/>
        </w:rPr>
        <w:t>6.3  User Expectations</w:t>
      </w:r>
    </w:p>
    <w:p>
      <w:pPr>
        <w:spacing w:before="20" w:after="40" w:line="280" w:lineRule="exact"/>
        <w:ind w:left="504" w:hanging="504"/>
      </w:pPr>
      <w:r>
        <w:rPr>
          <w:rFonts w:ascii="Calibri" w:hAnsi="Calibri"/>
          <w:b/>
          <w:i w:val="0"/>
          <w:color w:val="1A1A1A"/>
          <w:sz w:val="19"/>
        </w:rPr>
        <w:t xml:space="preserve">6.3.1   </w:t>
      </w:r>
      <w:r>
        <w:rPr>
          <w:rFonts w:ascii="Calibri" w:hAnsi="Calibri"/>
          <w:b w:val="0"/>
          <w:i w:val="0"/>
          <w:color w:val="3A3A3A"/>
          <w:sz w:val="20"/>
        </w:rPr>
        <w:t>Users with Reviewer or Admin access are expected to have completed onboarding that covers what AI findings represent and their limitations.</w:t>
      </w:r>
    </w:p>
    <w:p>
      <w:pPr>
        <w:spacing w:before="20" w:after="40" w:line="280" w:lineRule="exact"/>
        <w:ind w:left="504" w:hanging="504"/>
      </w:pPr>
      <w:r>
        <w:rPr>
          <w:rFonts w:ascii="Calibri" w:hAnsi="Calibri"/>
          <w:b/>
          <w:i w:val="0"/>
          <w:color w:val="1A1A1A"/>
          <w:sz w:val="19"/>
        </w:rPr>
        <w:t xml:space="preserve">6.3.2   </w:t>
      </w:r>
      <w:r>
        <w:rPr>
          <w:rFonts w:ascii="Calibri" w:hAnsi="Calibri"/>
          <w:b w:val="0"/>
          <w:i w:val="0"/>
          <w:color w:val="3A3A3A"/>
          <w:sz w:val="20"/>
        </w:rPr>
        <w:t>When a user believes a finding is incorrect, they should mark it as a false positive in the platform. This feedback is reviewed quarterly to identify and address recurring accuracy issues.</w:t>
      </w:r>
    </w:p>
    <w:p>
      <w:pPr>
        <w:spacing w:before="360" w:after="80"/>
        <w:pBdr>
          <w:bottom w:val="single" w:sz="6" w:space="4" w:color="1A1A1A"/>
        </w:pBdr>
      </w:pPr>
      <w:r>
        <w:rPr>
          <w:rFonts w:ascii="Calibri" w:hAnsi="Calibri"/>
          <w:b/>
          <w:i w:val="0"/>
          <w:color w:val="1A1A1A"/>
          <w:sz w:val="26"/>
        </w:rPr>
        <w:t xml:space="preserve">7.  </w:t>
      </w:r>
      <w:r>
        <w:rPr>
          <w:rFonts w:ascii="Calibri" w:hAnsi="Calibri"/>
          <w:b/>
          <w:i w:val="0"/>
          <w:color w:val="1A1A1A"/>
          <w:sz w:val="26"/>
        </w:rPr>
        <w:t>Monitoring &amp; Performance Review</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CGI monitors the AI components for availability and error rates on an ongoing basis using CloudWatch and SNS alerting. Accuracy is reviewed formally each quarter and results are shared with Liberty Mutual.</w:t>
      </w:r>
    </w:p>
    <w:p>
      <w:pPr>
        <w:spacing w:before="200" w:after="60"/>
      </w:pPr>
      <w:r>
        <w:rPr>
          <w:rFonts w:ascii="Calibri" w:hAnsi="Calibri"/>
          <w:b/>
          <w:i w:val="0"/>
          <w:color w:val="1A1A1A"/>
          <w:sz w:val="18"/>
        </w:rPr>
        <w:t>7.1  Operational Monitoring</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30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METRIC</w:t>
            </w:r>
          </w:p>
        </w:tc>
        <w:tc>
          <w:tcPr>
            <w:tcW w:type="dxa" w:w="230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THRESHOLD THAT TRIGGERS REVIEW</w:t>
            </w:r>
          </w:p>
        </w:tc>
        <w:tc>
          <w:tcPr>
            <w:tcW w:type="dxa" w:w="2160"/>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DETECTION METHOD</w:t>
            </w:r>
          </w:p>
        </w:tc>
        <w:tc>
          <w:tcPr>
            <w:tcW w:type="dxa" w:w="1728"/>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RESPONSIBLE</w:t>
            </w:r>
          </w:p>
        </w:tc>
      </w:tr>
      <w:tr>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AI inference error rate</w:t>
            </w:r>
          </w:p>
        </w:tc>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Above 2% of requests</w:t>
            </w:r>
          </w:p>
        </w:tc>
        <w:tc>
          <w:tcPr>
            <w:tcW w:type="dxa" w:w="216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CloudWatch alarm → SNS</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DevOps</w:t>
            </w:r>
          </w:p>
        </w:tc>
      </w:tr>
      <w:tr>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Response time (p95)</w:t>
            </w:r>
          </w:p>
        </w:tc>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Above 120 seconds</w:t>
            </w:r>
          </w:p>
        </w:tc>
        <w:tc>
          <w:tcPr>
            <w:tcW w:type="dxa" w:w="216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CloudWatch alarm → SNS</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DevOps</w:t>
            </w:r>
          </w:p>
        </w:tc>
      </w:tr>
      <w:tr>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Empty findings rate</w:t>
            </w:r>
          </w:p>
        </w:tc>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Above 10% of comparisons</w:t>
            </w:r>
          </w:p>
        </w:tc>
        <w:tc>
          <w:tcPr>
            <w:tcW w:type="dxa" w:w="216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Application log alert</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Engineering</w:t>
            </w:r>
          </w:p>
        </w:tc>
      </w:tr>
      <w:tr>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User-reported false positives</w:t>
            </w:r>
          </w:p>
        </w:tc>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More than 5 per week</w:t>
            </w:r>
          </w:p>
        </w:tc>
        <w:tc>
          <w:tcPr>
            <w:tcW w:type="dxa" w:w="216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Weekly summary report</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Project Lead</w:t>
            </w:r>
          </w:p>
        </w:tc>
      </w:tr>
      <w:tr>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EC2 instance health</w:t>
            </w:r>
          </w:p>
        </w:tc>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Failed status checks</w:t>
            </w:r>
          </w:p>
        </w:tc>
        <w:tc>
          <w:tcPr>
            <w:tcW w:type="dxa" w:w="216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CloudWatch + Auto Recovery</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 CGI</w:t>
            </w:r>
          </w:p>
        </w:tc>
      </w:tr>
      <w:tr>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Bedrock service health</w:t>
            </w:r>
          </w:p>
        </w:tc>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service disruption</w:t>
            </w:r>
          </w:p>
        </w:tc>
        <w:tc>
          <w:tcPr>
            <w:tcW w:type="dxa" w:w="216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Health Dashboard</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 CGI</w:t>
            </w:r>
          </w:p>
        </w:tc>
      </w:tr>
    </w:tbl>
    <w:p>
      <w:pPr>
        <w:spacing w:before="0" w:after="0" w:line="160" w:lineRule="exact"/>
      </w:pPr>
    </w:p>
    <w:p>
      <w:pPr>
        <w:spacing w:before="200" w:after="60"/>
      </w:pPr>
      <w:r>
        <w:rPr>
          <w:rFonts w:ascii="Calibri" w:hAnsi="Calibri"/>
          <w:b/>
          <w:i w:val="0"/>
          <w:color w:val="1A1A1A"/>
          <w:sz w:val="18"/>
        </w:rPr>
        <w:t>7.2  Quarterly Accuracy Review</w:t>
      </w:r>
    </w:p>
    <w:p>
      <w:pPr>
        <w:spacing w:before="20" w:after="40" w:line="280" w:lineRule="exact"/>
        <w:ind w:left="504" w:hanging="504"/>
      </w:pPr>
      <w:r>
        <w:rPr>
          <w:rFonts w:ascii="Calibri" w:hAnsi="Calibri"/>
          <w:b/>
          <w:i w:val="0"/>
          <w:color w:val="1A1A1A"/>
          <w:sz w:val="19"/>
        </w:rPr>
        <w:t xml:space="preserve">7.2.1   </w:t>
      </w:r>
      <w:r>
        <w:rPr>
          <w:rFonts w:ascii="Calibri" w:hAnsi="Calibri"/>
          <w:b w:val="0"/>
          <w:i w:val="0"/>
          <w:color w:val="3A3A3A"/>
          <w:sz w:val="20"/>
        </w:rPr>
        <w:t>Each quarter, CGI runs the current Production model against the benchmark document set and compares results against the previous quarter. Results are shared with Liberty Mutual's designated contact within 10 business days.</w:t>
      </w:r>
    </w:p>
    <w:p>
      <w:pPr>
        <w:spacing w:before="20" w:after="40" w:line="280" w:lineRule="exact"/>
        <w:ind w:left="504" w:hanging="504"/>
      </w:pPr>
      <w:r>
        <w:rPr>
          <w:rFonts w:ascii="Calibri" w:hAnsi="Calibri"/>
          <w:b/>
          <w:i w:val="0"/>
          <w:color w:val="1A1A1A"/>
          <w:sz w:val="19"/>
        </w:rPr>
        <w:t xml:space="preserve">7.2.2   </w:t>
      </w:r>
      <w:r>
        <w:rPr>
          <w:rFonts w:ascii="Calibri" w:hAnsi="Calibri"/>
          <w:b w:val="0"/>
          <w:i w:val="0"/>
          <w:color w:val="3A3A3A"/>
          <w:sz w:val="20"/>
        </w:rPr>
        <w:t>If accuracy drops by more than 5 percentage points from the established baseline, CGI will produce a remediation plan and agree next steps with Liberty Mutual within 15 business days.</w:t>
      </w:r>
    </w:p>
    <w:p>
      <w:pPr>
        <w:spacing w:before="200" w:after="60"/>
      </w:pPr>
      <w:r>
        <w:rPr>
          <w:rFonts w:ascii="Calibri" w:hAnsi="Calibri"/>
          <w:b/>
          <w:i w:val="0"/>
          <w:color w:val="1A1A1A"/>
          <w:sz w:val="18"/>
        </w:rPr>
        <w:t>7.3  Model Version Changes</w:t>
      </w:r>
    </w:p>
    <w:p>
      <w:pPr>
        <w:spacing w:before="20" w:after="40" w:line="280" w:lineRule="exact"/>
        <w:ind w:left="504" w:hanging="504"/>
      </w:pPr>
      <w:r>
        <w:rPr>
          <w:rFonts w:ascii="Calibri" w:hAnsi="Calibri"/>
          <w:b/>
          <w:i w:val="0"/>
          <w:color w:val="1A1A1A"/>
          <w:sz w:val="19"/>
        </w:rPr>
        <w:t xml:space="preserve">7.3.1   </w:t>
      </w:r>
      <w:r>
        <w:rPr>
          <w:rFonts w:ascii="Calibri" w:hAnsi="Calibri"/>
          <w:b w:val="0"/>
          <w:i w:val="0"/>
          <w:color w:val="3A3A3A"/>
          <w:sz w:val="20"/>
        </w:rPr>
        <w:t>If AWS retires the Bedrock model version used by FAST, CGI will evaluate the replacement, run the full test suite, and seek Liberty Mutual's agreement before switching in Production.</w:t>
      </w:r>
    </w:p>
    <w:p>
      <w:pPr>
        <w:spacing w:before="20" w:after="40" w:line="280" w:lineRule="exact"/>
        <w:ind w:left="504" w:hanging="504"/>
      </w:pPr>
      <w:r>
        <w:rPr>
          <w:rFonts w:ascii="Calibri" w:hAnsi="Calibri"/>
          <w:b/>
          <w:i w:val="0"/>
          <w:color w:val="1A1A1A"/>
          <w:sz w:val="19"/>
        </w:rPr>
        <w:t xml:space="preserve">7.3.2   </w:t>
      </w:r>
      <w:r>
        <w:rPr>
          <w:rFonts w:ascii="Calibri" w:hAnsi="Calibri"/>
          <w:b w:val="0"/>
          <w:i w:val="0"/>
          <w:color w:val="3A3A3A"/>
          <w:sz w:val="20"/>
        </w:rPr>
        <w:t>Planned model changes are communicated to Liberty Mutual at least 10 business days in advance.</w:t>
      </w:r>
    </w:p>
    <w:p>
      <w:pPr>
        <w:spacing w:before="360" w:after="80"/>
        <w:pBdr>
          <w:bottom w:val="single" w:sz="6" w:space="4" w:color="1A1A1A"/>
        </w:pBdr>
      </w:pPr>
      <w:r>
        <w:rPr>
          <w:rFonts w:ascii="Calibri" w:hAnsi="Calibri"/>
          <w:b/>
          <w:i w:val="0"/>
          <w:color w:val="1A1A1A"/>
          <w:sz w:val="26"/>
        </w:rPr>
        <w:t xml:space="preserve">8.  </w:t>
      </w:r>
      <w:r>
        <w:rPr>
          <w:rFonts w:ascii="Calibri" w:hAnsi="Calibri"/>
          <w:b/>
          <w:i w:val="0"/>
          <w:color w:val="1A1A1A"/>
          <w:sz w:val="26"/>
        </w:rPr>
        <w:t>Data Handling in AI Processing</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Document content is only sent to the AI model for the duration of a single comparison request. The AI provider does not retain the content. Everything runs within Liberty Mutual's AWS account — Anthropic (who built Claude) never receives Liberty Mutual's documents directly.</w:t>
      </w:r>
    </w:p>
    <w:p>
      <w:pPr>
        <w:spacing w:before="200" w:after="60"/>
      </w:pPr>
      <w:r>
        <w:rPr>
          <w:rFonts w:ascii="Calibri" w:hAnsi="Calibri"/>
          <w:b/>
          <w:i w:val="0"/>
          <w:color w:val="1A1A1A"/>
          <w:sz w:val="18"/>
        </w:rPr>
        <w:t>8.1  How Data Is Handled</w:t>
      </w:r>
    </w:p>
    <w:p>
      <w:pPr>
        <w:spacing w:before="20" w:after="40" w:line="280" w:lineRule="exact"/>
        <w:ind w:left="504" w:hanging="504"/>
      </w:pPr>
      <w:r>
        <w:rPr>
          <w:rFonts w:ascii="Calibri" w:hAnsi="Calibri"/>
          <w:b/>
          <w:i w:val="0"/>
          <w:color w:val="1A1A1A"/>
          <w:sz w:val="19"/>
        </w:rPr>
        <w:t xml:space="preserve">8.1.1   </w:t>
      </w:r>
      <w:r>
        <w:rPr>
          <w:rFonts w:ascii="Calibri" w:hAnsi="Calibri"/>
          <w:b w:val="0"/>
          <w:i w:val="0"/>
          <w:color w:val="3A3A3A"/>
          <w:sz w:val="20"/>
        </w:rPr>
        <w:t>Documents are passed to AWS Bedrock as part of a single inference call via the VPC endpoint. Once Bedrock returns a response, the content is not stored by the AI service — confirmed by AWS service terms.</w:t>
      </w:r>
    </w:p>
    <w:p>
      <w:pPr>
        <w:spacing w:before="20" w:after="40" w:line="280" w:lineRule="exact"/>
        <w:ind w:left="504" w:hanging="504"/>
      </w:pPr>
      <w:r>
        <w:rPr>
          <w:rFonts w:ascii="Calibri" w:hAnsi="Calibri"/>
          <w:b/>
          <w:i w:val="0"/>
          <w:color w:val="1A1A1A"/>
          <w:sz w:val="19"/>
        </w:rPr>
        <w:t xml:space="preserve">8.1.2   </w:t>
      </w:r>
      <w:r>
        <w:rPr>
          <w:rFonts w:ascii="Calibri" w:hAnsi="Calibri"/>
          <w:b w:val="0"/>
          <w:i w:val="0"/>
          <w:color w:val="3A3A3A"/>
          <w:sz w:val="20"/>
        </w:rPr>
        <w:t>The Bedrock VPC endpoint keeps all AI traffic within the AWS private network. Document content does not traverse the public internet at any point.</w:t>
      </w:r>
    </w:p>
    <w:p>
      <w:pPr>
        <w:spacing w:before="20" w:after="40" w:line="280" w:lineRule="exact"/>
        <w:ind w:left="504" w:hanging="504"/>
      </w:pPr>
      <w:r>
        <w:rPr>
          <w:rFonts w:ascii="Calibri" w:hAnsi="Calibri"/>
          <w:b/>
          <w:i w:val="0"/>
          <w:color w:val="1A1A1A"/>
          <w:sz w:val="19"/>
        </w:rPr>
        <w:t xml:space="preserve">8.1.3   </w:t>
      </w:r>
      <w:r>
        <w:rPr>
          <w:rFonts w:ascii="Calibri" w:hAnsi="Calibri"/>
          <w:b w:val="0"/>
          <w:i w:val="0"/>
          <w:color w:val="3A3A3A"/>
          <w:sz w:val="20"/>
        </w:rPr>
        <w:t>AWS Bedrock's terms explicitly prohibit using customer inference data to train or improve foundation models. This applies to all requests from Liberty Mutual's AWS account.</w:t>
      </w:r>
    </w:p>
    <w:p>
      <w:pPr>
        <w:spacing w:before="20" w:after="40" w:line="280" w:lineRule="exact"/>
        <w:ind w:left="504" w:hanging="504"/>
      </w:pPr>
      <w:r>
        <w:rPr>
          <w:rFonts w:ascii="Calibri" w:hAnsi="Calibri"/>
          <w:b/>
          <w:i w:val="0"/>
          <w:color w:val="1A1A1A"/>
          <w:sz w:val="19"/>
        </w:rPr>
        <w:t xml:space="preserve">8.1.4   </w:t>
      </w:r>
      <w:r>
        <w:rPr>
          <w:rFonts w:ascii="Calibri" w:hAnsi="Calibri"/>
          <w:b w:val="0"/>
          <w:i w:val="0"/>
          <w:color w:val="3A3A3A"/>
          <w:sz w:val="20"/>
        </w:rPr>
        <w:t>Only the pages required for a specific comparison are included in the AI request. Full document libraries and metadata are not transmitted.</w:t>
      </w:r>
    </w:p>
    <w:p>
      <w:pPr>
        <w:spacing w:before="20" w:after="40" w:line="280" w:lineRule="exact"/>
        <w:ind w:left="504" w:hanging="504"/>
      </w:pPr>
      <w:r>
        <w:rPr>
          <w:rFonts w:ascii="Calibri" w:hAnsi="Calibri"/>
          <w:b/>
          <w:i w:val="0"/>
          <w:color w:val="1A1A1A"/>
          <w:sz w:val="19"/>
        </w:rPr>
        <w:t xml:space="preserve">8.1.5   </w:t>
      </w:r>
      <w:r>
        <w:rPr>
          <w:rFonts w:ascii="Calibri" w:hAnsi="Calibri"/>
          <w:b w:val="0"/>
          <w:i w:val="0"/>
          <w:color w:val="3A3A3A"/>
          <w:sz w:val="20"/>
        </w:rPr>
        <w:t>Documents at rest in S3 and results in RDS are encrypted using KMS keys managed within Liberty Mutual's AWS account.</w:t>
      </w:r>
    </w:p>
    <w:p>
      <w:pPr>
        <w:spacing w:before="200" w:after="60"/>
      </w:pPr>
      <w:r>
        <w:rPr>
          <w:rFonts w:ascii="Calibri" w:hAnsi="Calibri"/>
          <w:b/>
          <w:i w:val="0"/>
          <w:color w:val="1A1A1A"/>
          <w:sz w:val="18"/>
        </w:rPr>
        <w:t>8.2  Third-Party Components</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201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COMPONENT</w:t>
            </w:r>
          </w:p>
        </w:tc>
        <w:tc>
          <w:tcPr>
            <w:tcW w:type="dxa" w:w="158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ROLE</w:t>
            </w:r>
          </w:p>
        </w:tc>
        <w:tc>
          <w:tcPr>
            <w:tcW w:type="dxa" w:w="230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DATA EXPOSURE</w:t>
            </w:r>
          </w:p>
        </w:tc>
        <w:tc>
          <w:tcPr>
            <w:tcW w:type="dxa" w:w="2160"/>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TRAINING RESTRICTION</w:t>
            </w:r>
          </w:p>
        </w:tc>
        <w:tc>
          <w:tcPr>
            <w:tcW w:type="dxa" w:w="1440"/>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CAN BE DISABLED</w:t>
            </w:r>
          </w:p>
        </w:tc>
      </w:tr>
      <w:tr>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AWS Bedrock — Claude</w:t>
            </w:r>
          </w:p>
        </w:tc>
        <w:tc>
          <w:tcPr>
            <w:tcW w:type="dxa" w:w="158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AI inference</w:t>
            </w:r>
          </w:p>
        </w:tc>
        <w:tc>
          <w:tcPr>
            <w:tcW w:type="dxa" w:w="230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In-flight only, not retained</w:t>
            </w:r>
          </w:p>
        </w:tc>
        <w:tc>
          <w:tcPr>
            <w:tcW w:type="dxa" w:w="216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Yes — AWS service terms</w:t>
            </w:r>
          </w:p>
        </w:tc>
        <w:tc>
          <w:tcPr>
            <w:tcW w:type="dxa" w:w="144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No — core component</w:t>
            </w:r>
          </w:p>
        </w:tc>
      </w:tr>
      <w:tr>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LlamaParse</w:t>
            </w:r>
          </w:p>
        </w:tc>
        <w:tc>
          <w:tcPr>
            <w:tcW w:type="dxa" w:w="158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PDF parsing (opt.)</w:t>
            </w:r>
          </w:p>
        </w:tc>
        <w:tc>
          <w:tcPr>
            <w:tcW w:type="dxa" w:w="230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Document content during parse</w:t>
            </w:r>
          </w:p>
        </w:tc>
        <w:tc>
          <w:tcPr>
            <w:tcW w:type="dxa" w:w="216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Verify per contract tier</w:t>
            </w:r>
          </w:p>
        </w:tc>
        <w:tc>
          <w:tcPr>
            <w:tcW w:type="dxa" w:w="144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Yes — PyMuPDF used instead</w:t>
            </w:r>
          </w:p>
        </w:tc>
      </w:tr>
    </w:tbl>
    <w:p>
      <w:pPr>
        <w:spacing w:before="0" w:after="0" w:line="160" w:lineRule="exact"/>
      </w:pPr>
    </w:p>
    <w:p>
      <w:pPr>
        <w:spacing w:before="40" w:after="160" w:line="260" w:lineRule="exact"/>
        <w:ind w:left="288"/>
      </w:pPr>
      <w:r>
        <w:rPr>
          <w:rFonts w:ascii="Calibri" w:hAnsi="Calibri"/>
          <w:b/>
          <w:i w:val="0"/>
          <w:color w:val="6D6D6D"/>
          <w:sz w:val="19"/>
        </w:rPr>
        <w:t xml:space="preserve">Note: </w:t>
      </w:r>
      <w:r>
        <w:rPr>
          <w:rFonts w:ascii="Calibri" w:hAnsi="Calibri"/>
          <w:b w:val="0"/>
          <w:i/>
          <w:color w:val="6D6D6D"/>
          <w:sz w:val="19"/>
        </w:rPr>
        <w:t>If Liberty Mutual requires that no document content leaves the AWS environment under any circumstances, LlamaParse can be disabled. PyMuPDF, a locally-installed library, is used as the sole parser with zero external calls.</w:t>
      </w:r>
    </w:p>
    <w:p>
      <w:pPr>
        <w:spacing w:before="360" w:after="80"/>
        <w:pBdr>
          <w:bottom w:val="single" w:sz="6" w:space="4" w:color="1A1A1A"/>
        </w:pBdr>
      </w:pPr>
      <w:r>
        <w:rPr>
          <w:rFonts w:ascii="Calibri" w:hAnsi="Calibri"/>
          <w:b/>
          <w:i w:val="0"/>
          <w:color w:val="1A1A1A"/>
          <w:sz w:val="26"/>
        </w:rPr>
        <w:t xml:space="preserve">9.  </w:t>
      </w:r>
      <w:r>
        <w:rPr>
          <w:rFonts w:ascii="Calibri" w:hAnsi="Calibri"/>
          <w:b/>
          <w:i w:val="0"/>
          <w:color w:val="1A1A1A"/>
          <w:sz w:val="26"/>
        </w:rPr>
        <w:t>Incident Handling</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CGI classifies AI-related issues by severity and has defined response times for each level. Liberty Mutual is notified promptly for anything that affects data integrity or service availability. SNS is used for automated alerting to on-call responders.</w:t>
      </w:r>
    </w:p>
    <w:p>
      <w:pPr>
        <w:spacing w:before="200" w:after="60"/>
      </w:pPr>
      <w:r>
        <w:rPr>
          <w:rFonts w:ascii="Calibri" w:hAnsi="Calibri"/>
          <w:b/>
          <w:i w:val="0"/>
          <w:color w:val="1A1A1A"/>
          <w:sz w:val="18"/>
        </w:rPr>
        <w:t>9.1  Severity Classification</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728"/>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SEVERITY</w:t>
            </w:r>
          </w:p>
        </w:tc>
        <w:tc>
          <w:tcPr>
            <w:tcW w:type="dxa" w:w="3600"/>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EXAMPLES</w:t>
            </w:r>
          </w:p>
        </w:tc>
        <w:tc>
          <w:tcPr>
            <w:tcW w:type="dxa" w:w="1728"/>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CGI RESPONSE</w:t>
            </w:r>
          </w:p>
        </w:tc>
        <w:tc>
          <w:tcPr>
            <w:tcW w:type="dxa" w:w="1728"/>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LIBERTY NOTIFIED</w:t>
            </w:r>
          </w:p>
        </w:tc>
      </w:tr>
      <w:tr>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P1 — Critical</w:t>
            </w:r>
          </w:p>
        </w:tc>
        <w:tc>
          <w:tcPr>
            <w:tcW w:type="dxa" w:w="360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Data exposure; complete service failure</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Within 30 minutes</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Within 2 hours</w:t>
            </w:r>
          </w:p>
        </w:tc>
      </w:tr>
      <w:tr>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P2 — High</w:t>
            </w:r>
          </w:p>
        </w:tc>
        <w:tc>
          <w:tcPr>
            <w:tcW w:type="dxa" w:w="360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AI accuracy clearly degraded; findings consistently missing</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Within 2 hours</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Within 4 hours</w:t>
            </w:r>
          </w:p>
        </w:tc>
      </w:tr>
      <w:tr>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P3 — Medium</w:t>
            </w:r>
          </w:p>
        </w:tc>
        <w:tc>
          <w:tcPr>
            <w:tcW w:type="dxa" w:w="3600"/>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Elevated error rate; EC2 instance degraded; latency increase</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Within 4 hours</w:t>
            </w:r>
          </w:p>
        </w:tc>
        <w:tc>
          <w:tcPr>
            <w:tcW w:type="dxa" w:w="172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Next business day</w:t>
            </w:r>
          </w:p>
        </w:tc>
      </w:tr>
      <w:tr>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P4 — Low</w:t>
            </w:r>
          </w:p>
        </w:tc>
        <w:tc>
          <w:tcPr>
            <w:tcW w:type="dxa" w:w="3600"/>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Individual incorrect or missing finding reported by user</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Within 2 days</w:t>
            </w:r>
          </w:p>
        </w:tc>
        <w:tc>
          <w:tcPr>
            <w:tcW w:type="dxa" w:w="172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Monthly summary</w:t>
            </w:r>
          </w:p>
        </w:tc>
      </w:tr>
    </w:tbl>
    <w:p>
      <w:pPr>
        <w:spacing w:before="0" w:after="0" w:line="160" w:lineRule="exact"/>
      </w:pPr>
    </w:p>
    <w:p>
      <w:pPr>
        <w:spacing w:before="200" w:after="60"/>
      </w:pPr>
      <w:r>
        <w:rPr>
          <w:rFonts w:ascii="Calibri" w:hAnsi="Calibri"/>
          <w:b/>
          <w:i w:val="0"/>
          <w:color w:val="1A1A1A"/>
          <w:sz w:val="18"/>
        </w:rPr>
        <w:t>9.2  Post-Incident Review</w:t>
      </w:r>
    </w:p>
    <w:p>
      <w:pPr>
        <w:spacing w:before="20" w:after="40" w:line="280" w:lineRule="exact"/>
        <w:ind w:left="504" w:hanging="504"/>
      </w:pPr>
      <w:r>
        <w:rPr>
          <w:rFonts w:ascii="Calibri" w:hAnsi="Calibri"/>
          <w:b/>
          <w:i w:val="0"/>
          <w:color w:val="1A1A1A"/>
          <w:sz w:val="19"/>
        </w:rPr>
        <w:t xml:space="preserve">9.2.1   </w:t>
      </w:r>
      <w:r>
        <w:rPr>
          <w:rFonts w:ascii="Calibri" w:hAnsi="Calibri"/>
          <w:b w:val="0"/>
          <w:i w:val="0"/>
          <w:color w:val="3A3A3A"/>
          <w:sz w:val="20"/>
        </w:rPr>
        <w:t>For P1 and P2 incidents, CGI prepares a written summary covering what happened, what was done to resolve it, and what steps are being taken to prevent recurrence. This is shared with Liberty Mutual within 10 business days of resolution.</w:t>
      </w:r>
    </w:p>
    <w:p>
      <w:pPr>
        <w:spacing w:before="360" w:after="80"/>
        <w:pBdr>
          <w:bottom w:val="single" w:sz="6" w:space="4" w:color="1A1A1A"/>
        </w:pBdr>
      </w:pPr>
      <w:r>
        <w:rPr>
          <w:rFonts w:ascii="Calibri" w:hAnsi="Calibri"/>
          <w:b/>
          <w:i w:val="0"/>
          <w:color w:val="1A1A1A"/>
          <w:sz w:val="26"/>
        </w:rPr>
        <w:t xml:space="preserve">10.  </w:t>
      </w:r>
      <w:r>
        <w:rPr>
          <w:rFonts w:ascii="Calibri" w:hAnsi="Calibri"/>
          <w:b/>
          <w:i w:val="0"/>
          <w:color w:val="1A1A1A"/>
          <w:sz w:val="26"/>
        </w:rPr>
        <w:t>Governance &amp; Contacts</w:t>
      </w:r>
    </w:p>
    <w:p>
      <w:pPr>
        <w:spacing w:before="80" w:after="200" w:line="280" w:lineRule="exact"/>
        <w:ind w:left="288"/>
      </w:pPr>
      <w:r>
        <w:rPr>
          <w:rFonts w:ascii="Calibri" w:hAnsi="Calibri"/>
          <w:b/>
          <w:i w:val="0"/>
          <w:color w:val="1A1A1A"/>
          <w:sz w:val="20"/>
        </w:rPr>
        <w:t xml:space="preserve">Overview: </w:t>
      </w:r>
      <w:r>
        <w:rPr>
          <w:rFonts w:ascii="Calibri" w:hAnsi="Calibri"/>
          <w:b w:val="0"/>
          <w:i w:val="0"/>
          <w:color w:val="3A3A3A"/>
          <w:sz w:val="20"/>
        </w:rPr>
        <w:t>Clear ownership is defined on both sides. This document is reviewed annually or whenever there is a material change to the AI components, applicable regulation, or client requirements.</w:t>
      </w:r>
    </w:p>
    <w:p>
      <w:pPr>
        <w:spacing w:before="200" w:after="60"/>
      </w:pPr>
      <w:r>
        <w:rPr>
          <w:rFonts w:ascii="Calibri" w:hAnsi="Calibri"/>
          <w:b/>
          <w:i w:val="0"/>
          <w:color w:val="1A1A1A"/>
          <w:sz w:val="18"/>
        </w:rPr>
        <w:t>10.1  Roles &amp; Contacts</w:t>
      </w:r>
    </w:p>
    <w:tbl>
      <w:tblPr>
        <w:tblStyle w:val="TableGrid"/>
        <w:tblW w:type="auto" w:w="0"/>
        <w:jc w:val="left"/>
        <w:tblLook w:firstColumn="1" w:firstRow="1" w:lastColumn="0" w:lastRow="0" w:noHBand="0" w:noVBand="1" w:val="04A0"/>
      </w:tblPr>
      <w:tblGrid>
        <w:gridCol w:w="2928"/>
        <w:gridCol w:w="2928"/>
        <w:gridCol w:w="2928"/>
      </w:tblGrid>
      <w:tr>
        <w:tc>
          <w:tcPr>
            <w:tcW w:type="dxa" w:w="2448"/>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ROLE</w:t>
            </w:r>
          </w:p>
        </w:tc>
        <w:tc>
          <w:tcPr>
            <w:tcW w:type="dxa" w:w="2016"/>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ORGANISATION</w:t>
            </w:r>
          </w:p>
        </w:tc>
        <w:tc>
          <w:tcPr>
            <w:tcW w:type="dxa" w:w="446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AREA OF RESPONSIBILITY</w:t>
            </w:r>
          </w:p>
        </w:tc>
      </w:tr>
      <w:tr>
        <w:tc>
          <w:tcPr>
            <w:tcW w:type="dxa" w:w="244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AI Technical Lead</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w:t>
            </w:r>
          </w:p>
        </w:tc>
        <w:tc>
          <w:tcPr>
            <w:tcW w:type="dxa" w:w="446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Design and accuracy of AI components</w:t>
            </w:r>
          </w:p>
        </w:tc>
      </w:tr>
      <w:tr>
        <w:tc>
          <w:tcPr>
            <w:tcW w:type="dxa" w:w="244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Project Delivery Manager</w:t>
            </w:r>
          </w:p>
        </w:tc>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w:t>
            </w:r>
          </w:p>
        </w:tc>
        <w:tc>
          <w:tcPr>
            <w:tcW w:type="dxa" w:w="446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Document maintenance, incident escalation, client liaison</w:t>
            </w:r>
          </w:p>
        </w:tc>
      </w:tr>
      <w:tr>
        <w:tc>
          <w:tcPr>
            <w:tcW w:type="dxa" w:w="244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Liberty Platform Owner</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Liberty Mutual</w:t>
            </w:r>
          </w:p>
        </w:tc>
        <w:tc>
          <w:tcPr>
            <w:tcW w:type="dxa" w:w="446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User access, acceptable use oversight</w:t>
            </w:r>
          </w:p>
        </w:tc>
      </w:tr>
      <w:tr>
        <w:tc>
          <w:tcPr>
            <w:tcW w:type="dxa" w:w="2448"/>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Liberty IT Security</w:t>
            </w:r>
          </w:p>
        </w:tc>
        <w:tc>
          <w:tcPr>
            <w:tcW w:type="dxa" w:w="2016"/>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Liberty Mutual</w:t>
            </w:r>
          </w:p>
        </w:tc>
        <w:tc>
          <w:tcPr>
            <w:tcW w:type="dxa" w:w="4464"/>
            <w:shd w:val="clear" w:color="auto" w:fill="F2F2F2"/>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Infrastructure security, audit log review</w:t>
            </w:r>
          </w:p>
        </w:tc>
      </w:tr>
      <w:tr>
        <w:tc>
          <w:tcPr>
            <w:tcW w:type="dxa" w:w="2448"/>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Legal &amp; Compliance</w:t>
            </w:r>
          </w:p>
        </w:tc>
        <w:tc>
          <w:tcPr>
            <w:tcW w:type="dxa" w:w="2016"/>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w:t>
            </w:r>
          </w:p>
        </w:tc>
        <w:tc>
          <w:tcPr>
            <w:tcW w:type="dxa" w:w="446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Enterprise AI framework, data processing agreements</w:t>
            </w:r>
          </w:p>
        </w:tc>
      </w:tr>
    </w:tbl>
    <w:p>
      <w:pPr>
        <w:spacing w:before="0" w:after="0" w:line="160" w:lineRule="exact"/>
      </w:pPr>
    </w:p>
    <w:p>
      <w:pPr>
        <w:spacing w:before="200" w:after="60"/>
      </w:pPr>
      <w:r>
        <w:rPr>
          <w:rFonts w:ascii="Calibri" w:hAnsi="Calibri"/>
          <w:b/>
          <w:i w:val="0"/>
          <w:color w:val="1A1A1A"/>
          <w:sz w:val="18"/>
        </w:rPr>
        <w:t>10.2  When This Document Is Reviewed</w:t>
      </w:r>
    </w:p>
    <w:p>
      <w:pPr>
        <w:spacing w:before="20" w:after="40" w:line="280" w:lineRule="exact"/>
        <w:ind w:left="504" w:hanging="504"/>
      </w:pPr>
      <w:r>
        <w:rPr>
          <w:rFonts w:ascii="Calibri" w:hAnsi="Calibri"/>
          <w:b/>
          <w:i w:val="0"/>
          <w:color w:val="1A1A1A"/>
          <w:sz w:val="19"/>
        </w:rPr>
        <w:t xml:space="preserve">a.   </w:t>
      </w:r>
      <w:r>
        <w:rPr>
          <w:rFonts w:ascii="Calibri" w:hAnsi="Calibri"/>
          <w:b w:val="0"/>
          <w:i w:val="0"/>
          <w:color w:val="3A3A3A"/>
          <w:sz w:val="20"/>
        </w:rPr>
        <w:t>Annually — regardless of other changes.</w:t>
      </w:r>
    </w:p>
    <w:p>
      <w:pPr>
        <w:spacing w:before="20" w:after="40" w:line="280" w:lineRule="exact"/>
        <w:ind w:left="504" w:hanging="504"/>
      </w:pPr>
      <w:r>
        <w:rPr>
          <w:rFonts w:ascii="Calibri" w:hAnsi="Calibri"/>
          <w:b/>
          <w:i w:val="0"/>
          <w:color w:val="1A1A1A"/>
          <w:sz w:val="19"/>
        </w:rPr>
        <w:t xml:space="preserve">b.   </w:t>
      </w:r>
      <w:r>
        <w:rPr>
          <w:rFonts w:ascii="Calibri" w:hAnsi="Calibri"/>
          <w:b w:val="0"/>
          <w:i w:val="0"/>
          <w:color w:val="3A3A3A"/>
          <w:sz w:val="20"/>
        </w:rPr>
        <w:t>When the AI model or provider changes.</w:t>
      </w:r>
    </w:p>
    <w:p>
      <w:pPr>
        <w:spacing w:before="20" w:after="40" w:line="280" w:lineRule="exact"/>
        <w:ind w:left="504" w:hanging="504"/>
      </w:pPr>
      <w:r>
        <w:rPr>
          <w:rFonts w:ascii="Calibri" w:hAnsi="Calibri"/>
          <w:b/>
          <w:i w:val="0"/>
          <w:color w:val="1A1A1A"/>
          <w:sz w:val="19"/>
        </w:rPr>
        <w:t xml:space="preserve">c.   </w:t>
      </w:r>
      <w:r>
        <w:rPr>
          <w:rFonts w:ascii="Calibri" w:hAnsi="Calibri"/>
          <w:b w:val="0"/>
          <w:i w:val="0"/>
          <w:color w:val="3A3A3A"/>
          <w:sz w:val="20"/>
        </w:rPr>
        <w:t>When new regulation or guidance applies.</w:t>
      </w:r>
    </w:p>
    <w:p>
      <w:pPr>
        <w:spacing w:before="20" w:after="40" w:line="280" w:lineRule="exact"/>
        <w:ind w:left="504" w:hanging="504"/>
      </w:pPr>
      <w:r>
        <w:rPr>
          <w:rFonts w:ascii="Calibri" w:hAnsi="Calibri"/>
          <w:b/>
          <w:i w:val="0"/>
          <w:color w:val="1A1A1A"/>
          <w:sz w:val="19"/>
        </w:rPr>
        <w:t xml:space="preserve">d.   </w:t>
      </w:r>
      <w:r>
        <w:rPr>
          <w:rFonts w:ascii="Calibri" w:hAnsi="Calibri"/>
          <w:b w:val="0"/>
          <w:i w:val="0"/>
          <w:color w:val="3A3A3A"/>
          <w:sz w:val="20"/>
        </w:rPr>
        <w:t>Following a P1 incident.</w:t>
      </w:r>
    </w:p>
    <w:p>
      <w:pPr>
        <w:spacing w:before="20" w:after="40" w:line="280" w:lineRule="exact"/>
        <w:ind w:left="504" w:hanging="504"/>
      </w:pPr>
      <w:r>
        <w:rPr>
          <w:rFonts w:ascii="Calibri" w:hAnsi="Calibri"/>
          <w:b/>
          <w:i w:val="0"/>
          <w:color w:val="1A1A1A"/>
          <w:sz w:val="19"/>
        </w:rPr>
        <w:t xml:space="preserve">e.   </w:t>
      </w:r>
      <w:r>
        <w:rPr>
          <w:rFonts w:ascii="Calibri" w:hAnsi="Calibri"/>
          <w:b w:val="0"/>
          <w:i w:val="0"/>
          <w:color w:val="3A3A3A"/>
          <w:sz w:val="20"/>
        </w:rPr>
        <w:t>At Liberty Mutual's request.</w:t>
      </w:r>
    </w:p>
    <w:p>
      <w:pPr>
        <w:spacing w:before="200" w:after="60"/>
      </w:pPr>
      <w:r>
        <w:rPr>
          <w:rFonts w:ascii="Calibri" w:hAnsi="Calibri"/>
          <w:b/>
          <w:i w:val="0"/>
          <w:color w:val="1A1A1A"/>
          <w:sz w:val="18"/>
        </w:rPr>
        <w:t>10.3  Acknowledgement</w:t>
      </w:r>
    </w:p>
    <w:p>
      <w:pPr>
        <w:spacing w:before="0" w:after="0" w:line="200" w:lineRule="exact"/>
      </w:pPr>
    </w:p>
    <w:tbl>
      <w:tblPr>
        <w:tblW w:type="auto" w:w="0"/>
        <w:jc w:val="left"/>
        <w:tblLook w:firstColumn="1" w:firstRow="1" w:lastColumn="0" w:lastRow="0" w:noHBand="0" w:noVBand="1" w:val="04A0"/>
      </w:tblPr>
      <w:tblGrid>
        <w:gridCol w:w="4392"/>
        <w:gridCol w:w="4392"/>
      </w:tblGrid>
      <w:tr>
        <w:tc>
          <w:tcPr>
            <w:tcW w:type="dxa" w:w="4176"/>
            <w:shd w:val="clear" w:color="auto" w:fill="FFFFFF"/>
            <w:tcBorders>
              <w:top w:val="none" w:sz="0" w:space="0" w:color="auto"/>
              <w:left w:val="none" w:sz="0" w:space="0" w:color="auto"/>
              <w:bottom w:val="single" w:sz="6" w:space="0" w:color="1A1A1A"/>
              <w:right w:val="none" w:sz="0" w:space="0" w:color="auto"/>
            </w:tcBorders>
          </w:tcPr>
          <w:p>
            <w:pPr>
              <w:spacing w:before="560" w:after="80"/>
            </w:pPr>
          </w:p>
        </w:tc>
        <w:tc>
          <w:tcPr>
            <w:tcW w:type="dxa" w:w="4176"/>
            <w:shd w:val="clear" w:color="auto" w:fill="FFFFFF"/>
            <w:tcBorders>
              <w:top w:val="none" w:sz="0" w:space="0" w:color="auto"/>
              <w:left w:val="none" w:sz="0" w:space="0" w:color="auto"/>
              <w:bottom w:val="single" w:sz="6" w:space="0" w:color="1A1A1A"/>
              <w:right w:val="none" w:sz="0" w:space="0" w:color="auto"/>
            </w:tcBorders>
          </w:tcPr>
          <w:p>
            <w:pPr>
              <w:spacing w:before="560" w:after="80"/>
            </w:pPr>
          </w:p>
        </w:tc>
      </w:tr>
      <w:tr>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80" w:after="40"/>
            </w:pPr>
            <w:r>
              <w:rPr>
                <w:rFonts w:ascii="Calibri" w:hAnsi="Calibri"/>
                <w:b w:val="0"/>
                <w:i w:val="0"/>
                <w:color w:val="6D6D6D"/>
                <w:sz w:val="16"/>
              </w:rPr>
              <w:t>Signature &amp; Date</w:t>
            </w:r>
          </w:p>
        </w:tc>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80" w:after="40"/>
            </w:pPr>
            <w:r>
              <w:rPr>
                <w:rFonts w:ascii="Calibri" w:hAnsi="Calibri"/>
                <w:b w:val="0"/>
                <w:i w:val="0"/>
                <w:color w:val="6D6D6D"/>
                <w:sz w:val="16"/>
              </w:rPr>
              <w:t>Signature &amp; Date</w:t>
            </w:r>
          </w:p>
        </w:tc>
      </w:tr>
      <w:tr>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0" w:after="0"/>
            </w:pPr>
            <w:r>
              <w:rPr>
                <w:rFonts w:ascii="Calibri" w:hAnsi="Calibri"/>
                <w:b w:val="0"/>
                <w:i w:val="0"/>
                <w:color w:val="3A3A3A"/>
                <w:sz w:val="18"/>
              </w:rPr>
              <w:t>CGI Project Delivery Manager</w:t>
            </w:r>
          </w:p>
        </w:tc>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0" w:after="0"/>
            </w:pPr>
            <w:r>
              <w:rPr>
                <w:rFonts w:ascii="Calibri" w:hAnsi="Calibri"/>
                <w:b w:val="0"/>
                <w:i w:val="0"/>
                <w:color w:val="3A3A3A"/>
                <w:sz w:val="18"/>
              </w:rPr>
              <w:t>Liberty Mutual — VMO Representative</w:t>
            </w:r>
          </w:p>
        </w:tc>
      </w:tr>
    </w:tbl>
    <w:p>
      <w:pPr>
        <w:spacing w:before="0" w:after="0" w:line="200" w:lineRule="exact"/>
      </w:pPr>
    </w:p>
    <w:p>
      <w:pPr>
        <w:spacing w:before="360" w:after="80"/>
        <w:pBdr>
          <w:bottom w:val="single" w:sz="6" w:space="4" w:color="1A1A1A"/>
        </w:pBdr>
      </w:pPr>
      <w:r>
        <w:rPr>
          <w:rFonts w:ascii="Calibri" w:hAnsi="Calibri"/>
          <w:b/>
          <w:i w:val="0"/>
          <w:color w:val="1A1A1A"/>
          <w:sz w:val="26"/>
        </w:rPr>
        <w:t xml:space="preserve">11.  </w:t>
      </w:r>
      <w:r>
        <w:rPr>
          <w:rFonts w:ascii="Calibri" w:hAnsi="Calibri"/>
          <w:b/>
          <w:i w:val="0"/>
          <w:color w:val="1A1A1A"/>
          <w:sz w:val="26"/>
        </w:rPr>
        <w:t>Document Control</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86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VERSION</w:t>
            </w:r>
          </w:p>
        </w:tc>
        <w:tc>
          <w:tcPr>
            <w:tcW w:type="dxa" w:w="158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DATE</w:t>
            </w:r>
          </w:p>
        </w:tc>
        <w:tc>
          <w:tcPr>
            <w:tcW w:type="dxa" w:w="1872"/>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AUTHOR</w:t>
            </w:r>
          </w:p>
        </w:tc>
        <w:tc>
          <w:tcPr>
            <w:tcW w:type="dxa" w:w="3744"/>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SUMMARY OF CHANGES</w:t>
            </w:r>
          </w:p>
        </w:tc>
        <w:tc>
          <w:tcPr>
            <w:tcW w:type="dxa" w:w="1152"/>
            <w:shd w:val="clear" w:color="auto" w:fill="232323"/>
            <w:tcBorders>
              <w:top w:val="single" w:sz="4" w:space="0" w:color="232323"/>
              <w:left w:val="single" w:sz="4" w:space="0" w:color="232323"/>
              <w:bottom w:val="single" w:sz="4" w:space="0" w:color="232323"/>
              <w:right w:val="single" w:sz="4" w:space="0" w:color="232323"/>
            </w:tcBorders>
          </w:tcPr>
          <w:p>
            <w:pPr>
              <w:spacing w:before="80" w:after="80"/>
            </w:pPr>
            <w:r>
              <w:rPr>
                <w:rFonts w:ascii="Calibri" w:hAnsi="Calibri"/>
                <w:b/>
                <w:i w:val="0"/>
                <w:color w:val="FFFFFF"/>
                <w:sz w:val="16"/>
              </w:rPr>
              <w:t>STATUS</w:t>
            </w:r>
          </w:p>
        </w:tc>
      </w:tr>
      <w:tr>
        <w:tc>
          <w:tcPr>
            <w:tcW w:type="dxa" w:w="86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1.0</w:t>
            </w:r>
          </w:p>
        </w:tc>
        <w:tc>
          <w:tcPr>
            <w:tcW w:type="dxa" w:w="158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July 14, 2026</w:t>
            </w:r>
          </w:p>
        </w:tc>
        <w:tc>
          <w:tcPr>
            <w:tcW w:type="dxa" w:w="187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CGI Project Team</w:t>
            </w:r>
          </w:p>
        </w:tc>
        <w:tc>
          <w:tcPr>
            <w:tcW w:type="dxa" w:w="3744"/>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Initial issue — prepared for Liberty Mutual VMO submission</w:t>
            </w:r>
          </w:p>
        </w:tc>
        <w:tc>
          <w:tcPr>
            <w:tcW w:type="dxa" w:w="1152"/>
            <w:shd w:val="clear" w:color="auto" w:fill="FFFFFF"/>
            <w:tcBorders>
              <w:top w:val="single" w:sz="4" w:space="0" w:color="BBBBBB"/>
              <w:left w:val="single" w:sz="4" w:space="0" w:color="BBBBBB"/>
              <w:bottom w:val="single" w:sz="4" w:space="0" w:color="BBBBBB"/>
              <w:right w:val="single" w:sz="4" w:space="0" w:color="BBBBBB"/>
            </w:tcBorders>
          </w:tcPr>
          <w:p>
            <w:pPr>
              <w:spacing w:before="80" w:after="80" w:line="280" w:lineRule="exact"/>
            </w:pPr>
            <w:r>
              <w:rPr>
                <w:rFonts w:ascii="Calibri" w:hAnsi="Calibri"/>
                <w:b w:val="0"/>
                <w:i w:val="0"/>
                <w:color w:val="3A3A3A"/>
                <w:sz w:val="19"/>
              </w:rPr>
              <w:t>Current</w:t>
            </w:r>
          </w:p>
        </w:tc>
      </w:tr>
    </w:tbl>
    <w:p>
      <w:pPr>
        <w:spacing w:before="0" w:after="0" w:line="160" w:lineRule="exact"/>
      </w:pPr>
    </w:p>
    <w:p>
      <w:pPr>
        <w:spacing w:before="0" w:after="160" w:line="280" w:lineRule="exact"/>
        <w:ind w:left="288"/>
      </w:pPr>
      <w:r>
        <w:rPr>
          <w:rFonts w:ascii="Calibri" w:hAnsi="Calibri"/>
          <w:b w:val="0"/>
          <w:i/>
          <w:color w:val="6D6D6D"/>
          <w:sz w:val="19"/>
        </w:rPr>
        <w:t>This document reflects the practices applied within the FAST engagement. It is a project reference document, not an officially ratified CGI corporate policy. For CGI's enterprise Responsible AI framework, contact your CGI account representative or CGI Legal &amp; Compliance.</w:t>
      </w:r>
    </w:p>
    <w:p>
      <w:pPr>
        <w:spacing w:before="0" w:after="0" w:line="200" w:lineRule="exact"/>
      </w:pPr>
    </w:p>
    <w:tbl>
      <w:tblPr>
        <w:tblW w:type="auto" w:w="0"/>
        <w:jc w:val="center"/>
        <w:tblLook w:firstColumn="1" w:firstRow="1" w:lastColumn="0" w:lastRow="0" w:noHBand="0" w:noVBand="1" w:val="04A0"/>
      </w:tblPr>
      <w:tblGrid>
        <w:gridCol w:w="8784"/>
      </w:tblGrid>
      <w:tr>
        <w:tc>
          <w:tcPr>
            <w:tcW w:type="dxa" w:w="8784"/>
            <w:shd w:val="clear" w:color="auto" w:fill="1A1A1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100"/>
              <w:jc w:val="center"/>
            </w:pPr>
            <w:r>
              <w:rPr>
                <w:rFonts w:ascii="Calibri" w:hAnsi="Calibri"/>
                <w:b/>
                <w:color w:val="FFFFFF"/>
                <w:sz w:val="16"/>
              </w:rPr>
              <w:t>CONFIDENTIAL — VENDOR MANAGEMENT SUBMISSION — NOT FOR GENERAL DISTRIBUTION</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