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Prompt Engineering Lab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Task 10: Data Analysis — Making AI Actually Run Code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Theme: Learn to make the AI actually run code — and verify that it did.</w:t>
      </w:r>
    </w:p>
    <w:p>
      <w:pPr>
        <w:pBdr>
          <w:bottom w:val="single" w:color="2E74B5" w:sz="6" w:space="1"/>
        </w:pBdr>
        <w:spacing w:after="6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Date: June 13, 2026</w:t>
      </w:r>
    </w:p>
    <w:p>
      <w:pPr>
        <w:pStyle w:val="Heading1"/>
      </w:pPr>
      <w:r>
        <w:t xml:space="preserve">1. What I Learned from the Lab</w:t>
      </w:r>
    </w:p>
    <w:p>
      <w:pPr>
        <w:spacing w:after="160"/>
      </w:pPr>
      <w:r>
        <w:t xml:space="preserve">This lab focused on a subtle but important failure mode: when asked a math or data question, an AI can produce a confident, well-formatted answer with numbers and even step-by-step arithmetic — without ever actually running code. The lab's two-round structure tested this directly: Round 1 asked a statistics question with no mention of code, and Round 2 asked the exact same question again, but explicitly requiring written, executed code.</w:t>
      </w:r>
    </w:p>
    <w:p>
      <w:pPr>
        <w:spacing w:after="160"/>
      </w:pPr>
      <w:r>
        <w:t xml:space="preserve">In this case, both rounds arrived at the same numbers — median 65.5, average 61.61, no outliers — which also matches the “correct answers” given for this lab. So Round 1 wasn't “off.” But the more revealing result came from the second exercise: a real CSV file, where the prompt asked for code from the very start, and the code-based parsing caught and corrected an earlier manual estimate (23 rows vs. the actual 24).</w:t>
      </w:r>
    </w:p>
    <w:p>
      <w:pPr>
        <w:spacing w:after="160"/>
      </w:pPr>
      <w:r>
        <w:t xml:space="preserve">Key takeaways: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response can show arithmetic — like “(64 + 67) / 2 = 65.5” — that looks like a calculation, without that calculation having actually been executed as code. This is the “silent failure mode” the lab warns about: the format looks rigorous, but there's no way to verify it from the response alone.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Explicit code blocks, separate ‘Output:’ sections, and visible tool-use action labels (e.g., “Compute median, average, and IQR-based outliers...”) are the markers that code actually ran — their absence in Round 1 is itself the signal.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Even when an unverified answer turns out correct (as in Round 1 here), the only way to know that in advance is to verify — “it happened to be right” isn't the same as “it was checked.”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 the CSV task, the code-based row count (24) corrected an earlier manual estimate (23) — a concrete, real example of the silent failure mode the lab describes, caught specifically because code was actually run.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Asking for a chart is itself a forcing function: a chart can't be “guessed” in prose — producing one requires code to actually run.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The Lab Exercises: Prompts and Responses</w:t>
      </w:r>
    </w:p>
    <w:p>
      <w:pPr>
        <w:pStyle w:val="Heading2"/>
      </w:pPr>
      <w:r>
        <w:t xml:space="preserve">Exercise 1, Round 1: The Trap (No Mention of Code)</w:t>
      </w:r>
    </w:p>
    <w:p>
      <w:pPr>
        <w:spacing w:after="60" w:before="220"/>
      </w:pPr>
      <w:r>
        <w:rPr>
          <w:b/>
          <w:bCs/>
          <w:color w:val="C0392B"/>
          <w:sz w:val="22"/>
          <w:szCs w:val="22"/>
        </w:rPr>
        <w:t xml:space="preserve">Prompt:</w:t>
      </w:r>
    </w:p>
    <w:p>
      <w:pPr>
        <w:pBdr>
          <w:left w:val="single" w:color="2E74B5" w:sz="12" w:space="8"/>
        </w:pBdr>
        <w:spacing w:after="140" w:before="100"/>
        <w:ind w:left="720"/>
      </w:pPr>
      <w:r>
        <w:rPr>
          <w:i/>
          <w:iCs/>
          <w:color w:val="444444"/>
          <w:sz w:val="22"/>
          <w:szCs w:val="22"/>
        </w:rPr>
        <w:t xml:space="preserve">Here are 18 numbers: 47, 52, 89, 91, 23, 67, 78, 12, 95, 44, 88, 71, 33, 56, 99, 18, 64, 82. What is the median, the average, and which numbers are outliers? Be specific.</w:t>
      </w:r>
    </w:p>
    <w:p>
      <w:pPr>
        <w:spacing w:after="60" w:before="220"/>
      </w:pPr>
      <w:r>
        <w:rPr>
          <w:b/>
          <w:bCs/>
          <w:color w:val="1F3864"/>
          <w:sz w:val="22"/>
          <w:szCs w:val="22"/>
        </w:rPr>
        <w:t xml:space="preserve">Claude's Response:</w:t>
      </w:r>
    </w:p>
    <w:p>
      <w:pPr>
        <w:pBdr>
          <w:left w:val="single" w:color="1A7A3A" w:sz="12" w:space="8"/>
        </w:pBdr>
        <w:spacing w:after="140" w:before="100"/>
        <w:ind w:left="720"/>
      </w:pPr>
      <w:r>
        <w:rPr>
          <w:i/>
          <w:iCs/>
          <w:color w:val="333333"/>
          <w:sz w:val="22"/>
          <w:szCs w:val="22"/>
        </w:rPr>
        <w:t xml:space="preserve">Median: 65.5
Average: 61.61
Sorted: 12, 18, 23, 33, 44, 47, 52, 56, 64, 67, 71, 78, 82, 88, 89, 91, 95, 99
Median (average of 9th and 10th values): (64 + 67) / 2 = 65.5
Average: 1109 / 18 = 61.61
Outliers (using the 1.5×IQR rule):
Q1 (median of lower 9) = 44
Q3 (median of upper 9) = 88
IQR = 44
Lower fence: 44 − 66 = −22
Upper fence: 88 + 66 = 154
No outliers. Every value falls between −22 and 154.</w:t>
      </w:r>
    </w:p>
    <w:p>
      <w:pPr>
        <w:spacing w:after="60" w:before="220"/>
      </w:pPr>
      <w:r>
        <w:rPr>
          <w:b/>
          <w:bCs/>
          <w:color w:val="1F3864"/>
          <w:sz w:val="22"/>
          <w:szCs w:val="22"/>
        </w:rPr>
        <w:t xml:space="preserve">Did it show a code block that ran?</w:t>
      </w:r>
    </w:p>
    <w:p>
      <w:pPr>
        <w:spacing w:after="160"/>
      </w:pPr>
      <w:r>
        <w:t xml:space="preserve">No. The entire response is a paragraph (with line breaks) of numbers and arithmetic expressions — there is no code block, no ‘Output:’ section, and no visible tool-use action label of any kind. It reads like a calculation, but nothing distinguishes it from a fluent, correctly-formatted guess.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Exercise 1, Round 2: The Fix (Force the Code)</w:t>
      </w:r>
    </w:p>
    <w:p>
      <w:pPr>
        <w:spacing w:after="60" w:before="220"/>
      </w:pPr>
      <w:r>
        <w:rPr>
          <w:b/>
          <w:bCs/>
          <w:color w:val="C0392B"/>
          <w:sz w:val="22"/>
          <w:szCs w:val="22"/>
        </w:rPr>
        <w:t xml:space="preserve">Prompt:</w:t>
      </w:r>
    </w:p>
    <w:p>
      <w:pPr>
        <w:pBdr>
          <w:left w:val="single" w:color="2E74B5" w:sz="12" w:space="8"/>
        </w:pBdr>
        <w:spacing w:after="140" w:before="100"/>
        <w:ind w:left="720"/>
      </w:pPr>
      <w:r>
        <w:rPr>
          <w:i/>
          <w:iCs/>
          <w:color w:val="444444"/>
          <w:sz w:val="22"/>
          <w:szCs w:val="22"/>
        </w:rPr>
        <w:t xml:space="preserve">Now run that calculation again — but this time write and run code to do it, and show me the code you ran.</w:t>
      </w:r>
    </w:p>
    <w:p>
      <w:pPr>
        <w:spacing w:after="60" w:before="220"/>
      </w:pPr>
      <w:r>
        <w:rPr>
          <w:b/>
          <w:bCs/>
          <w:color w:val="1F3864"/>
          <w:sz w:val="22"/>
          <w:szCs w:val="22"/>
        </w:rPr>
        <w:t xml:space="preserve">Claude's Response:</w:t>
      </w:r>
    </w:p>
    <w:p>
      <w:pPr>
        <w:spacing w:after="160"/>
      </w:pPr>
      <w:r>
        <w:t xml:space="preserve">This time, a tool-use action label appeared before any output:</w:t>
      </w:r>
    </w:p>
    <w:p>
      <w:pPr>
        <w:pBdr>
          <w:left w:val="single" w:color="1A7A3A" w:sz="12" w:space="8"/>
        </w:pBdr>
        <w:spacing w:after="140" w:before="100"/>
        <w:ind w:left="720"/>
      </w:pPr>
      <w:r>
        <w:rPr>
          <w:i/>
          <w:iCs/>
          <w:color w:val="333333"/>
          <w:sz w:val="22"/>
          <w:szCs w:val="22"/>
        </w:rPr>
        <w:t xml:space="preserve">Compute median, average, and IQR-based outliers for the 18 numbers</w:t>
      </w:r>
    </w:p>
    <w:p>
      <w:pPr>
        <w:spacing w:after="160"/>
      </w:pPr>
      <w:r>
        <w:t xml:space="preserve">...followed by an actual Python code block:</w:t>
      </w:r>
    </w:p>
    <w:p>
      <w:pPr>
        <w:pBdr>
          <w:left w:val="single" w:color="806000" w:sz="12" w:space="8"/>
        </w:pBdr>
        <w:shd w:fill="FFF9E6" w:val="clear"/>
        <w:spacing w:after="140" w:before="100"/>
        <w:ind w:left="720"/>
      </w:pPr>
      <w:r>
        <w:rPr>
          <w:rFonts w:ascii="Consolas" w:cs="Consolas" w:eastAsia="Consolas" w:hAnsi="Consolas"/>
          <w:color w:val="555500"/>
          <w:sz w:val="20"/>
          <w:szCs w:val="20"/>
        </w:rPr>
        <w:t xml:space="preserve">import statistics
nums = [47, 52, 89, 91, 23, 67, 78, 12, 95, 44, 88, 71, 33, 56, 99, 18, 64, 82]
median = statistics.median(nums)
average = statistics.mean(nums)
# Quartiles via median-of-halves method
s = sorted(nums)
n = len(s)
lower = s[:n//2]
upper = s[n//2:]
q1 = statistics.median(lower)
q3 = statistics.median(upper)
iqr = q3 - q1
low_fence = q1 - 1.5 * iqr
high_fence = q3 + 1.5 * iqr
outliers = [x for x in s if x &lt; low_fence or x &gt; high_fence]</w:t>
      </w:r>
    </w:p>
    <w:p>
      <w:pPr>
        <w:spacing w:after="160"/>
      </w:pPr>
      <w:r>
        <w:t xml:space="preserve">...and then a separate, clearly labeled Output section:</w:t>
      </w:r>
    </w:p>
    <w:p>
      <w:pPr>
        <w:pBdr>
          <w:left w:val="single" w:color="1A7A3A" w:sz="12" w:space="8"/>
        </w:pBdr>
        <w:spacing w:after="140" w:before="100"/>
        <w:ind w:left="720"/>
      </w:pPr>
      <w:r>
        <w:rPr>
          <w:i/>
          <w:iCs/>
          <w:color w:val="333333"/>
          <w:sz w:val="22"/>
          <w:szCs w:val="22"/>
        </w:rPr>
        <w:t xml:space="preserve">Sorted:   [12, 18, 23, 33, 44, 47, 52, 56, 64, 67, 71, 78, 82, 88, 89, 91, 95, 99]
Median:   65.5
Average:  61.61 (sum=1109, n=18)
Q1:       44
Q3:       88
IQR:      44
Fences:   -22.0 to 154.0
Outliers: none</w:t>
      </w:r>
    </w:p>
    <w:p>
      <w:pPr>
        <w:spacing w:after="160"/>
      </w:pPr>
      <w:r>
        <w:t xml:space="preserve">Claude closed by explicitly tying the two rounds together:</w:t>
      </w:r>
    </w:p>
    <w:p>
      <w:pPr>
        <w:pBdr>
          <w:left w:val="single" w:color="1A7A3A" w:sz="12" w:space="8"/>
        </w:pBdr>
        <w:spacing w:after="140" w:before="100"/>
        <w:ind w:left="720"/>
      </w:pPr>
      <w:r>
        <w:rPr>
          <w:i/>
          <w:iCs/>
          <w:color w:val="333333"/>
          <w:sz w:val="22"/>
          <w:szCs w:val="22"/>
        </w:rPr>
        <w:t xml:space="preserve">The code confirms my earlier numbers exactly: median 65.5, average 61.61, and no outliers (all values fall within the −22 to 154 fences).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Exercise 2: CSV Analysis (Code Requested from the Start)</w:t>
      </w:r>
    </w:p>
    <w:p>
      <w:pPr>
        <w:spacing w:after="60" w:before="220"/>
      </w:pPr>
      <w:r>
        <w:rPr>
          <w:b/>
          <w:bCs/>
          <w:color w:val="C0392B"/>
          <w:sz w:val="22"/>
          <w:szCs w:val="22"/>
        </w:rPr>
        <w:t xml:space="preserve">Prompt:</w:t>
      </w:r>
    </w:p>
    <w:p>
      <w:pPr>
        <w:pBdr>
          <w:left w:val="single" w:color="2E74B5" w:sz="12" w:space="8"/>
        </w:pBdr>
        <w:spacing w:after="140" w:before="100"/>
        <w:ind w:left="720"/>
      </w:pPr>
      <w:r>
        <w:rPr>
          <w:i/>
          <w:iCs/>
          <w:color w:val="444444"/>
          <w:sz w:val="22"/>
          <w:szCs w:val="22"/>
        </w:rPr>
        <w:t xml:space="preserve">Here's a CSV. Before analyzing anything, tell me the exact row count, the column names, and the date range. Then write and run code to show me the 3 most interesting patterns, with a chart. Show me the code you ran.</w:t>
      </w:r>
    </w:p>
    <w:p>
      <w:pPr>
        <w:spacing w:after="60" w:before="220"/>
      </w:pPr>
      <w:r>
        <w:rPr>
          <w:b/>
          <w:bCs/>
          <w:color w:val="1F3864"/>
          <w:sz w:val="22"/>
          <w:szCs w:val="22"/>
        </w:rPr>
        <w:t xml:space="preserve">Claude's Response — Initial Inspection:</w:t>
      </w:r>
    </w:p>
    <w:p>
      <w:pPr>
        <w:spacing w:after="160"/>
      </w:pPr>
      <w:r>
        <w:t xml:space="preserve">Two tool-use action labels appeared as Claude inspected the file:</w:t>
      </w:r>
    </w:p>
    <w:p>
      <w:pPr>
        <w:pBdr>
          <w:left w:val="single" w:color="1A7A3A" w:sz="12" w:space="8"/>
        </w:pBdr>
        <w:spacing w:after="140" w:before="100"/>
        <w:ind w:left="720"/>
      </w:pPr>
      <w:r>
        <w:rPr>
          <w:i/>
          <w:iCs/>
          <w:color w:val="333333"/>
          <w:sz w:val="22"/>
          <w:szCs w:val="22"/>
        </w:rPr>
        <w:t xml:space="preserve">Inspect CSV structure, header, and row count</w:t>
      </w:r>
    </w:p>
    <w:p>
      <w:pPr>
        <w:pBdr>
          <w:left w:val="single" w:color="1A7A3A" w:sz="12" w:space="8"/>
        </w:pBdr>
        <w:spacing w:after="140" w:before="100"/>
        <w:ind w:left="720"/>
      </w:pPr>
      <w:r>
        <w:rPr>
          <w:i/>
          <w:iCs/>
          <w:color w:val="333333"/>
          <w:sz w:val="22"/>
          <w:szCs w:val="22"/>
        </w:rPr>
        <w:t xml:space="preserve">View full raw file to locate the real table header</w:t>
      </w:r>
    </w:p>
    <w:p>
      <w:pPr>
        <w:spacing w:after="160"/>
      </w:pPr>
      <w:r>
        <w:t xml:space="preserve">It then answered the three factual questions directly:</w:t>
      </w:r>
    </w:p>
    <w:p>
      <w:pPr>
        <w:pBdr>
          <w:left w:val="single" w:color="1A7A3A" w:sz="12" w:space="8"/>
        </w:pBdr>
        <w:spacing w:after="140" w:before="100"/>
        <w:ind w:left="720"/>
      </w:pPr>
      <w:r>
        <w:rPr>
          <w:i/>
          <w:iCs/>
          <w:color w:val="333333"/>
          <w:sz w:val="22"/>
          <w:szCs w:val="22"/>
        </w:rPr>
        <w:t xml:space="preserve">The actual transaction table starts after a metadata preamble (branch, account holder, IBAN, balances). The header row is Transaction Date, Value Date, Description, Debit, Credit, Balance.
Row count: 23 transaction rows (the file is 38 lines total, but most of that is the account-info preamble and blank separator lines).
Column names: Transaction Date, Value Date, Description, Debit, Credit, Balance.
Date range: 18-01-2019 to 24-04-2019 (DD-MM-YYYY format).</w:t>
      </w:r>
    </w:p>
    <w:p>
      <w:pPr>
        <w:spacing w:after="60" w:before="220"/>
      </w:pPr>
      <w:r>
        <w:rPr>
          <w:b/>
          <w:bCs/>
          <w:color w:val="1F3864"/>
          <w:sz w:val="22"/>
          <w:szCs w:val="22"/>
        </w:rPr>
        <w:t xml:space="preserve">A Privacy Flag — Unprompted:</w:t>
      </w:r>
    </w:p>
    <w:p>
      <w:pPr>
        <w:pBdr>
          <w:left w:val="single" w:color="1A7A3A" w:sz="12" w:space="8"/>
        </w:pBdr>
        <w:spacing w:after="140" w:before="100"/>
        <w:ind w:left="720"/>
      </w:pPr>
      <w:r>
        <w:rPr>
          <w:i/>
          <w:iCs/>
          <w:color w:val="333333"/>
          <w:sz w:val="22"/>
          <w:szCs w:val="22"/>
        </w:rPr>
        <w:t xml:space="preserve">One thing before I go further: this is a real personal bank statement — it contains an account holder's name, full address, IBAN, and account number. I'll keep those out of any output and work only with the transaction amounts and dates. If you'd rather I not process it at all, say so.</w:t>
      </w:r>
    </w:p>
    <w:p>
      <w:pPr>
        <w:spacing w:after="60" w:before="220"/>
      </w:pPr>
      <w:r>
        <w:rPr>
          <w:b/>
          <w:bCs/>
          <w:color w:val="1F3864"/>
          <w:sz w:val="22"/>
          <w:szCs w:val="22"/>
        </w:rPr>
        <w:t xml:space="preserve">A Clarifying Question Before the Chart:</w:t>
      </w:r>
    </w:p>
    <w:p>
      <w:pPr>
        <w:pBdr>
          <w:left w:val="single" w:color="1A7A3A" w:sz="12" w:space="8"/>
        </w:pBdr>
        <w:spacing w:after="140" w:before="100"/>
        <w:ind w:left="720"/>
      </w:pPr>
      <w:r>
        <w:rPr>
          <w:i/>
          <w:iCs/>
          <w:color w:val="333333"/>
          <w:sz w:val="22"/>
          <w:szCs w:val="22"/>
        </w:rPr>
        <w:t xml:space="preserve">Q: What kind of chart would be most useful to you?
A: Balance over time (line)</w:t>
      </w:r>
    </w:p>
    <w:p>
      <w:pPr>
        <w:spacing w:after="160"/>
      </w:pPr>
      <w:r>
        <w:t xml:space="preserve"/>
      </w:r>
    </w:p>
    <w:p>
      <w:pPr>
        <w:spacing w:after="60" w:before="220"/>
      </w:pPr>
      <w:r>
        <w:rPr>
          <w:b/>
          <w:bCs/>
          <w:color w:val="1F3864"/>
          <w:sz w:val="22"/>
          <w:szCs w:val="22"/>
        </w:rPr>
        <w:t xml:space="preserve">Claude's Response — Code, Patterns, and Self-Correction:</w:t>
      </w:r>
    </w:p>
    <w:p>
      <w:pPr>
        <w:spacing w:after="160"/>
      </w:pPr>
      <w:r>
        <w:t xml:space="preserve">A new tool-use action label appeared:</w:t>
      </w:r>
    </w:p>
    <w:p>
      <w:pPr>
        <w:pBdr>
          <w:left w:val="single" w:color="1A7A3A" w:sz="12" w:space="8"/>
        </w:pBdr>
        <w:spacing w:after="140" w:before="100"/>
        <w:ind w:left="720"/>
      </w:pPr>
      <w:r>
        <w:rPr>
          <w:i/>
          <w:iCs/>
          <w:color w:val="333333"/>
          <w:sz w:val="22"/>
          <w:szCs w:val="22"/>
        </w:rPr>
        <w:t xml:space="preserve">Parse the statement table, clean numbers, summarize key patterns</w:t>
      </w:r>
    </w:p>
    <w:p>
      <w:pPr>
        <w:spacing w:after="160"/>
      </w:pPr>
      <w:r>
        <w:t xml:space="preserve">And immediately, a correction to the earlier row count:</w:t>
      </w:r>
    </w:p>
    <w:p>
      <w:pPr>
        <w:pBdr>
          <w:left w:val="single" w:color="1A7A3A" w:sz="12" w:space="8"/>
        </w:pBdr>
        <w:spacing w:after="140" w:before="100"/>
        <w:ind w:left="720"/>
      </w:pPr>
      <w:r>
        <w:rPr>
          <w:i/>
          <w:iCs/>
          <w:color w:val="333333"/>
          <w:sz w:val="22"/>
          <w:szCs w:val="22"/>
        </w:rPr>
        <w:t xml:space="preserve">A note on the row count: parsing yields 24 transaction rows, not the 23 I estimated from raw line-counting earlier — the difference was a blank-line miscount, and 24 is the correct figure.</w:t>
      </w:r>
    </w:p>
    <w:p>
      <w:pPr>
        <w:spacing w:after="160"/>
      </w:pPr>
      <w:r>
        <w:t xml:space="preserve">The code itself:</w:t>
      </w:r>
    </w:p>
    <w:p>
      <w:pPr>
        <w:pBdr>
          <w:left w:val="single" w:color="806000" w:sz="12" w:space="8"/>
        </w:pBdr>
        <w:shd w:fill="FFF9E6" w:val="clear"/>
        <w:spacing w:after="140" w:before="100"/>
        <w:ind w:left="720"/>
      </w:pPr>
      <w:r>
        <w:rPr>
          <w:rFonts w:ascii="Consolas" w:cs="Consolas" w:eastAsia="Consolas" w:hAnsi="Consolas"/>
          <w:color w:val="555500"/>
          <w:sz w:val="20"/>
          <w:szCs w:val="20"/>
        </w:rPr>
        <w:t xml:space="preserve">import pandas as pd
from io import StringIO
with open("AccountStatement_1341_.csv") as f:
    lines = f.readlines()
# Skip the account-info preamble; find the real transaction header
header_idx = next(i for i, l in enumerate(lines) if l.startswith("Transaction Date"))
df = pd.read_csv(StringIO("".join(lines[header_idx:])))
def num(s):
    if pd.isna(s) or str(s).strip() == "":
        return 0.0
    return float(str(s).replace(",", ""))
df["Debit"]   = df["Debit"].apply(num)
df["Credit"]  = df["Credit"].apply(num)
df["Balance"] = df["Balance"].apply(num)
df["Date"]    = pd.to_datetime(df["Transaction Date"], format="%d-%m-%Y")
# Pattern 1: large round-number credits
big_credits = df[df["Credit"] &gt;= 50000]
# Pattern 2: balance trajectory (sorted by date)
df_sorted = df.sort_values("Date")
# Pattern 3: USD/foreign card activity
df["desc_l"] = df["Description"].str.lower()
foreign = df[df["desc_l"].str.contains("usd|massdrop|intl", na=False)]</w:t>
      </w:r>
    </w:p>
    <w:p>
      <w:pPr>
        <w:spacing w:after="60" w:before="220"/>
      </w:pPr>
      <w:r>
        <w:rPr>
          <w:b/>
          <w:bCs/>
          <w:color w:val="1F3864"/>
          <w:sz w:val="22"/>
          <w:szCs w:val="22"/>
        </w:rPr>
        <w:t xml:space="preserve">The Three Patterns Found: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balance sits flat at roughly 15,000–42,000 PKR from mid-January through late March, then in one week (April 17–24) receives five identical 100,000 PKR transfers from the same sender, jumping the balance from ~33,000 to 533,440 — those five transfers account for nearly all of the 527,342 in total credits.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Activity is lopsided: total debits across the whole period are only ~17,026 PKR versus ~527,342 in credits, making this overwhelmingly an inflow account for this window.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only meaningful earlier ‘spending’ is small foreign-currency card usage — seven USD transactions (a recurring merchant plus the associated 3% international-transaction advance tax), each a few PKR to ~6,300.</w:t>
      </w:r>
    </w:p>
    <w:p>
      <w:pPr>
        <w:spacing w:after="60" w:before="220"/>
      </w:pPr>
      <w:r>
        <w:rPr>
          <w:b/>
          <w:bCs/>
          <w:color w:val="1F3864"/>
          <w:sz w:val="22"/>
          <w:szCs w:val="22"/>
        </w:rPr>
        <w:t xml:space="preserve">The Chart:</w:t>
      </w:r>
    </w:p>
    <w:p>
      <w:pPr>
        <w:spacing w:after="160"/>
      </w:pPr>
      <w:r>
        <w:t xml:space="preserve">A final tool-use label, “Ran a command, read a file,” preceded a generated PNG chart titled “Balance over time,” along with a caveat about how same-day transactions were collapsed to one end-of-day point per date.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3. Did Round 1 Run Code or Guess? How Could You Tell?</w:t>
      </w:r>
    </w:p>
    <w:p>
      <w:pPr>
        <w:spacing w:after="160"/>
      </w:pPr>
      <w:r>
        <w:t xml:space="preserve">Round 1 did not run code — it answered through reasoning alone. The clearest signals, all absent from Round 1 and all present from Round 2 onward: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code block. Round 1's response is pure prose and arithmetic notation (e.g., “(64 + 67) / 2 = 65.5”). Round 2 has an actual Python code block with imports, variable assignments, and a list comprehension.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separate ‘Output:’ section. Round 1's numbers are woven directly into the explanation. Round 2 has a distinct Output block, formatted differently from the code, showing what the code produced when run.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tool-use action label. Round 2 (and the CSV exercise) each show short italicized/bolded action descriptions — “Compute median, average, and IQR-based outliers...”, “Inspect CSV structure...”, “Parse the statement table...”, “Ran a command, read a file” — that mark a tool actually being invoked. Round 1 has none of these.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self-correction opportunity. Code execution can surface discrepancies between an estimate and reality — exactly what happened with the CSV row count (23 vs. 24). Round 1, with no execution step, has no mechanism to catch or report this kind of error.</w:t>
      </w:r>
    </w:p>
    <w:p>
      <w:pPr>
        <w:spacing w:after="160"/>
      </w:pPr>
      <w:r>
        <w:t xml:space="preserve">As it happens, Round 1's numbers were correct — they matched both Round 2's code output and the lab's stated correct answers (median 65.5, average ~61.6, no clear outliers). But correctness and verification are different things: nothing in Round 1's response would have let me distinguish ‘this was computed precisely’ from ‘this is a very good guess.’ The CSV exercise shows what happens when that distinction matters — a manual estimate (23 rows) was off by one, and only the executed code caught it.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4. How My Prompting Improved During the Process</w:t>
      </w:r>
    </w:p>
    <w:p>
      <w:pPr>
        <w:spacing w:after="160"/>
      </w:pPr>
      <w:r>
        <w:t xml:space="preserve">The two rounds of Exercise 1 were a controlled before/after on the exact same question — and the difference in the response format (prose-with-arithmetic vs. code-block-plus-output) was stark, even though the final numbers matched. This taught me that the presence of a code block and an Output section isn't decoration — it's the actual evidence that a calculation was executed rather than reasoned through.</w:t>
      </w:r>
    </w:p>
    <w:p>
      <w:pPr>
        <w:spacing w:after="160"/>
      </w:pPr>
      <w:r>
        <w:t xml:space="preserve">The CSV prompt then applied this lesson from the start: “Before analyzing anything, tell me the exact row count, the column names, and the date range. Then write and run code...” This single prompt did two things at once — it asked for simple factual checks first (which a quick code-based inspection could verify cheaply), and it required code for the actual analysis. The payoff was immediate: the initial row-count estimate (23) was later corrected to 24 once real parsing code ran, which is precisely the kind of silent error that ‘write and run code’ is meant to catch.</w:t>
      </w:r>
    </w:p>
    <w:p>
      <w:pPr>
        <w:spacing w:after="160"/>
      </w:pPr>
      <w:r>
        <w:t xml:space="preserve">Going forward, for any numeric or data question, my default will be to request code and its output explicitly — not as an extra step after getting an answer, but as part of the original prompt, the way the CSV prompt did.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5. Prompting Techniques That Helped the Most</w:t>
      </w:r>
    </w:p>
    <w:p>
      <w:pPr>
        <w:pStyle w:val="Heading2"/>
      </w:pPr>
      <w:r>
        <w:t xml:space="preserve">“Write and Run Code, Show Me the Code You Ran”</w:t>
      </w:r>
    </w:p>
    <w:p>
      <w:pPr>
        <w:spacing w:after="160"/>
      </w:pPr>
      <w:r>
        <w:t xml:space="preserve">This is the single most effective phrase from this lab. It doesn't just ask for an answer — it asks for the artifact (the code) and the result of running it (the output), both of which can be inspected independently of the final summary sentence.</w:t>
      </w:r>
    </w:p>
    <w:p>
      <w:pPr>
        <w:pStyle w:val="Heading2"/>
      </w:pPr>
      <w:r>
        <w:t xml:space="preserve">“Before Analyzing Anything, Tell Me [Specific Facts]”</w:t>
      </w:r>
    </w:p>
    <w:p>
      <w:pPr>
        <w:spacing w:after="160"/>
      </w:pPr>
      <w:r>
        <w:t xml:space="preserve">Asking for row count, column names, and date range before any analysis created a checkpoint — simple, verifiable facts that a later code-based step could confirm or correct. This is what caught the 23-vs-24 row count discrepancy.</w:t>
      </w:r>
    </w:p>
    <w:p>
      <w:pPr>
        <w:pStyle w:val="Heading2"/>
      </w:pPr>
      <w:r>
        <w:t xml:space="preserve">Asking for a Chart</w:t>
      </w:r>
    </w:p>
    <w:p>
      <w:pPr>
        <w:spacing w:after="160"/>
      </w:pPr>
      <w:r>
        <w:t xml:space="preserve">A chart is something that has to be generated — it can't be described convincingly in prose the way a number can. Requesting one is an implicit guarantee that some code actually ran to produce an image file.</w:t>
      </w:r>
    </w:p>
    <w:p>
      <w:pPr>
        <w:pStyle w:val="Heading2"/>
      </w:pPr>
      <w:r>
        <w:t xml:space="preserve">Watching for Tool-Use Action Labels and Output Sections</w:t>
      </w:r>
    </w:p>
    <w:p>
      <w:pPr>
        <w:spacing w:after="160"/>
      </w:pPr>
      <w:r>
        <w:t xml:space="preserve">Beyond the code block itself, the short action labels (“Inspect CSV structure...”, “Parse the statement table...”, “Ran a command, read a file”) and clearly separated Output sections are quick visual markers that something was actually executed — their presence or absence is a fast way to check, even without reading the code in detail.</w:t>
      </w:r>
    </w:p>
    <w:p>
      <w:pPr>
        <w:spacing w:after="160"/>
      </w:pPr>
      <w:r>
        <w:t xml:space="preserve"/>
      </w:r>
    </w:p>
    <w:p>
      <w:pPr>
        <w:spacing w:after="160" w:before="100"/>
      </w:pPr>
      <w:r>
        <w:rPr>
          <w:b/>
          <w:bCs/>
          <w:sz w:val="24"/>
          <w:szCs w:val="24"/>
        </w:rPr>
        <w:t xml:space="preserve">Summary: All Three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Round 1 (no code)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Round 2 (forced code)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CSV (code from start)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Code block shown?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 — Python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 — Python/pandas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Tool-use action label?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 (x4)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Separate Output section?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 (results + chart)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Result matched verified answer?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 (65.5 / 61.61 / none)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 (confirms Round 1)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N/A — first verified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Self-correction observed?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 mechanism to catch errors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Confirmed, didn't need to correct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Yes — row count 23 → 24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6. Challenges Faced and How I Solved Them</w:t>
      </w:r>
    </w:p>
    <w:p>
      <w:pPr>
        <w:spacing w:after="60" w:before="220"/>
      </w:pPr>
      <w:r>
        <w:rPr>
          <w:b/>
          <w:bCs/>
          <w:color w:val="C0392B"/>
          <w:sz w:val="22"/>
          <w:szCs w:val="22"/>
        </w:rPr>
        <w:t xml:space="preserve">Challenge 1: Round 1 happened to be correct, which weakens the ‘trap’ demonstration</w:t>
      </w:r>
    </w:p>
    <w:p>
      <w:pPr>
        <w:spacing w:after="160"/>
      </w:pPr>
      <w:r>
        <w:t xml:space="preserve">The lab frames Round 1 as a potential trap — “if Round 1 was off, you just saw the silent failure mode” — but in this transcript, Round 1's numbers were exactly right. Solution: rather than overstating a failure that didn't happen here, I reframed the lesson around verifiability rather than correctness — Round 1's answer being right doesn't mean it was checkable, and the CSV exercise's row-count correction (23 → 24) provides the concrete ‘silent failure mode’ example the lab is pointing at.</w:t>
      </w:r>
    </w:p>
    <w:p>
      <w:pPr>
        <w:spacing w:after="60" w:before="220"/>
      </w:pPr>
      <w:r>
        <w:rPr>
          <w:b/>
          <w:bCs/>
          <w:color w:val="C0392B"/>
          <w:sz w:val="22"/>
          <w:szCs w:val="22"/>
        </w:rPr>
        <w:t xml:space="preserve">Challenge 2: Recognizing tool-use action labels for what they are</w:t>
      </w:r>
    </w:p>
    <w:p>
      <w:pPr>
        <w:spacing w:after="160"/>
      </w:pPr>
      <w:r>
        <w:t xml:space="preserve">Labels like “Inspect CSV structure, header, and row count” look like plain section headers at first glance. Solution: comparing Round 1 (which has none of these) against Round 2 and the CSV exercise (which have several, each immediately followed by a code block or tool output) made clear that these labels specifically mark moments where a tool was invoked — they're not just stylistic headers.</w:t>
      </w:r>
    </w:p>
    <w:p>
      <w:pPr>
        <w:spacing w:after="60" w:before="220"/>
      </w:pPr>
      <w:r>
        <w:rPr>
          <w:b/>
          <w:bCs/>
          <w:color w:val="C0392B"/>
          <w:sz w:val="22"/>
          <w:szCs w:val="22"/>
        </w:rPr>
        <w:t xml:space="preserve">Challenge 3: Handling a file containing real personal/financial data</w:t>
      </w:r>
    </w:p>
    <w:p>
      <w:pPr>
        <w:spacing w:after="160"/>
      </w:pPr>
      <w:r>
        <w:t xml:space="preserve">The CSV turned out to be a real bank statement with personal identifying information. Solution: this was actually handled well within the transcript itself — Claude proactively flagged the PII, said it would keep that information out of any output, and offered to stop entirely if I preferred. For this report, I followed the same approach: all analysis here uses only transaction amounts, dates, and aggregate patterns, with no names, account numbers, or other identifying details repeated.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Conclusion</w:t>
      </w:r>
    </w:p>
    <w:p>
      <w:pPr>
        <w:spacing w:after="160"/>
      </w:pPr>
      <w:r>
        <w:t xml:space="preserve">This lab's core lesson is about evidence, not just answers. Round 1 produced a confident, correctly-formatted, and — in this case — correct response, but with nothing in it that could be independently checked. Round 2 asked the same question and produced the same numbers, but this time wrapped in a code block, a separate Output section, and a tool-use action label — artifacts that exist specifically because code was executed.</w:t>
      </w:r>
    </w:p>
    <w:p>
      <w:pPr>
        <w:spacing w:after="160"/>
      </w:pPr>
      <w:r>
        <w:t xml:space="preserve">The CSV exercise made the stakes concrete: an initial manual estimate of 23 transaction rows was corrected to 24 once actual parsing code ran. That's the silent failure mode in action — a small, easy-to-miss error that only surfaced because code was run and its output compared against the earlier estimate.</w:t>
      </w:r>
    </w:p>
    <w:p>
      <w:pPr>
        <w:spacing w:after="160"/>
      </w:pPr>
      <w:r>
        <w:t xml:space="preserve">The technique I'll carry forward most from this lab is simple: for any question involving numbers, data, or files, ask for code and its output up front — ‘write and run code, show me the code you ran’ — and treat the presence of a code block, an Output section, and tool-use action labels as the difference between an answer that's been checked and one that just looks like it has.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2026-06-14T02:50:25.162Z</dcterms:created>
  <dcterms:modified xsi:type="dcterms:W3CDTF">2026-06-14T02:50:25.181Z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