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5: “Think Hard” and Structured Output</w:t>
      </w:r>
    </w:p>
    <w:p>
      <w:pPr>
        <w:spacing w:after="240" w:before="0"/>
        <w:jc w:val="center"/>
      </w:pPr>
      <w:r>
        <w:rPr>
          <w:rFonts w:ascii="Arial" w:cs="Arial" w:eastAsia="Arial" w:hAnsi="Arial"/>
          <w:i/>
          <w:iCs/>
          <w:color w:val="595959"/>
          <w:sz w:val="22"/>
          <w:szCs w:val="22"/>
        </w:rPr>
        <w:t xml:space="preserve">Theme: Adding “think harder” generates a deeper response. Invoke reasoning mode and ask for structured output, not a wall of prose.</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lab's theme had two parts: first, that explicitly telling Claude to “think hard” before answering produces a noticeably deeper response than a default one; and second, that combining this with a request for structured output (a numbered list of exactly what you want back) produces an organized, scannable answer instead of a wall of prose.</w:t>
      </w:r>
    </w:p>
    <w:p>
      <w:pPr>
        <w:spacing w:after="160"/>
      </w:pPr>
      <w:r>
        <w:t xml:space="preserve">The lab's intended method was a quick contrast — ask a tricky question normally, then ask the same question again with “think hard” added, and compare the two. The two exercises I tested both already combined “think hard” with a structured, numbered request from the start, so the contrast shows up most clearly in how deep and organized the responses were, rather than in a side-by-side before/after on the same question.</w:t>
      </w:r>
    </w:p>
    <w:p>
      <w:pPr>
        <w:spacing w:after="160"/>
      </w:pPr>
      <w:r>
        <w:t xml:space="preserve">Both prompts tackled real decisions — how to spend a $200 home office budget, and how to choose between two job offers — the kind of question where a shallow answer (“get a good chair” or “pick the higher-paying one”) is easy to give but a genuinely useful answer requires weighing several factors against each other.</w:t>
      </w:r>
    </w:p>
    <w:p>
      <w:pPr>
        <w:spacing w:after="160"/>
      </w:pPr>
      <w:r>
        <w:t xml:space="preserve">Key takeaways:</w:t>
      </w:r>
    </w:p>
    <w:p>
      <w:pPr>
        <w:pStyle w:val="ListParagraph"/>
        <w:numPr>
          <w:ilvl w:val="0"/>
          <w:numId w:val="2"/>
        </w:numPr>
        <w:spacing w:after="100"/>
      </w:pPr>
      <w:r>
        <w:t xml:space="preserve">“Think hard before answering” produced responses with second-order reasoning — not just trade-offs, but trade-offs about the trade-offs (e.g., why a steep learning curve could itself work against the value of family time).</w:t>
      </w:r>
    </w:p>
    <w:p>
      <w:pPr>
        <w:pStyle w:val="ListParagraph"/>
        <w:numPr>
          <w:ilvl w:val="0"/>
          <w:numId w:val="2"/>
        </w:numPr>
        <w:spacing w:after="100"/>
      </w:pPr>
      <w:r>
        <w:t xml:space="preserve">Numbered requests ("1) ... 2) ... 3) ...") produced responses with matching headers for each part — no wall of prose, no need to dig through paragraphs to find the answer to part 3.</w:t>
      </w:r>
    </w:p>
    <w:p>
      <w:pPr>
        <w:pStyle w:val="ListParagraph"/>
        <w:numPr>
          <w:ilvl w:val="0"/>
          <w:numId w:val="2"/>
        </w:numPr>
        <w:spacing w:after="100"/>
      </w:pPr>
      <w:r>
        <w:t xml:space="preserve">“Think hard” responses included specific numbers and estimates (dollar splits, hours per week from a commute) rather than vague generalities.</w:t>
      </w:r>
    </w:p>
    <w:p>
      <w:pPr>
        <w:pStyle w:val="ListParagraph"/>
        <w:numPr>
          <w:ilvl w:val="0"/>
          <w:numId w:val="2"/>
        </w:numPr>
        <w:spacing w:after="100"/>
      </w:pPr>
      <w:r>
        <w:t xml:space="preserve">Asking “under what conditions does your answer flip?” forced a conditional, not just a flat, recommendation — arguably the single highest-value structured ask in this lab.</w:t>
      </w:r>
    </w:p>
    <w:p>
      <w:pPr>
        <w:spacing w:after="160"/>
      </w:pPr>
      <w:r>
        <w:t xml:space="preserve"/>
      </w:r>
    </w:p>
    <w:p>
      <w:pPr>
        <w:pStyle w:val="Heading1"/>
      </w:pPr>
      <w:r>
        <w:t xml:space="preserve">2. The Lab Exercises: Prompts and Responses</w:t>
      </w:r>
    </w:p>
    <w:p>
      <w:pPr>
        <w:spacing w:after="160"/>
      </w:pPr>
      <w:r>
        <w:t xml:space="preserve">Two prompts were tested, both real decisions with personal stakes, both using the “think hard” cue plus a numbered output structure.</w:t>
      </w:r>
    </w:p>
    <w:p>
      <w:pPr>
        <w:pStyle w:val="Heading2"/>
      </w:pPr>
      <w:r>
        <w:t xml:space="preserve">Exercise 1: $200 Home Office Upgrade</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I have $200 to improve my home office and I work from home full time. Think hard before answering. Then give me: 1) the 3 upgrades with the biggest impact on comfort and focus, 2) which one you'd do first and why, 3) one thing I should NOT waste money on.</w:t>
      </w:r>
    </w:p>
    <w:p>
      <w:pPr>
        <w:spacing w:after="60" w:before="220"/>
      </w:pPr>
      <w:r>
        <w:rPr>
          <w:b/>
          <w:bCs/>
          <w:color w:val="1F3864"/>
          <w:sz w:val="22"/>
          <w:szCs w:val="22"/>
        </w:rPr>
        <w:t xml:space="preserve">Claude's Response:</w:t>
      </w:r>
    </w:p>
    <w:p>
      <w:pPr>
        <w:spacing w:after="160"/>
      </w:pPr>
      <w:r>
        <w:t xml:space="preserve">The response was organized into exactly three sections matching the three numbered asks:</w:t>
      </w:r>
    </w:p>
    <w:p>
      <w:pPr>
        <w:pBdr>
          <w:left w:val="single" w:color="1A7A3A" w:sz="12" w:space="8"/>
        </w:pBdr>
        <w:spacing w:after="140" w:before="100"/>
        <w:ind w:left="720"/>
      </w:pPr>
      <w:r>
        <w:rPr>
          <w:i/>
          <w:iCs/>
          <w:color w:val="333333"/>
          <w:sz w:val="22"/>
          <w:szCs w:val="22"/>
        </w:rPr>
        <w:t xml:space="preserve">Three upgrades with the biggest impact — A better chair (or fixing the one you have)... Monitor at eye level... Lighting. A decent desk lamp plus a bias light behind your monitor (~$30–60 total) reduces eye strain dramatically...</w:t>
      </w:r>
    </w:p>
    <w:p>
      <w:pPr>
        <w:pBdr>
          <w:left w:val="single" w:color="1A7A3A" w:sz="12" w:space="8"/>
        </w:pBdr>
        <w:spacing w:after="140" w:before="100"/>
        <w:ind w:left="720"/>
      </w:pPr>
      <w:r>
        <w:rPr>
          <w:i/>
          <w:iCs/>
          <w:color w:val="333333"/>
          <w:sz w:val="22"/>
          <w:szCs w:val="22"/>
        </w:rPr>
        <w:t xml:space="preserve">Which I'd do first — The chair, or rescuing your current one. Pain is the fastest thing to wreck focus, and it's cumulative—you adapt to bad posture without noticing until your lower back or neck is already unhappy.</w:t>
      </w:r>
    </w:p>
    <w:p>
      <w:pPr>
        <w:pBdr>
          <w:left w:val="single" w:color="1A7A3A" w:sz="12" w:space="8"/>
        </w:pBdr>
        <w:spacing w:after="140" w:before="100"/>
        <w:ind w:left="720"/>
      </w:pPr>
      <w:r>
        <w:rPr>
          <w:i/>
          <w:iCs/>
          <w:color w:val="333333"/>
          <w:sz w:val="22"/>
          <w:szCs w:val="22"/>
        </w:rPr>
        <w:t xml:space="preserve">One thing not to waste money on — Gadgety desk accessories—RGB lighting, fancy cable management kits, ‘productivity’ gizmos... The dopamine of buying them is the whole payoff.</w:t>
      </w:r>
    </w:p>
    <w:p>
      <w:pPr>
        <w:spacing w:after="160"/>
      </w:pPr>
      <w:r>
        <w:t xml:space="preserve">It closed with a concrete dollar breakdown of the $200 (≈$120 chair/cushions, ≈$50 monitor riser or arm, ≈$30 lighting) and offered to suggest specific products.</w:t>
      </w:r>
    </w:p>
    <w:p>
      <w:pPr>
        <w:spacing w:after="60" w:before="220"/>
      </w:pPr>
      <w:r>
        <w:rPr>
          <w:b/>
          <w:bCs/>
          <w:color w:val="1F3864"/>
          <w:sz w:val="22"/>
          <w:szCs w:val="22"/>
        </w:rPr>
        <w:t xml:space="preserve">Evidence of “thinking hard”:</w:t>
      </w:r>
    </w:p>
    <w:p>
      <w:pPr>
        <w:spacing w:after="160"/>
      </w:pPr>
      <w:r>
        <w:t xml:space="preserve">The response didn't just list generic “good” upgrades — it explained the mechanism behind each one (posture compounding into pain over 8-hour days, neck-craning from low monitors, lighting mismatched to focused work vs. general use), gave real price ranges for each item, and explicitly named the psychological trap behind the “don't waste money on” category (the dopamine hit of buying gadgets vs. their actual usefulness).</w:t>
      </w:r>
    </w:p>
    <w:p>
      <w:pPr>
        <w:spacing w:after="160"/>
      </w:pPr>
      <w:r>
        <w:t xml:space="preserve"/>
      </w:r>
    </w:p>
    <w:p>
      <w:pPr>
        <w:pStyle w:val="Heading2"/>
      </w:pPr>
      <w:r>
        <w:t xml:space="preserve">Exercise 2: Choosing Between Two Job Offers</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I'm choosing between two job offers. Offer A: higher pay, longer commute, less interesting work. Offer B: lower pay, remote, steeper learning curve. I value learning and time with family. Think hard. Then tell me: 1) the 3 trade-offs that actually matter for me, 2) which you'd pick and why, 3) under what conditions your answer flips.</w:t>
      </w:r>
    </w:p>
    <w:p>
      <w:pPr>
        <w:spacing w:after="60" w:before="220"/>
      </w:pPr>
      <w:r>
        <w:rPr>
          <w:b/>
          <w:bCs/>
          <w:color w:val="1F3864"/>
          <w:sz w:val="22"/>
          <w:szCs w:val="22"/>
        </w:rPr>
        <w:t xml:space="preserve">Claude's Response:</w:t>
      </w:r>
    </w:p>
    <w:p>
      <w:pPr>
        <w:spacing w:after="160"/>
      </w:pPr>
      <w:r>
        <w:t xml:space="preserve">Again, the response mapped directly onto the three numbered parts of the prompt:</w:t>
      </w:r>
    </w:p>
    <w:p>
      <w:pPr>
        <w:pBdr>
          <w:left w:val="single" w:color="1A7A3A" w:sz="12" w:space="8"/>
        </w:pBdr>
        <w:spacing w:after="140" w:before="100"/>
        <w:ind w:left="720"/>
      </w:pPr>
      <w:r>
        <w:rPr>
          <w:i/>
          <w:iCs/>
          <w:color w:val="333333"/>
          <w:sz w:val="22"/>
          <w:szCs w:val="22"/>
        </w:rPr>
        <w:t xml:space="preserve">Time, both ways. Offer A's longer commute and Offer B's remote setup are the same axis: hours per week that either belong to your family or to a car. A 45-minute each-way commute is roughly 7.5 hours a week...</w:t>
      </w:r>
    </w:p>
    <w:p>
      <w:pPr>
        <w:pBdr>
          <w:left w:val="single" w:color="1A7A3A" w:sz="12" w:space="8"/>
        </w:pBdr>
        <w:spacing w:after="140" w:before="100"/>
        <w:ind w:left="720"/>
      </w:pPr>
      <w:r>
        <w:rPr>
          <w:i/>
          <w:iCs/>
          <w:color w:val="333333"/>
          <w:sz w:val="22"/>
          <w:szCs w:val="22"/>
        </w:rPr>
        <w:t xml:space="preserve">Which I'd pick — Offer B, given what you've told me. Both of your stated values—learning and family time—point the same direction, and Offer A only wins on money.</w:t>
      </w:r>
    </w:p>
    <w:p>
      <w:pPr>
        <w:pBdr>
          <w:left w:val="single" w:color="1A7A3A" w:sz="12" w:space="8"/>
        </w:pBdr>
        <w:spacing w:after="140" w:before="100"/>
        <w:ind w:left="720"/>
      </w:pPr>
      <w:r>
        <w:rPr>
          <w:i/>
          <w:iCs/>
          <w:color w:val="333333"/>
          <w:sz w:val="22"/>
          <w:szCs w:val="22"/>
        </w:rPr>
        <w:t xml:space="preserve">Under what conditions that flips — The lower pay creates real strain... The learning curve is actually a red flag... A's work isn't as dull as it sounds, or has a real ladder... The remote setup is isolating for you specifically.</w:t>
      </w:r>
    </w:p>
    <w:p>
      <w:pPr>
        <w:spacing w:after="60" w:before="220"/>
      </w:pPr>
      <w:r>
        <w:rPr>
          <w:b/>
          <w:bCs/>
          <w:color w:val="1F3864"/>
          <w:sz w:val="22"/>
          <w:szCs w:val="22"/>
        </w:rPr>
        <w:t xml:space="preserve">Evidence of “thinking hard”:</w:t>
      </w:r>
    </w:p>
    <w:p>
      <w:pPr>
        <w:spacing w:after="160"/>
      </w:pPr>
      <w:r>
        <w:t xml:space="preserve">This response went well beyond a simple pros/cons list. It identified that two seemingly different factors — commute time and remote work — were actually “the same axis” competing for the same hours. It reasoned about how the two stated values (learning, family time) interact with each other over time (“a steep learning curve... can eat evenings and weekends—which competes with the very family time remote work was supposed to give you”). And the “under what conditions” section produced four distinct, specific scenarios — each one a genuine second-order consideration, not a restatement of the original trade-offs.</w:t>
      </w:r>
    </w:p>
    <w:p>
      <w:pPr>
        <w:spacing w:after="160"/>
      </w:pPr>
      <w:r>
        <w:t xml:space="preserve"/>
      </w:r>
    </w:p>
    <w:p>
      <w:pPr>
        <w:pStyle w:val="Heading1"/>
      </w:pPr>
      <w:r>
        <w:t xml:space="preserve">3. How My Prompting Improved During the Process</w:t>
      </w:r>
    </w:p>
    <w:p>
      <w:pPr>
        <w:spacing w:after="160"/>
      </w:pPr>
      <w:r>
        <w:t xml:space="preserve">This lab built directly on the lessons from earlier tasks. Task 4 showed that a short list of relevant context plus a clear output spec gets a focused answer. This lab pushed that one step further: for genuinely hard, multi-factor decisions, adding “think hard” as an explicit instruction — alongside the numbered output structure — changed the character of the response, not just its format.</w:t>
      </w:r>
    </w:p>
    <w:p>
      <w:pPr>
        <w:spacing w:after="160"/>
      </w:pPr>
      <w:r>
        <w:t xml:space="preserve">Without the “think hard” framing, a request like “help me pick between two job offers” could easily get a surface-level answer: a simple list of pros and cons, ending in a coin-flip-style recommendation. With it, the response actively reasoned about how the stated values (“I value learning and time with family”) interacted with each option over time, and went out of its way to identify the conditions under which its own recommendation would change.</w:t>
      </w:r>
    </w:p>
    <w:p>
      <w:pPr>
        <w:spacing w:after="160"/>
      </w:pPr>
      <w:r>
        <w:t xml:space="preserve">The numbered output requests did the rest of the work: by asking for exactly 3 trade-offs, one pick with reasoning, and a list of flip conditions, I got a response that mapped one-to-one onto my questions — easy to scan, easy to act on, with no need to extract the answer from a long block of text.</w:t>
      </w:r>
    </w:p>
    <w:p>
      <w:pPr>
        <w:spacing w:after="160"/>
      </w:pPr>
      <w:r>
        <w:t xml:space="preserve"/>
      </w:r>
    </w:p>
    <w:p>
      <w:pPr>
        <w:pStyle w:val="Heading1"/>
      </w:pPr>
      <w:r>
        <w:t xml:space="preserve">4. Prompting Techniques That Helped the Most</w:t>
      </w:r>
    </w:p>
    <w:p>
      <w:pPr>
        <w:pStyle w:val="Heading2"/>
      </w:pPr>
      <w:r>
        <w:t xml:space="preserve">“Think Hard” / “Think Hard Before Answering”</w:t>
      </w:r>
    </w:p>
    <w:p>
      <w:pPr>
        <w:spacing w:after="160"/>
      </w:pPr>
      <w:r>
        <w:t xml:space="preserve">This short phrase appears to act as a signal to slow down and reason through the problem rather than pattern-match to a quick, generic answer. In both exercises, the responses included mechanisms and reasoning (why a chair matters more than lighting, why two seemingly different trade-offs are actually the same one) rather than just conclusions.</w:t>
      </w:r>
    </w:p>
    <w:p>
      <w:pPr>
        <w:pStyle w:val="Heading2"/>
      </w:pPr>
      <w:r>
        <w:t xml:space="preserve">Numbered, Structured Asks</w:t>
      </w:r>
    </w:p>
    <w:p>
      <w:pPr>
        <w:spacing w:after="160"/>
      </w:pPr>
      <w:r>
        <w:t xml:space="preserve">Phrasing the request as “1) ... 2) ... 3) ...” produced a response with matching sections for each part. This is the most reliable way I've found across this whole assignment to avoid a wall of prose — the structure of the question becomes the structure of the answer.</w:t>
      </w:r>
    </w:p>
    <w:p>
      <w:pPr>
        <w:pStyle w:val="Heading2"/>
      </w:pPr>
      <w:r>
        <w:t xml:space="preserve">Asking for a Single Pick, Not Just Options</w:t>
      </w:r>
    </w:p>
    <w:p>
      <w:pPr>
        <w:spacing w:after="160"/>
      </w:pPr>
      <w:r>
        <w:t xml:space="preserve">Both prompts asked Claude to commit to one choice (“which one you'd do first” / “which you'd pick and why”) rather than just listing options. This forced a concrete recommendation with reasoning, instead of a noncommittal “it depends” — while still preserving nuance through the reasoning given.</w:t>
      </w:r>
    </w:p>
    <w:p>
      <w:pPr>
        <w:pStyle w:val="Heading2"/>
      </w:pPr>
      <w:r>
        <w:t xml:space="preserve">Asking “Under What Conditions Does This Flip?”</w:t>
      </w:r>
    </w:p>
    <w:p>
      <w:pPr>
        <w:spacing w:after="160"/>
      </w:pPr>
      <w:r>
        <w:t xml:space="preserve">This was the standout technique of the lab. It's one thing to get a recommendation; it's another to know exactly what would have to be true for that recommendation to be wrong. The four flip conditions in Exercise 2 effectively turned one answer into a small decision tree I can check myself against.</w:t>
      </w:r>
    </w:p>
    <w:p>
      <w:pPr>
        <w:spacing w:after="160"/>
      </w:pPr>
      <w:r>
        <w:t xml:space="preserve"/>
      </w:r>
    </w:p>
    <w:p>
      <w:pPr>
        <w:spacing w:after="160" w:before="100"/>
      </w:pPr>
      <w:r>
        <w:rPr>
          <w:b/>
          <w:bCs/>
          <w:sz w:val="24"/>
          <w:szCs w:val="24"/>
        </w:rPr>
        <w:t xml:space="preserve">Summary: Both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1: Home Office</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2: Job Offers</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Reasoning cue used</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“Think hard before answering”</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“Think hard”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Numbered asks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3 (top upgrades, do-first, avoid)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3 (trade-offs, pick, flip conditions)</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Second-order reasoning?</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pain compounding, dopamine vs. usefulness</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commute &amp; remote as “same axis”, curve vs. family 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Specific numbers given?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Yes — full $200 budget breakdown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Yes — 7.5 hrs/week from commute</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Committed recommendation?</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chair first, with reasoning</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Offer B, with reasoning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Conditional / flip analysis?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Implicit (cushion vs. new chair tradeoff)</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Explicit — 4 named flip conditions</w:t>
            </w:r>
          </w:p>
        </w:tc>
      </w:tr>
    </w:tbl>
    <w:p>
      <w:pPr>
        <w:spacing w:after="160"/>
      </w:pPr>
      <w:r>
        <w:t xml:space="preserve"/>
      </w:r>
    </w:p>
    <w:p>
      <w:pPr>
        <w:pStyle w:val="Heading1"/>
      </w:pPr>
      <w:r>
        <w:t xml:space="preserve">5. Challenges Faced and How I Solved Them</w:t>
      </w:r>
    </w:p>
    <w:p>
      <w:pPr>
        <w:spacing w:after="60" w:before="220"/>
      </w:pPr>
      <w:r>
        <w:rPr>
          <w:b/>
          <w:bCs/>
          <w:color w:val="C0392B"/>
          <w:sz w:val="22"/>
          <w:szCs w:val="22"/>
        </w:rPr>
        <w:t xml:space="preserve">Challenge 1: No direct “without think hard” baseline to compare against</w:t>
      </w:r>
    </w:p>
    <w:p>
      <w:pPr>
        <w:spacing w:after="160"/>
      </w:pPr>
      <w:r>
        <w:t xml:space="preserve">The lab's intended method was a before/after contrast on the same question, but both transcripts I had already included “think hard” from the start. Solution: instead of comparing two responses to the same prompt, I looked for internal evidence of depth within each response — specific numbers, named mechanisms, second-order reasoning, and conditional logic — as markers of what “thinking hard” looks like in practice, even without a flat “normal” response to contrast against directly.</w:t>
      </w:r>
    </w:p>
    <w:p>
      <w:pPr>
        <w:spacing w:after="60" w:before="220"/>
      </w:pPr>
      <w:r>
        <w:rPr>
          <w:b/>
          <w:bCs/>
          <w:color w:val="C0392B"/>
          <w:sz w:val="22"/>
          <w:szCs w:val="22"/>
        </w:rPr>
        <w:t xml:space="preserve">Challenge 2: Giving Claude enough of my own values to reason with</w:t>
      </w:r>
    </w:p>
    <w:p>
      <w:pPr>
        <w:spacing w:after="160"/>
      </w:pPr>
      <w:r>
        <w:t xml:space="preserve">For the job offer prompt, the quality of the “trade-offs that matter for me” depended entirely on stating my actual priorities (“I value learning and time with family”). Solution: this connects back to Task 4's theme — a couple of lines of real personal context made the difference between a generic pros/cons list and trade-offs genuinely matched to my situation.</w:t>
      </w:r>
    </w:p>
    <w:p>
      <w:pPr>
        <w:spacing w:after="60" w:before="220"/>
      </w:pPr>
      <w:r>
        <w:rPr>
          <w:b/>
          <w:bCs/>
          <w:color w:val="C0392B"/>
          <w:sz w:val="22"/>
          <w:szCs w:val="22"/>
        </w:rPr>
        <w:t xml:space="preserve">Challenge 3: Knowing when “think hard” is worth using</w:t>
      </w:r>
    </w:p>
    <w:p>
      <w:pPr>
        <w:spacing w:after="160"/>
      </w:pPr>
      <w:r>
        <w:t xml:space="preserve">Both example questions here were genuinely hard, multi-factor personal decisions — not simple factual lookups. Solution: I concluded that “think hard” is best reserved for exactly this kind of question: ones with real trade-offs, competing values, and no obviously correct answer. For a quick factual question (like Task 2's onion question), the extra reasoning cue wouldn't add much, since there's nothing to weigh.</w:t>
      </w:r>
    </w:p>
    <w:p>
      <w:pPr>
        <w:spacing w:after="160"/>
      </w:pPr>
      <w:r>
        <w:t xml:space="preserve"/>
      </w:r>
    </w:p>
    <w:p>
      <w:pPr>
        <w:pStyle w:val="Heading1"/>
      </w:pPr>
      <w:r>
        <w:t xml:space="preserve">Conclusion</w:t>
      </w:r>
    </w:p>
    <w:p>
      <w:pPr>
        <w:spacing w:after="160"/>
      </w:pPr>
      <w:r>
        <w:t xml:space="preserve">This lab demonstrated that “think hard” is not just a magic phrase — it appears to shift Claude from giving a quick, surface-level answer to actively reasoning through a problem: naming mechanisms, finding non-obvious connections between factors, attaching real numbers, and committing to a recommendation while also mapping out when that recommendation would change.</w:t>
      </w:r>
    </w:p>
    <w:p>
      <w:pPr>
        <w:spacing w:after="160"/>
      </w:pPr>
      <w:r>
        <w:t xml:space="preserve">Combined with structured, numbered output requests, the result was two responses that were both deep and easy to use: organized into clearly labeled sections that mapped one-to-one onto the questions asked, with no prose to wade through to find the answer to any specific part.</w:t>
      </w:r>
    </w:p>
    <w:p>
      <w:pPr>
        <w:spacing w:after="160"/>
      </w:pPr>
      <w:r>
        <w:t xml:space="preserve">The technique I'll carry forward most from this lab is pairing “think hard” with a numbered request for trade-offs, a committed recommendation, and the conditions under which that recommendation would flip. For any decision with real stakes and competing priorities, this combination turned a single prompt into something close to a small decision-support document — not a wall of prose, and not a coin flip either.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2026-06-13T22:58:15.692Z</dcterms:created>
  <dcterms:modified xsi:type="dcterms:W3CDTF">2026-06-13T22:58:15.706Z</dcterms:modified>
</cp:coreProperties>
</file>

<file path=docProps/custom.xml><?xml version="1.0" encoding="utf-8"?>
<Properties xmlns="http://schemas.openxmlformats.org/officeDocument/2006/custom-properties" xmlns:vt="http://schemas.openxmlformats.org/officeDocument/2006/docPropsVTypes"/>
</file>