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linkedin.com/in/djdole · profile.indeed.com/p/dennisd-9lrkjhr</w:t>
      </w:r>
    </w:p>
    <w:p>
      <w:pPr>
        <w:spacing w:after="20" w:before="200"/>
        <w:pBdr>
          <w:bottom w:val="single" w:sz="6" w:color="1F3864"/>
        </w:pBdr>
      </w:pPr>
      <w:r>
        <w:rPr>
          <w:b/>
          <w:color w:val="1F3864"/>
          <w:sz w:val="22"/>
        </w:rPr>
        <w:t>SUMMARY</w:t>
      </w:r>
    </w:p>
    <w:p>
      <w:pPr>
        <w:spacing w:after="160" w:before="0"/>
      </w:pPr>
      <w:r>
        <w:t>Software Developer with 22+ years of experience at Docusign, Microsoft, and Amazon building automated test frameworks, internal developer tooling, and webhook integration systems for distributed, production-scale software. Proficient across C#, Ruby, Python, Java, PHP, and Node.js, with a track record of designing APIs, debugging complex production issues, and leading technical migrations. Skilled at partnering with developers and product managers throughout the SDLC, and at mentoring engineers on new teams.</w:t>
      </w:r>
    </w:p>
    <w:p>
      <w:pPr>
        <w:spacing w:after="20" w:before="200"/>
        <w:pBdr>
          <w:bottom w:val="single" w:sz="6" w:color="1F3864"/>
        </w:pBdr>
      </w:pPr>
      <w:r>
        <w:rPr>
          <w:b/>
          <w:color w:val="1F3864"/>
          <w:sz w:val="22"/>
        </w:rPr>
        <w:t>CORE TECHNICAL SKILLS</w:t>
      </w:r>
    </w:p>
    <w:p>
      <w:pPr>
        <w:spacing w:after="40" w:before="0"/>
      </w:pPr>
      <w:r>
        <w:rPr>
          <w:b/>
        </w:rPr>
        <w:t xml:space="preserve">Languages: </w:t>
      </w:r>
      <w:r>
        <w:t>C#, Ruby, Python, Java, PHP, Node.js, Bash, PowerShell, C++</w:t>
      </w:r>
    </w:p>
    <w:p>
      <w:pPr>
        <w:spacing w:after="40" w:before="0"/>
      </w:pPr>
      <w:r>
        <w:rPr>
          <w:b/>
        </w:rPr>
        <w:t xml:space="preserve">APIs &amp; Web Servers: </w:t>
      </w:r>
      <w:r>
        <w:t>REST API design, Apache HTTPD/Tomcat, IIS, nginx, Node.js, MongoDB</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6800"/>
        <w:gridCol w:w="2400"/>
      </w:tblGrid>
      <w:tr>
        <w:tc>
          <w:tcPr>
            <w:tcW w:type="dxa" w:w="5040"/>
          </w:tcPr>
          <w:p>
            <w:pPr>
              <w:spacing w:after="0" w:before="0"/>
            </w:pPr>
            <w:r>
              <w:rPr>
                <w:b/>
              </w:rPr>
              <w:t>Software Developer</w:t>
            </w:r>
          </w:p>
        </w:tc>
        <w:tc>
          <w:tcPr>
            <w:tcW w:type="dxa" w:w="5040"/>
          </w:tcPr>
          <w:p>
            <w:pPr>
              <w:spacing w:after="0" w:before="0"/>
              <w:jc w:val="right"/>
            </w:pPr>
            <w:r>
              <w:rPr>
                <w:b/>
              </w:rPr>
              <w:t>2024-03 - 2025-07</w:t>
            </w:r>
          </w:p>
        </w:tc>
      </w:tr>
    </w:tbl>
    <w:p>
      <w:pPr>
        <w:spacing w:after="60" w:before="0"/>
      </w:pPr>
      <w:r>
        <w:rPr>
          <w:i/>
          <w:color w:val="1F3864"/>
          <w:sz w:val="18"/>
        </w:rPr>
        <w:t>Docusign, Inc. · Docusign Connect · Connect Test Listener (webhook) · Ruby Webhook Test Interface ·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6800"/>
        <w:gridCol w:w="2400"/>
      </w:tblGrid>
      <w:tr>
        <w:tc>
          <w:tcPr>
            <w:tcW w:type="dxa" w:w="5040"/>
          </w:tcPr>
          <w:p>
            <w:pPr>
              <w:spacing w:after="0" w:before="0"/>
            </w:pPr>
            <w:r>
              <w:rPr>
                <w:b/>
              </w:rPr>
              <w:t>Software Design Engineer in Test (SDET)</w:t>
            </w:r>
          </w:p>
        </w:tc>
        <w:tc>
          <w:tcPr>
            <w:tcW w:type="dxa" w:w="5040"/>
          </w:tcPr>
          <w:p>
            <w:pPr>
              <w:spacing w:after="0" w:before="0"/>
              <w:jc w:val="right"/>
            </w:pPr>
            <w:r>
              <w:rPr>
                <w:b/>
              </w:rPr>
              <w:t>2013-11 - 2024-03</w:t>
            </w:r>
          </w:p>
        </w:tc>
      </w:tr>
    </w:tbl>
    <w:p>
      <w:pPr>
        <w:spacing w:after="60" w:before="0"/>
      </w:pPr>
      <w:r>
        <w:rPr>
          <w:i/>
          <w:color w:val="1F3864"/>
          <w:sz w:val="18"/>
        </w:rPr>
        <w:t>Docusign, Inc. · Docusign Connect · Product Incubation Team ·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6800"/>
        <w:gridCol w:w="2400"/>
      </w:tblGrid>
      <w:tr>
        <w:tc>
          <w:tcPr>
            <w:tcW w:type="dxa" w:w="5040"/>
          </w:tcPr>
          <w:p>
            <w:pPr>
              <w:spacing w:after="0" w:before="0"/>
            </w:pPr>
            <w:r>
              <w:rPr>
                <w:b/>
              </w:rPr>
              <w:t>SDET2</w:t>
            </w:r>
          </w:p>
        </w:tc>
        <w:tc>
          <w:tcPr>
            <w:tcW w:type="dxa" w:w="5040"/>
          </w:tcPr>
          <w:p>
            <w:pPr>
              <w:spacing w:after="0" w:before="0"/>
              <w:jc w:val="right"/>
            </w:pPr>
            <w:r>
              <w:rPr>
                <w:b/>
              </w:rPr>
              <w:t>2012-01 - 2013-06</w:t>
            </w:r>
          </w:p>
        </w:tc>
      </w:tr>
    </w:tbl>
    <w:p>
      <w:pPr>
        <w:spacing w:after="60" w:before="0"/>
      </w:pPr>
      <w:r>
        <w:rPr>
          <w:i/>
          <w:color w:val="1F3864"/>
          <w:sz w:val="18"/>
        </w:rPr>
        <w:t>Microsoft Engineering Excellence · Team Foundation Server · Microsoft Test Manager ·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6800"/>
        <w:gridCol w:w="2400"/>
      </w:tblGrid>
      <w:tr>
        <w:tc>
          <w:tcPr>
            <w:tcW w:type="dxa" w:w="5040"/>
          </w:tcPr>
          <w:p>
            <w:pPr>
              <w:spacing w:after="0" w:before="0"/>
            </w:pPr>
            <w:r>
              <w:rPr>
                <w:b/>
              </w:rPr>
              <w:t>SDET2</w:t>
            </w:r>
          </w:p>
        </w:tc>
        <w:tc>
          <w:tcPr>
            <w:tcW w:type="dxa" w:w="5040"/>
          </w:tcPr>
          <w:p>
            <w:pPr>
              <w:spacing w:after="0" w:before="0"/>
              <w:jc w:val="right"/>
            </w:pPr>
            <w:r>
              <w:rPr>
                <w:b/>
              </w:rPr>
              <w:t>2011-11 - 2012-01</w:t>
            </w:r>
          </w:p>
        </w:tc>
      </w:tr>
    </w:tbl>
    <w:p>
      <w:pPr>
        <w:spacing w:after="60" w:before="0"/>
      </w:pPr>
      <w:r>
        <w:rPr>
          <w:i/>
          <w:color w:val="1F3864"/>
          <w:sz w:val="18"/>
        </w:rPr>
        <w:t>Amazon · Linux · Eclipse · Hudson · Ant · TestNG · Java ·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6800"/>
        <w:gridCol w:w="2400"/>
      </w:tblGrid>
      <w:tr>
        <w:tc>
          <w:tcPr>
            <w:tcW w:type="dxa" w:w="5040"/>
          </w:tcPr>
          <w:p>
            <w:pPr>
              <w:spacing w:after="0" w:before="0"/>
            </w:pPr>
            <w:r>
              <w:rPr>
                <w:b/>
              </w:rPr>
              <w:t>SDET</w:t>
            </w:r>
          </w:p>
        </w:tc>
        <w:tc>
          <w:tcPr>
            <w:tcW w:type="dxa" w:w="5040"/>
          </w:tcPr>
          <w:p>
            <w:pPr>
              <w:spacing w:after="0" w:before="0"/>
              <w:jc w:val="right"/>
            </w:pPr>
            <w:r>
              <w:rPr>
                <w:b/>
              </w:rPr>
              <w:t>2011-04 - 2011-10</w:t>
            </w:r>
          </w:p>
        </w:tc>
      </w:tr>
    </w:tbl>
    <w:p>
      <w:pPr>
        <w:spacing w:after="60" w:before="0"/>
      </w:pPr>
      <w:r>
        <w:rPr>
          <w:i/>
          <w:color w:val="1F3864"/>
          <w:sz w:val="18"/>
        </w:rPr>
        <w:t>Microsoft Live · C# · SQL · WTT · Kahuna Automation Framework (KAF) · NUnit · Source Depot · HyperV ·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6800"/>
        <w:gridCol w:w="2400"/>
      </w:tblGrid>
      <w:tr>
        <w:tc>
          <w:tcPr>
            <w:tcW w:type="dxa" w:w="5040"/>
          </w:tcPr>
          <w:p>
            <w:pPr>
              <w:spacing w:after="0" w:before="0"/>
            </w:pPr>
            <w:r>
              <w:rPr>
                <w:b/>
              </w:rPr>
              <w:t>SDET</w:t>
            </w:r>
          </w:p>
        </w:tc>
        <w:tc>
          <w:tcPr>
            <w:tcW w:type="dxa" w:w="5040"/>
          </w:tcPr>
          <w:p>
            <w:pPr>
              <w:spacing w:after="0" w:before="0"/>
              <w:jc w:val="right"/>
            </w:pPr>
            <w:r>
              <w:rPr>
                <w:b/>
              </w:rPr>
              <w:t>2008-02 - 2010-11</w:t>
            </w:r>
          </w:p>
        </w:tc>
      </w:tr>
    </w:tbl>
    <w:p>
      <w:pPr>
        <w:spacing w:after="60" w:before="0"/>
      </w:pPr>
      <w:r>
        <w:rPr>
          <w:i/>
          <w:color w:val="1F3864"/>
          <w:sz w:val="18"/>
        </w:rPr>
        <w:t>Microsoft Health Solutions Group · C# · SQL · WTT · Echo · KAF · NUnit · iMacros · REST · XML ·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6800"/>
        <w:gridCol w:w="2400"/>
      </w:tblGrid>
      <w:tr>
        <w:tc>
          <w:tcPr>
            <w:tcW w:type="dxa" w:w="5040"/>
          </w:tcPr>
          <w:p>
            <w:pPr>
              <w:spacing w:after="0" w:before="0"/>
            </w:pPr>
            <w:r>
              <w:rPr>
                <w:b/>
              </w:rPr>
              <w:t>Software Engineer</w:t>
            </w:r>
          </w:p>
        </w:tc>
        <w:tc>
          <w:tcPr>
            <w:tcW w:type="dxa" w:w="5040"/>
          </w:tcPr>
          <w:p>
            <w:pPr>
              <w:spacing w:after="0" w:before="0"/>
              <w:jc w:val="right"/>
            </w:pPr>
            <w:r>
              <w:rPr>
                <w:b/>
              </w:rPr>
              <w:t>2006-03 - 2008-02</w:t>
            </w:r>
          </w:p>
        </w:tc>
      </w:tr>
    </w:tbl>
    <w:p>
      <w:pPr>
        <w:spacing w:after="60" w:before="0"/>
      </w:pPr>
      <w:r>
        <w:rPr>
          <w:i/>
          <w:color w:val="1F3864"/>
          <w:sz w:val="18"/>
        </w:rPr>
        <w:t>Cosworth Tech Inc. / MAHLE Powertrain LLC · Borland JBuilder · Java · Swing · Borland C++ · Oracle SQL ·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6800"/>
        <w:gridCol w:w="2400"/>
      </w:tblGrid>
      <w:tr>
        <w:tc>
          <w:tcPr>
            <w:tcW w:type="dxa" w:w="5040"/>
          </w:tcPr>
          <w:p>
            <w:pPr>
              <w:spacing w:after="0" w:before="0"/>
            </w:pPr>
            <w:r>
              <w:rPr>
                <w:b/>
              </w:rPr>
              <w:t>Quality Assurance Engineer</w:t>
            </w:r>
          </w:p>
        </w:tc>
        <w:tc>
          <w:tcPr>
            <w:tcW w:type="dxa" w:w="5040"/>
          </w:tcPr>
          <w:p>
            <w:pPr>
              <w:spacing w:after="0" w:before="0"/>
              <w:jc w:val="right"/>
            </w:pPr>
            <w:r>
              <w:rPr>
                <w:b/>
              </w:rPr>
              <w:t>2005-03 - 2006-08</w:t>
            </w:r>
          </w:p>
        </w:tc>
      </w:tr>
    </w:tbl>
    <w:p>
      <w:pPr>
        <w:spacing w:after="60" w:before="0"/>
      </w:pPr>
      <w:r>
        <w:rPr>
          <w:i/>
          <w:color w:val="1F3864"/>
          <w:sz w:val="18"/>
        </w:rPr>
        <w:t>Cosworth Tech Inc. / MAHLE Powertrain LLC · Excel · iMacros · Visual Basic ·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