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years of valuable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Mar 2024 to Jul 2025</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Design Engineer in Test</w:t>
            </w:r>
          </w:p>
        </w:tc>
        <w:tc>
          <w:tcPr>
            <w:tcW w:type="dxa" w:w="3360"/>
          </w:tcPr>
          <w:p>
            <w:pPr>
              <w:spacing w:after="0" w:before="0"/>
            </w:pPr>
            <w:r>
              <w:rPr>
                <w:b/>
              </w:rPr>
              <w:t>Docusign, Inc.</w:t>
            </w:r>
          </w:p>
        </w:tc>
        <w:tc>
          <w:tcPr>
            <w:tcW w:type="dxa" w:w="3360"/>
          </w:tcPr>
          <w:p>
            <w:pPr>
              <w:spacing w:after="0" w:before="0"/>
              <w:jc w:val="right"/>
            </w:pPr>
            <w:r>
              <w:rPr>
                <w:b/>
              </w:rPr>
              <w:t>Nov 2013 to Mar 2024</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Jan 2012 to Jun 2013</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Nov 2011 to Jan 2012</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Apr 2011 to Oct 2011</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Feb 2008 to Nov 2010</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2006 to Feb 2008</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2005 to Aug 2006</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