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Developer with years of valuable experience at Docusign, Microsoft, and Amazon building automated test frameworks, internal developer tooling, and webhook integration systems for distributed, production-scale software. Proficient across C#, Ruby, Python, Java, PHP, and Node.js, with a track record of designing APIs, debugging complex production issues, and leading technical migrations. Skilled at partnering with developers and product managers throughout the SDLC, and at mentoring engineers on new teams.</w:t>
      </w:r>
    </w:p>
    <w:p>
      <w:pPr>
        <w:spacing w:after="20" w:before="200"/>
        <w:pBdr>
          <w:bottom w:val="single" w:sz="6" w:color="1F3864"/>
        </w:pBdr>
      </w:pPr>
      <w:r>
        <w:rPr>
          <w:b/>
          <w:color w:val="1F3864"/>
          <w:sz w:val="22"/>
        </w:rPr>
        <w:t>CORE TECHNICAL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to 2025-07</w:t>
            </w:r>
          </w:p>
        </w:tc>
      </w:tr>
    </w:tbl>
    <w:p>
      <w:pPr>
        <w:spacing w:after="60" w:before="0"/>
      </w:pPr>
      <w:r>
        <w:rPr>
          <w:i/>
          <w:color w:val="1F3864"/>
          <w:sz w:val="18"/>
        </w:rPr>
        <w:t>Docusign Connect, Connect Test Listener (webhook), Ruby Webhook Test Interface,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to 2024-03</w:t>
            </w:r>
          </w:p>
        </w:tc>
      </w:tr>
    </w:tbl>
    <w:p>
      <w:pPr>
        <w:spacing w:after="60" w:before="0"/>
      </w:pPr>
      <w:r>
        <w:rPr>
          <w:i/>
          <w:color w:val="1F3864"/>
          <w:sz w:val="18"/>
        </w:rPr>
        <w:t>Docusign Connect, Product Incubation Team,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to 2013-06</w:t>
            </w:r>
          </w:p>
        </w:tc>
      </w:tr>
    </w:tbl>
    <w:p>
      <w:pPr>
        <w:spacing w:after="60" w:before="0"/>
      </w:pPr>
      <w:r>
        <w:rPr>
          <w:i/>
          <w:color w:val="1F3864"/>
          <w:sz w:val="18"/>
        </w:rPr>
        <w:t>Team Foundation Server, Microsoft Test Manager,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to 2012-01</w:t>
            </w:r>
          </w:p>
        </w:tc>
      </w:tr>
    </w:tbl>
    <w:p>
      <w:pPr>
        <w:spacing w:after="60" w:before="0"/>
      </w:pPr>
      <w:r>
        <w:rPr>
          <w:i/>
          <w:color w:val="1F3864"/>
          <w:sz w:val="18"/>
        </w:rPr>
        <w:t>Linux, Eclipse, Hudson, Ant, TestNG, Java,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to 2011-10</w:t>
            </w:r>
          </w:p>
        </w:tc>
      </w:tr>
    </w:tbl>
    <w:p>
      <w:pPr>
        <w:spacing w:after="60" w:before="0"/>
      </w:pPr>
      <w:r>
        <w:rPr>
          <w:i/>
          <w:color w:val="1F3864"/>
          <w:sz w:val="18"/>
        </w:rPr>
        <w:t>C#, SQL, WTT, Kahuna Automation Framework (KAF), NUnit, Source Depot, HyperV,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to 2010-11</w:t>
            </w:r>
          </w:p>
        </w:tc>
      </w:tr>
    </w:tbl>
    <w:p>
      <w:pPr>
        <w:spacing w:after="60" w:before="0"/>
      </w:pPr>
      <w:r>
        <w:rPr>
          <w:i/>
          <w:color w:val="1F3864"/>
          <w:sz w:val="18"/>
        </w:rPr>
        <w:t>C#, SQL, WTT, Echo, KAF, NUnit, iMacros, REST, XML,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to 2008-02</w:t>
            </w:r>
          </w:p>
        </w:tc>
      </w:tr>
    </w:tbl>
    <w:p>
      <w:pPr>
        <w:spacing w:after="60" w:before="0"/>
      </w:pPr>
      <w:r>
        <w:rPr>
          <w:i/>
          <w:color w:val="1F3864"/>
          <w:sz w:val="18"/>
        </w:rPr>
        <w:t>Borland JBuilder, Java, Swing, Borland C++, Oracle SQL,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037"/>
        <w:gridCol w:w="4203"/>
        <w:gridCol w:w="1839"/>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to 2006-08</w:t>
            </w:r>
          </w:p>
        </w:tc>
      </w:tr>
    </w:tbl>
    <w:p>
      <w:pPr>
        <w:spacing w:after="60" w:before="0"/>
      </w:pPr>
      <w:r>
        <w:rPr>
          <w:i/>
          <w:color w:val="1F3864"/>
          <w:sz w:val="18"/>
        </w:rPr>
        <w:t>Excel, iMacros, Visual Basic,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