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HIGH-PRESSURE WASHING EQUIPMENT RETURN PROTOCOL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Component</w:t>
            </w:r>
          </w:p>
        </w:tc>
        <w:tc>
          <w:tcPr>
            <w:tcW w:type="dxa" w:w="3553"/>
          </w:tcPr>
          <w:p>
            <w:r>
              <w:t>Result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Frame and body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Engine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Pump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Hoses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Gun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Nozzles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Cables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Guards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Accessories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Overall condition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Use / destination: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Remarks: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Returned by</w:t>
            </w:r>
          </w:p>
        </w:tc>
        <w:tc>
          <w:tcPr>
            <w:tcW w:type="dxa" w:w="5329"/>
          </w:tcPr>
          <w:p>
            <w:r>
              <w:rPr>
                <w:b/>
              </w:rPr>
              <w:t>Return accepted by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Signature: {{LEFT_SIGNATURE}}</w:t>
            </w:r>
          </w:p>
        </w:tc>
        <w:tc>
          <w:tcPr>
            <w:tcW w:type="dxa" w:w="5329"/>
          </w:tcPr>
          <w:p>
            <w:r>
              <w:t>Signature: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Signature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