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Catalog Operator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KK1000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НЕПЪЛНО ПОДПИСАН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25/10/2026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Catalog Operator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Catalog Operator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25/10/2026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</w:t>
            </w:r>
          </w:p>
        </w:tc>
        <w:tc>
          <w:tcPr>
            <w:tcW w:type="dxa" w:w="306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</w:t>
            </w:r>
          </w:p>
        </w:tc>
      </w:tr>
      <w:tr>
        <w:tc>
          <w:tcPr>
            <w:tcW w:type="dxa" w:w="7143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[Част без потвърден part number] Възел: SYNTHETIC QA ASSEMBLY; Synthetic QA document proof</w:t>
            </w:r>
          </w:p>
        </w:tc>
        <w:tc>
          <w:tcPr>
            <w:tcW w:type="dxa" w:w="306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 xml:space="preserve">QA Catalog Operator · QA operator · </w:t>
      </w:r>
    </w:p>
    <w:p>
      <w:pPr>
        <w:keepLines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________________________</w:t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  <w:t>[[ASSETCORE_LEFT_SIGNATURE]]</w:t>
      </w:r>
    </w:p>
    <w:p>
      <w:pPr>
        <w:widowControl/>
        <w:spacing w:after="113" w:before="0"/>
        <w:ind w:left="0" w:right="0"/>
        <w:jc w:val="left"/>
      </w:pPr>
      <w:r>
        <w:drawing>
          <wp:inline xmlns:a="http://schemas.openxmlformats.org/drawingml/2006/main" xmlns:pic="http://schemas.openxmlformats.org/drawingml/2006/picture">
            <wp:extent cx="1980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 xml:space="preserve">QA Catalog Operator · QA operator · </w:t>
      </w:r>
    </w:p>
    <w:p>
      <w:pPr>
        <w:keepLines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________________________</w:t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  <w:t>[[ASSETCORE_RIGHT_SIGNATURE]]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widowControl/>
        <w:spacing w:after="113" w:before="0"/>
        <w:ind w:left="0" w:right="0"/>
        <w:jc w:val="center"/>
      </w:pPr>
      <w:r>
        <w:rPr>
          <w:rFonts w:ascii="Arial" w:hAnsi="Arial" w:eastAsia="Arial" w:cs="Arial"/>
          <w:b/>
          <w:i/>
          <w:color w:val="183153"/>
          <w:sz w:val="22"/>
        </w:rPr>
        <w:t>Синтетичен текст — проверка на кирилица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5102"/>
        <w:gridCol w:w="5102"/>
      </w:tblGrid>
      <w:tr>
        <w:trPr>
          <w:tblHeader/>
        </w:trPr>
        <w:tc>
          <w:tcPr>
            <w:tcW w:type="dxa" w:w="510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</w:t>
            </w:r>
          </w:p>
        </w:tc>
        <w:tc>
          <w:tcPr>
            <w:tcW w:type="dxa" w:w="510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</w:t>
            </w:r>
          </w:p>
        </w:tc>
      </w:tr>
      <w:tr>
        <w:tc>
          <w:tcPr>
            <w:tcW w:type="dxa" w:w="510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Синтетична клетка / Synthetic cell / Синтетическая ячейка</w:t>
            </w:r>
          </w:p>
        </w:tc>
        <w:tc>
          <w:tcPr>
            <w:tcW w:type="dxa" w:w="510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</w:r>
          </w:p>
        </w:tc>
      </w:tr>
    </w:tbl>
    <w:p>
      <w:pPr>
        <w:spacing w:after="113"/>
      </w:pPr>
    </w:p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183153"/>
          <w:sz w:val="32"/>
        </w:rPr>
        <w:t>Заглавие</w:t>
      </w:r>
    </w:p>
    <w:p>
      <w:pPr>
        <w:widowControl/>
        <w:spacing w:after="113" w:before="0"/>
        <w:ind w:left="0" w:right="7937"/>
        <w:jc w:val="left"/>
        <w:pBdr>
          <w:bottom w:val="single" w:sz="4" w:color="183153"/>
        </w:pBdr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2268"/>
      </w:tblGrid>
      <w:tr>
        <w:trPr>
          <w:trHeight w:val="1134" w:hRule="atLeast"/>
        </w:trPr>
        <w:tc>
          <w:tcPr>
            <w:tcW w:type="dxa" w:w="226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</w:r>
          </w:p>
        </w:tc>
      </w:tr>
    </w:tbl>
    <w:p>
      <w:pPr>
        <w:spacing w:after="113"/>
      </w:pPr>
    </w:p>
    <w:p>
      <w:pPr>
        <w:widowControl/>
        <w:spacing w:after="113" w:before="0"/>
        <w:ind w:left="0" w:right="0"/>
        <w:jc w:val="left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Arial" w:hAnsi="Arial" w:eastAsia="Arial"/>
          <w:b/>
          <w:sz w:val="18"/>
        </w:rPr>
        <w:t>Редове без запазена визуална препратка</w:t>
      </w:r>
    </w:p>
    <w:p>
      <w:pPr>
        <w:spacing w:after="40"/>
      </w:pPr>
      <w:r>
        <w:rPr>
          <w:rFonts w:ascii="Arial" w:hAnsi="Arial" w:eastAsia="Arial"/>
          <w:b w:val="0"/>
          <w:sz w:val="16"/>
        </w:rPr>
        <w:t>Ред 1: Редът няма потвърдена връзка с каталог и визуален източник.</w:t>
      </w:r>
    </w:p>
    <w:sectPr w:rsidR="00FC693F" w:rsidRPr="0006063C" w:rsidSect="00034616">
      <w:footerReference w:type="default" r:id="rId11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 w:before="0"/>
      <w:ind w:left="0" w:right="0"/>
      <w:jc w:val="left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