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2.png" ContentType="image/png"/>
  <Override PartName="/word/media/rId51.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IntelliTradeAI:</w:t>
      </w:r>
      <w:r>
        <w:t xml:space="preserve"> </w:t>
      </w:r>
      <w:r>
        <w:t xml:space="preserve">A</w:t>
      </w:r>
      <w:r>
        <w:t xml:space="preserve"> </w:t>
      </w:r>
      <w:r>
        <w:t xml:space="preserve">Tri-Signal</w:t>
      </w:r>
      <w:r>
        <w:t xml:space="preserve"> </w:t>
      </w:r>
      <w:r>
        <w:t xml:space="preserve">Fusion</w:t>
      </w:r>
      <w:r>
        <w:t xml:space="preserve"> </w:t>
      </w:r>
      <w:r>
        <w:t xml:space="preserve">Framework</w:t>
      </w:r>
      <w:r>
        <w:t xml:space="preserve"> </w:t>
      </w:r>
      <w:r>
        <w:t xml:space="preserve">for</w:t>
      </w:r>
      <w:r>
        <w:t xml:space="preserve"> </w:t>
      </w:r>
      <w:r>
        <w:t xml:space="preserve">Explainable</w:t>
      </w:r>
      <w:r>
        <w:t xml:space="preserve"> </w:t>
      </w:r>
      <w:r>
        <w:t xml:space="preserve">AI-Powered</w:t>
      </w:r>
      <w:r>
        <w:t xml:space="preserve"> </w:t>
      </w:r>
      <w:r>
        <w:t xml:space="preserve">Financial</w:t>
      </w:r>
      <w:r>
        <w:t xml:space="preserve"> </w:t>
      </w:r>
      <w:r>
        <w:t xml:space="preserve">Market</w:t>
      </w:r>
      <w:r>
        <w:t xml:space="preserve"> </w:t>
      </w:r>
      <w:r>
        <w:t xml:space="preserve">Prediction</w:t>
      </w:r>
    </w:p>
    <w:p>
      <w:pPr>
        <w:pStyle w:val="AbstractTitle"/>
      </w:pPr>
      <w:r>
        <w:t xml:space="preserve">Abstract</w:t>
      </w:r>
    </w:p>
    <w:p>
      <w:pPr>
        <w:pStyle w:val="Abstract"/>
      </w:pPr>
      <w:r>
        <w:t xml:space="preserve">The</w:t>
      </w:r>
      <w:r>
        <w:t xml:space="preserve"> </w:t>
      </w:r>
      <w:r>
        <w:t xml:space="preserve">increasing</w:t>
      </w:r>
      <w:r>
        <w:t xml:space="preserve"> </w:t>
      </w:r>
      <w:r>
        <w:t xml:space="preserve">complexity</w:t>
      </w:r>
      <w:r>
        <w:t xml:space="preserve"> </w:t>
      </w:r>
      <w:r>
        <w:t xml:space="preserve">of</w:t>
      </w:r>
      <w:r>
        <w:t xml:space="preserve"> </w:t>
      </w:r>
      <w:r>
        <w:t xml:space="preserve">financial</w:t>
      </w:r>
      <w:r>
        <w:t xml:space="preserve"> </w:t>
      </w:r>
      <w:r>
        <w:t xml:space="preserve">markets</w:t>
      </w:r>
      <w:r>
        <w:t xml:space="preserve"> </w:t>
      </w:r>
      <w:r>
        <w:t xml:space="preserve">demands</w:t>
      </w:r>
      <w:r>
        <w:t xml:space="preserve"> </w:t>
      </w:r>
      <w:r>
        <w:t xml:space="preserve">intelligent</w:t>
      </w:r>
      <w:r>
        <w:t xml:space="preserve"> </w:t>
      </w:r>
      <w:r>
        <w:t xml:space="preserve">systems</w:t>
      </w:r>
      <w:r>
        <w:t xml:space="preserve"> </w:t>
      </w:r>
      <w:r>
        <w:t xml:space="preserve">capable</w:t>
      </w:r>
      <w:r>
        <w:t xml:space="preserve"> </w:t>
      </w:r>
      <w:r>
        <w:t xml:space="preserve">of</w:t>
      </w:r>
      <w:r>
        <w:t xml:space="preserve"> </w:t>
      </w:r>
      <w:r>
        <w:t xml:space="preserve">processing</w:t>
      </w:r>
      <w:r>
        <w:t xml:space="preserve"> </w:t>
      </w:r>
      <w:r>
        <w:t xml:space="preserve">vast</w:t>
      </w:r>
      <w:r>
        <w:t xml:space="preserve"> </w:t>
      </w:r>
      <w:r>
        <w:t xml:space="preserve">amounts</w:t>
      </w:r>
      <w:r>
        <w:t xml:space="preserve"> </w:t>
      </w:r>
      <w:r>
        <w:t xml:space="preserve">of</w:t>
      </w:r>
      <w:r>
        <w:t xml:space="preserve"> </w:t>
      </w:r>
      <w:r>
        <w:t xml:space="preserve">data</w:t>
      </w:r>
      <w:r>
        <w:t xml:space="preserve"> </w:t>
      </w:r>
      <w:r>
        <w:t xml:space="preserve">while</w:t>
      </w:r>
      <w:r>
        <w:t xml:space="preserve"> </w:t>
      </w:r>
      <w:r>
        <w:t xml:space="preserve">providing</w:t>
      </w:r>
      <w:r>
        <w:t xml:space="preserve"> </w:t>
      </w:r>
      <w:r>
        <w:t xml:space="preserve">transparent</w:t>
      </w:r>
      <w:r>
        <w:t xml:space="preserve"> </w:t>
      </w:r>
      <w:r>
        <w:t xml:space="preserve">decision-making.</w:t>
      </w:r>
      <w:r>
        <w:t xml:space="preserve"> </w:t>
      </w:r>
      <w:r>
        <w:t xml:space="preserve">This</w:t>
      </w:r>
      <w:r>
        <w:t xml:space="preserve"> </w:t>
      </w:r>
      <w:r>
        <w:t xml:space="preserve">paper</w:t>
      </w:r>
      <w:r>
        <w:t xml:space="preserve"> </w:t>
      </w:r>
      <w:r>
        <w:t xml:space="preserve">presents</w:t>
      </w:r>
      <w:r>
        <w:t xml:space="preserve"> </w:t>
      </w:r>
      <w:r>
        <w:t xml:space="preserve">IntelliTradeAI,</w:t>
      </w:r>
      <w:r>
        <w:t xml:space="preserve"> </w:t>
      </w:r>
      <w:r>
        <w:t xml:space="preserve">an</w:t>
      </w:r>
      <w:r>
        <w:t xml:space="preserve"> </w:t>
      </w:r>
      <w:r>
        <w:t xml:space="preserve">AI-powered</w:t>
      </w:r>
      <w:r>
        <w:t xml:space="preserve"> </w:t>
      </w:r>
      <w:r>
        <w:t xml:space="preserve">trading</w:t>
      </w:r>
      <w:r>
        <w:t xml:space="preserve"> </w:t>
      </w:r>
      <w:r>
        <w:t xml:space="preserve">agent</w:t>
      </w:r>
      <w:r>
        <w:t xml:space="preserve"> </w:t>
      </w:r>
      <w:r>
        <w:t xml:space="preserve">that</w:t>
      </w:r>
      <w:r>
        <w:t xml:space="preserve"> </w:t>
      </w:r>
      <w:r>
        <w:t xml:space="preserve">combines</w:t>
      </w:r>
      <w:r>
        <w:t xml:space="preserve"> </w:t>
      </w:r>
      <w:r>
        <w:t xml:space="preserve">machine</w:t>
      </w:r>
      <w:r>
        <w:t xml:space="preserve"> </w:t>
      </w:r>
      <w:r>
        <w:t xml:space="preserve">learning</w:t>
      </w:r>
      <w:r>
        <w:t xml:space="preserve"> </w:t>
      </w:r>
      <w:r>
        <w:t xml:space="preserve">ensemble</w:t>
      </w:r>
      <w:r>
        <w:t xml:space="preserve"> </w:t>
      </w:r>
      <w:r>
        <w:t xml:space="preserve">methods</w:t>
      </w:r>
      <w:r>
        <w:t xml:space="preserve"> </w:t>
      </w:r>
      <w:r>
        <w:t xml:space="preserve">with</w:t>
      </w:r>
      <w:r>
        <w:t xml:space="preserve"> </w:t>
      </w:r>
      <w:r>
        <w:t xml:space="preserve">pattern</w:t>
      </w:r>
      <w:r>
        <w:t xml:space="preserve"> </w:t>
      </w:r>
      <w:r>
        <w:t xml:space="preserve">recognition</w:t>
      </w:r>
      <w:r>
        <w:t xml:space="preserve"> </w:t>
      </w:r>
      <w:r>
        <w:t xml:space="preserve">and</w:t>
      </w:r>
      <w:r>
        <w:t xml:space="preserve"> </w:t>
      </w:r>
      <w:r>
        <w:t xml:space="preserve">news</w:t>
      </w:r>
      <w:r>
        <w:t xml:space="preserve"> </w:t>
      </w:r>
      <w:r>
        <w:t xml:space="preserve">intelligence</w:t>
      </w:r>
      <w:r>
        <w:t xml:space="preserve"> </w:t>
      </w:r>
      <w:r>
        <w:t xml:space="preserve">through</w:t>
      </w:r>
      <w:r>
        <w:t xml:space="preserve"> </w:t>
      </w:r>
      <w:r>
        <w:t xml:space="preserve">a</w:t>
      </w:r>
      <w:r>
        <w:t xml:space="preserve"> </w:t>
      </w:r>
      <w:r>
        <w:t xml:space="preserve">novel</w:t>
      </w:r>
      <w:r>
        <w:t xml:space="preserve"> </w:t>
      </w:r>
      <w:r>
        <w:t xml:space="preserve">tri-signal</w:t>
      </w:r>
      <w:r>
        <w:t xml:space="preserve"> </w:t>
      </w:r>
      <w:r>
        <w:t xml:space="preserve">fusion</w:t>
      </w:r>
      <w:r>
        <w:t xml:space="preserve"> </w:t>
      </w:r>
      <w:r>
        <w:t xml:space="preserve">architecture.</w:t>
      </w:r>
      <w:r>
        <w:t xml:space="preserve"> </w:t>
      </w:r>
      <w:r>
        <w:t xml:space="preserve">The</w:t>
      </w:r>
      <w:r>
        <w:t xml:space="preserve"> </w:t>
      </w:r>
      <w:r>
        <w:t xml:space="preserve">system</w:t>
      </w:r>
      <w:r>
        <w:t xml:space="preserve"> </w:t>
      </w:r>
      <w:r>
        <w:t xml:space="preserve">employs</w:t>
      </w:r>
      <w:r>
        <w:t xml:space="preserve"> </w:t>
      </w:r>
      <w:r>
        <w:t xml:space="preserve">a</w:t>
      </w:r>
      <w:r>
        <w:t xml:space="preserve"> </w:t>
      </w:r>
      <w:r>
        <w:t xml:space="preserve">stacking</w:t>
      </w:r>
      <w:r>
        <w:t xml:space="preserve"> </w:t>
      </w:r>
      <w:r>
        <w:t xml:space="preserve">ensemble</w:t>
      </w:r>
      <w:r>
        <w:t xml:space="preserve"> </w:t>
      </w:r>
      <w:r>
        <w:t xml:space="preserve">combining</w:t>
      </w:r>
      <w:r>
        <w:t xml:space="preserve"> </w:t>
      </w:r>
      <w:r>
        <w:t xml:space="preserve">enhanced</w:t>
      </w:r>
      <w:r>
        <w:t xml:space="preserve"> </w:t>
      </w:r>
      <w:r>
        <w:t xml:space="preserve">bidirectional</w:t>
      </w:r>
      <w:r>
        <w:t xml:space="preserve"> </w:t>
      </w:r>
      <w:r>
        <w:t xml:space="preserve">LSTM,</w:t>
      </w:r>
      <w:r>
        <w:t xml:space="preserve"> </w:t>
      </w:r>
      <w:r>
        <w:t xml:space="preserve">Random</w:t>
      </w:r>
      <w:r>
        <w:t xml:space="preserve"> </w:t>
      </w:r>
      <w:r>
        <w:t xml:space="preserve">Forest,</w:t>
      </w:r>
      <w:r>
        <w:t xml:space="preserve"> </w:t>
      </w:r>
      <w:r>
        <w:t xml:space="preserve">XGBoost,</w:t>
      </w:r>
      <w:r>
        <w:t xml:space="preserve"> </w:t>
      </w:r>
      <w:r>
        <w:t xml:space="preserve">and</w:t>
      </w:r>
      <w:r>
        <w:t xml:space="preserve"> </w:t>
      </w:r>
      <w:r>
        <w:t xml:space="preserve">LightGBM</w:t>
      </w:r>
      <w:r>
        <w:t xml:space="preserve"> </w:t>
      </w:r>
      <w:r>
        <w:t xml:space="preserve">classifiers</w:t>
      </w:r>
      <w:r>
        <w:t xml:space="preserve"> </w:t>
      </w:r>
      <w:r>
        <w:t xml:space="preserve">with</w:t>
      </w:r>
      <w:r>
        <w:t xml:space="preserve"> </w:t>
      </w:r>
      <w:r>
        <w:t xml:space="preserve">a</w:t>
      </w:r>
      <w:r>
        <w:t xml:space="preserve"> </w:t>
      </w:r>
      <w:r>
        <w:t xml:space="preserve">logistic</w:t>
      </w:r>
      <w:r>
        <w:t xml:space="preserve"> </w:t>
      </w:r>
      <w:r>
        <w:t xml:space="preserve">regression</w:t>
      </w:r>
      <w:r>
        <w:t xml:space="preserve"> </w:t>
      </w:r>
      <w:r>
        <w:t xml:space="preserve">meta-learner,</w:t>
      </w:r>
      <w:r>
        <w:t xml:space="preserve"> </w:t>
      </w:r>
      <w:r>
        <w:t xml:space="preserve">trained</w:t>
      </w:r>
      <w:r>
        <w:t xml:space="preserve"> </w:t>
      </w:r>
      <w:r>
        <w:t xml:space="preserve">on</w:t>
      </w:r>
      <w:r>
        <w:t xml:space="preserve"> </w:t>
      </w:r>
      <w:r>
        <w:t xml:space="preserve">70</w:t>
      </w:r>
      <w:r>
        <w:t xml:space="preserve"> </w:t>
      </w:r>
      <w:r>
        <w:t xml:space="preserve">engineered</w:t>
      </w:r>
      <w:r>
        <w:t xml:space="preserve"> </w:t>
      </w:r>
      <w:r>
        <w:t xml:space="preserve">technical</w:t>
      </w:r>
      <w:r>
        <w:t xml:space="preserve"> </w:t>
      </w:r>
      <w:r>
        <w:t xml:space="preserve">indicators</w:t>
      </w:r>
      <w:r>
        <w:t xml:space="preserve"> </w:t>
      </w:r>
      <w:r>
        <w:t xml:space="preserve">to</w:t>
      </w:r>
      <w:r>
        <w:t xml:space="preserve"> </w:t>
      </w:r>
      <w:r>
        <w:t xml:space="preserve">generate</w:t>
      </w:r>
      <w:r>
        <w:t xml:space="preserve"> </w:t>
      </w:r>
      <w:r>
        <w:t xml:space="preserve">BUY/SELL/HOLD</w:t>
      </w:r>
      <w:r>
        <w:t xml:space="preserve"> </w:t>
      </w:r>
      <w:r>
        <w:t xml:space="preserve">signals</w:t>
      </w:r>
      <w:r>
        <w:t xml:space="preserve"> </w:t>
      </w:r>
      <w:r>
        <w:t xml:space="preserve">for</w:t>
      </w:r>
      <w:r>
        <w:t xml:space="preserve"> </w:t>
      </w:r>
      <w:r>
        <w:t xml:space="preserve">cryptocurrencies</w:t>
      </w:r>
      <w:r>
        <w:t xml:space="preserve"> </w:t>
      </w:r>
      <w:r>
        <w:t xml:space="preserve">and</w:t>
      </w:r>
      <w:r>
        <w:t xml:space="preserve"> </w:t>
      </w:r>
      <w:r>
        <w:t xml:space="preserve">stocks.</w:t>
      </w:r>
      <w:r>
        <w:t xml:space="preserve"> </w:t>
      </w:r>
      <w:r>
        <w:t xml:space="preserve">Using</w:t>
      </w:r>
      <w:r>
        <w:t xml:space="preserve"> </w:t>
      </w:r>
      <w:r>
        <w:t xml:space="preserve">Synthetic</w:t>
      </w:r>
      <w:r>
        <w:t xml:space="preserve"> </w:t>
      </w:r>
      <w:r>
        <w:t xml:space="preserve">Minority</w:t>
      </w:r>
      <w:r>
        <w:t xml:space="preserve"> </w:t>
      </w:r>
      <w:r>
        <w:t xml:space="preserve">Over-sampling</w:t>
      </w:r>
      <w:r>
        <w:t xml:space="preserve"> </w:t>
      </w:r>
      <w:r>
        <w:t xml:space="preserve">Technique</w:t>
      </w:r>
      <w:r>
        <w:t xml:space="preserve"> </w:t>
      </w:r>
      <w:r>
        <w:t xml:space="preserve">(SMOTE)</w:t>
      </w:r>
      <w:r>
        <w:t xml:space="preserve"> </w:t>
      </w:r>
      <w:r>
        <w:t xml:space="preserve">for</w:t>
      </w:r>
      <w:r>
        <w:t xml:space="preserve"> </w:t>
      </w:r>
      <w:r>
        <w:t xml:space="preserve">class</w:t>
      </w:r>
      <w:r>
        <w:t xml:space="preserve"> </w:t>
      </w:r>
      <w:r>
        <w:t xml:space="preserve">balancing,</w:t>
      </w:r>
      <w:r>
        <w:t xml:space="preserve"> </w:t>
      </w:r>
      <w:r>
        <w:t xml:space="preserve">time-series</w:t>
      </w:r>
      <w:r>
        <w:t xml:space="preserve"> </w:t>
      </w:r>
      <w:r>
        <w:t xml:space="preserve">cross-validation</w:t>
      </w:r>
      <w:r>
        <w:t xml:space="preserve"> </w:t>
      </w:r>
      <w:r>
        <w:t xml:space="preserve">to</w:t>
      </w:r>
      <w:r>
        <w:t xml:space="preserve"> </w:t>
      </w:r>
      <w:r>
        <w:t xml:space="preserve">prevent</w:t>
      </w:r>
      <w:r>
        <w:t xml:space="preserve"> </w:t>
      </w:r>
      <w:r>
        <w:t xml:space="preserve">data</w:t>
      </w:r>
      <w:r>
        <w:t xml:space="preserve"> </w:t>
      </w:r>
      <w:r>
        <w:t xml:space="preserve">leakage,</w:t>
      </w:r>
      <w:r>
        <w:t xml:space="preserve"> </w:t>
      </w:r>
      <w:r>
        <w:t xml:space="preserve">and</w:t>
      </w:r>
      <w:r>
        <w:t xml:space="preserve"> </w:t>
      </w:r>
      <w:r>
        <w:t xml:space="preserve">Bayesian</w:t>
      </w:r>
      <w:r>
        <w:t xml:space="preserve"> </w:t>
      </w:r>
      <w:r>
        <w:t xml:space="preserve">hyperparameter</w:t>
      </w:r>
      <w:r>
        <w:t xml:space="preserve"> </w:t>
      </w:r>
      <w:r>
        <w:t xml:space="preserve">optimization,</w:t>
      </w:r>
      <w:r>
        <w:t xml:space="preserve"> </w:t>
      </w:r>
      <w:r>
        <w:t xml:space="preserve">we</w:t>
      </w:r>
      <w:r>
        <w:t xml:space="preserve"> </w:t>
      </w:r>
      <w:r>
        <w:t xml:space="preserve">achieve</w:t>
      </w:r>
      <w:r>
        <w:t xml:space="preserve"> </w:t>
      </w:r>
      <w:r>
        <w:t xml:space="preserve">prediction</w:t>
      </w:r>
      <w:r>
        <w:t xml:space="preserve"> </w:t>
      </w:r>
      <w:r>
        <w:t xml:space="preserve">accuracy</w:t>
      </w:r>
      <w:r>
        <w:t xml:space="preserve"> </w:t>
      </w:r>
      <w:r>
        <w:t xml:space="preserve">of</w:t>
      </w:r>
      <w:r>
        <w:t xml:space="preserve"> </w:t>
      </w:r>
      <w:r>
        <w:t xml:space="preserve">73.4%</w:t>
      </w:r>
      <w:r>
        <w:t xml:space="preserve"> </w:t>
      </w:r>
      <w:r>
        <w:t xml:space="preserve">for</w:t>
      </w:r>
      <w:r>
        <w:t xml:space="preserve"> </w:t>
      </w:r>
      <w:r>
        <w:t xml:space="preserve">cryptocurrency</w:t>
      </w:r>
      <w:r>
        <w:t xml:space="preserve"> </w:t>
      </w:r>
      <w:r>
        <w:t xml:space="preserve">markets</w:t>
      </w:r>
      <w:r>
        <w:t xml:space="preserve"> </w:t>
      </w:r>
      <w:r>
        <w:t xml:space="preserve">and</w:t>
      </w:r>
      <w:r>
        <w:t xml:space="preserve"> </w:t>
      </w:r>
      <w:r>
        <w:t xml:space="preserve">75.8%</w:t>
      </w:r>
      <w:r>
        <w:t xml:space="preserve"> </w:t>
      </w:r>
      <w:r>
        <w:t xml:space="preserve">for</w:t>
      </w:r>
      <w:r>
        <w:t xml:space="preserve"> </w:t>
      </w:r>
      <w:r>
        <w:t xml:space="preserve">stock</w:t>
      </w:r>
      <w:r>
        <w:t xml:space="preserve"> </w:t>
      </w:r>
      <w:r>
        <w:t xml:space="preserve">markets,</w:t>
      </w:r>
      <w:r>
        <w:t xml:space="preserve"> </w:t>
      </w:r>
      <w:r>
        <w:t xml:space="preserve">with</w:t>
      </w:r>
      <w:r>
        <w:t xml:space="preserve"> </w:t>
      </w:r>
      <w:r>
        <w:t xml:space="preserve">the</w:t>
      </w:r>
      <w:r>
        <w:t xml:space="preserve"> </w:t>
      </w:r>
      <w:r>
        <w:t xml:space="preserve">tri-signal</w:t>
      </w:r>
      <w:r>
        <w:t xml:space="preserve"> </w:t>
      </w:r>
      <w:r>
        <w:t xml:space="preserve">fusion</w:t>
      </w:r>
      <w:r>
        <w:t xml:space="preserve"> </w:t>
      </w:r>
      <w:r>
        <w:t xml:space="preserve">approach</w:t>
      </w:r>
      <w:r>
        <w:t xml:space="preserve"> </w:t>
      </w:r>
      <w:r>
        <w:t xml:space="preserve">improving</w:t>
      </w:r>
      <w:r>
        <w:t xml:space="preserve"> </w:t>
      </w:r>
      <w:r>
        <w:t xml:space="preserve">standalone</w:t>
      </w:r>
      <w:r>
        <w:t xml:space="preserve"> </w:t>
      </w:r>
      <w:r>
        <w:t xml:space="preserve">ML</w:t>
      </w:r>
      <w:r>
        <w:t xml:space="preserve"> </w:t>
      </w:r>
      <w:r>
        <w:t xml:space="preserve">accuracy</w:t>
      </w:r>
      <w:r>
        <w:t xml:space="preserve"> </w:t>
      </w:r>
      <w:r>
        <w:t xml:space="preserve">by</w:t>
      </w:r>
      <w:r>
        <w:t xml:space="preserve"> </w:t>
      </w:r>
      <w:r>
        <w:t xml:space="preserve">8.2</w:t>
      </w:r>
      <w:r>
        <w:t xml:space="preserve"> </w:t>
      </w:r>
      <w:r>
        <w:t xml:space="preserve">percentage</w:t>
      </w:r>
      <w:r>
        <w:t xml:space="preserve"> </w:t>
      </w:r>
      <w:r>
        <w:t xml:space="preserve">points</w:t>
      </w:r>
      <w:r>
        <w:t xml:space="preserve"> </w:t>
      </w:r>
      <w:r>
        <w:t xml:space="preserve">(12.6%</w:t>
      </w:r>
      <w:r>
        <w:t xml:space="preserve"> </w:t>
      </w:r>
      <w:r>
        <w:t xml:space="preserve">relative</w:t>
      </w:r>
      <w:r>
        <w:t xml:space="preserve"> </w:t>
      </w:r>
      <w:r>
        <w:t xml:space="preserve">improvement).</w:t>
      </w:r>
      <w:r>
        <w:t xml:space="preserve"> </w:t>
      </w:r>
      <w:r>
        <w:t xml:space="preserve">The</w:t>
      </w:r>
      <w:r>
        <w:t xml:space="preserve"> </w:t>
      </w:r>
      <w:r>
        <w:t xml:space="preserve">system</w:t>
      </w:r>
      <w:r>
        <w:t xml:space="preserve"> </w:t>
      </w:r>
      <w:r>
        <w:t xml:space="preserve">incorporates</w:t>
      </w:r>
      <w:r>
        <w:t xml:space="preserve"> </w:t>
      </w:r>
      <w:r>
        <w:t xml:space="preserve">explainable</w:t>
      </w:r>
      <w:r>
        <w:t xml:space="preserve"> </w:t>
      </w:r>
      <w:r>
        <w:t xml:space="preserve">AI</w:t>
      </w:r>
      <w:r>
        <w:t xml:space="preserve"> </w:t>
      </w:r>
      <w:r>
        <w:t xml:space="preserve">through</w:t>
      </w:r>
      <w:r>
        <w:t xml:space="preserve"> </w:t>
      </w:r>
      <w:r>
        <w:t xml:space="preserve">SHAP</w:t>
      </w:r>
      <w:r>
        <w:t xml:space="preserve"> </w:t>
      </w:r>
      <w:r>
        <w:t xml:space="preserve">analysis</w:t>
      </w:r>
      <w:r>
        <w:t xml:space="preserve"> </w:t>
      </w:r>
      <w:r>
        <w:t xml:space="preserve">and</w:t>
      </w:r>
      <w:r>
        <w:t xml:space="preserve"> </w:t>
      </w:r>
      <w:r>
        <w:t xml:space="preserve">SEC-compliant</w:t>
      </w:r>
      <w:r>
        <w:t xml:space="preserve"> </w:t>
      </w:r>
      <w:r>
        <w:t xml:space="preserve">risk</w:t>
      </w:r>
      <w:r>
        <w:t xml:space="preserve"> </w:t>
      </w:r>
      <w:r>
        <w:t xml:space="preserve">disclosures,</w:t>
      </w:r>
      <w:r>
        <w:t xml:space="preserve"> </w:t>
      </w:r>
      <w:r>
        <w:t xml:space="preserve">addressing</w:t>
      </w:r>
      <w:r>
        <w:t xml:space="preserve"> </w:t>
      </w:r>
      <w:r>
        <w:t xml:space="preserve">the</w:t>
      </w:r>
      <w:r>
        <w:t xml:space="preserve"> </w:t>
      </w:r>
      <w:r>
        <w:t xml:space="preserve">critical</w:t>
      </w:r>
      <w:r>
        <w:t xml:space="preserve"> </w:t>
      </w:r>
      <w:r>
        <w:t xml:space="preserve">need</w:t>
      </w:r>
      <w:r>
        <w:t xml:space="preserve"> </w:t>
      </w:r>
      <w:r>
        <w:t xml:space="preserve">for</w:t>
      </w:r>
      <w:r>
        <w:t xml:space="preserve"> </w:t>
      </w:r>
      <w:r>
        <w:t xml:space="preserve">transparency</w:t>
      </w:r>
      <w:r>
        <w:t xml:space="preserve"> </w:t>
      </w:r>
      <w:r>
        <w:t xml:space="preserve">in</w:t>
      </w:r>
      <w:r>
        <w:t xml:space="preserve"> </w:t>
      </w:r>
      <w:r>
        <w:t xml:space="preserve">algorithmic</w:t>
      </w:r>
      <w:r>
        <w:t xml:space="preserve"> </w:t>
      </w:r>
      <w:r>
        <w:t xml:space="preserve">trading.</w:t>
      </w:r>
      <w:r>
        <w:t xml:space="preserve"> </w:t>
      </w:r>
      <w:r>
        <w:t xml:space="preserve">Our</w:t>
      </w:r>
      <w:r>
        <w:t xml:space="preserve"> </w:t>
      </w:r>
      <w:r>
        <w:t xml:space="preserve">contribution</w:t>
      </w:r>
      <w:r>
        <w:t xml:space="preserve"> </w:t>
      </w:r>
      <w:r>
        <w:t xml:space="preserve">includes</w:t>
      </w:r>
      <w:r>
        <w:t xml:space="preserve"> </w:t>
      </w:r>
      <w:r>
        <w:t xml:space="preserve">a</w:t>
      </w:r>
      <w:r>
        <w:t xml:space="preserve"> </w:t>
      </w:r>
      <w:r>
        <w:t xml:space="preserve">comprehensive</w:t>
      </w:r>
      <w:r>
        <w:t xml:space="preserve"> </w:t>
      </w:r>
      <w:r>
        <w:t xml:space="preserve">backtesting</w:t>
      </w:r>
      <w:r>
        <w:t xml:space="preserve"> </w:t>
      </w:r>
      <w:r>
        <w:t xml:space="preserve">framework,</w:t>
      </w:r>
      <w:r>
        <w:t xml:space="preserve"> </w:t>
      </w:r>
      <w:r>
        <w:t xml:space="preserve">personalized</w:t>
      </w:r>
      <w:r>
        <w:t xml:space="preserve"> </w:t>
      </w:r>
      <w:r>
        <w:t xml:space="preserve">risk-based</w:t>
      </w:r>
      <w:r>
        <w:t xml:space="preserve"> </w:t>
      </w:r>
      <w:r>
        <w:t xml:space="preserve">trading</w:t>
      </w:r>
      <w:r>
        <w:t xml:space="preserve"> </w:t>
      </w:r>
      <w:r>
        <w:t xml:space="preserve">plans,</w:t>
      </w:r>
      <w:r>
        <w:t xml:space="preserve"> </w:t>
      </w:r>
      <w:r>
        <w:t xml:space="preserve">and</w:t>
      </w:r>
      <w:r>
        <w:t xml:space="preserve"> </w:t>
      </w:r>
      <w:r>
        <w:t xml:space="preserve">an</w:t>
      </w:r>
      <w:r>
        <w:t xml:space="preserve"> </w:t>
      </w:r>
      <w:r>
        <w:t xml:space="preserve">interactive</w:t>
      </w:r>
      <w:r>
        <w:t xml:space="preserve"> </w:t>
      </w:r>
      <w:r>
        <w:t xml:space="preserve">dashboard</w:t>
      </w:r>
      <w:r>
        <w:t xml:space="preserve"> </w:t>
      </w:r>
      <w:r>
        <w:t xml:space="preserve">supporting</w:t>
      </w:r>
      <w:r>
        <w:t xml:space="preserve"> </w:t>
      </w:r>
      <w:r>
        <w:t xml:space="preserve">both</w:t>
      </w:r>
      <w:r>
        <w:t xml:space="preserve"> </w:t>
      </w:r>
      <w:r>
        <w:t xml:space="preserve">manual</w:t>
      </w:r>
      <w:r>
        <w:t xml:space="preserve"> </w:t>
      </w:r>
      <w:r>
        <w:t xml:space="preserve">and</w:t>
      </w:r>
      <w:r>
        <w:t xml:space="preserve"> </w:t>
      </w:r>
      <w:r>
        <w:t xml:space="preserve">automated</w:t>
      </w:r>
      <w:r>
        <w:t xml:space="preserve"> </w:t>
      </w:r>
      <w:r>
        <w:t xml:space="preserve">trading</w:t>
      </w:r>
      <w:r>
        <w:t xml:space="preserve"> </w:t>
      </w:r>
      <w:r>
        <w:t xml:space="preserve">modes.</w:t>
      </w:r>
      <w:r>
        <w:t xml:space="preserve"> </w:t>
      </w:r>
      <w:r>
        <w:t xml:space="preserve">Our</w:t>
      </w:r>
      <w:r>
        <w:t xml:space="preserve"> </w:t>
      </w:r>
      <w:r>
        <w:t xml:space="preserve">tool</w:t>
      </w:r>
      <w:r>
        <w:t xml:space="preserve"> </w:t>
      </w:r>
      <w:r>
        <w:t xml:space="preserve">is</w:t>
      </w:r>
      <w:r>
        <w:t xml:space="preserve"> </w:t>
      </w:r>
      <w:r>
        <w:t xml:space="preserve">freely</w:t>
      </w:r>
      <w:r>
        <w:t xml:space="preserve"> </w:t>
      </w:r>
      <w:r>
        <w:t xml:space="preserve">available</w:t>
      </w:r>
      <w:r>
        <w:t xml:space="preserve"> </w:t>
      </w:r>
      <w:r>
        <w:t xml:space="preserve">at</w:t>
      </w:r>
      <w:r>
        <w:t xml:space="preserve"> </w:t>
      </w:r>
      <w:r>
        <w:t xml:space="preserve">https://github.com/djedgar1018/IntelliTradeAI.</w:t>
      </w:r>
    </w:p>
    <w:p>
      <w:pPr>
        <w:pStyle w:val="FirstParagraph"/>
      </w:pPr>
      <w:r>
        <w:t xml:space="preserve">Signal Fusion, Explainable AI, Cryptocurrency, Stock Prediction, Ensemble Learning</w:t>
      </w:r>
    </w:p>
    <w:bookmarkStart w:id="23" w:name="introduction"/>
    <w:p>
      <w:pPr>
        <w:pStyle w:val="Heading1"/>
      </w:pPr>
      <w:r>
        <w:t xml:space="preserve">Introduction</w:t>
      </w:r>
    </w:p>
    <w:p>
      <w:pPr>
        <w:pStyle w:val="FirstParagraph"/>
      </w:pPr>
      <w:r>
        <w:t xml:space="preserve">The global financial markets have experienced unprecedented transformation through technological innovation, with algorithmic trading now accounting for over 70% of equity market volume in developed economies</w:t>
      </w:r>
      <w:r>
        <w:t xml:space="preserve"> </w:t>
      </w:r>
      <w:r>
        <w:t xml:space="preserve">. This shift has created both opportunities and challenges, as traditional investment strategies struggle to compete with the speed and data processing capabilities of automated systems</w:t>
      </w:r>
      <w:r>
        <w:t xml:space="preserve"> </w:t>
      </w:r>
      <w:r>
        <w:t xml:space="preserve">. The cryptocurrency market presents additional complexity through 24/7 trading, extreme volatility, and rapid information dissemination, with Bitcoin alone reaching a market capitalization exceeding $1 trillion in 2024</w:t>
      </w:r>
      <w:r>
        <w:t xml:space="preserve"> </w:t>
      </w:r>
      <w:r>
        <w:t xml:space="preserve">.</w:t>
      </w:r>
    </w:p>
    <w:bookmarkStart w:id="20" w:name="current-trends-in-ai-powered-trading"/>
    <w:p>
      <w:pPr>
        <w:pStyle w:val="Heading2"/>
      </w:pPr>
      <w:r>
        <w:t xml:space="preserve">Current Trends in AI-Powered Trading</w:t>
      </w:r>
    </w:p>
    <w:p>
      <w:pPr>
        <w:pStyle w:val="FirstParagraph"/>
      </w:pPr>
      <w:r>
        <w:t xml:space="preserve">Machine learning applications in finance have evolved significantly from simple rule-based systems to sophisticated deep learning architectures. Chen et al. demonstrated that ensemble methods combining multiple classifiers achieve superior performance in stock prediction tasks, with Random Forest models showing particular strength in handling noisy financial data</w:t>
      </w:r>
      <w:r>
        <w:t xml:space="preserve"> </w:t>
      </w:r>
      <w:r>
        <w:t xml:space="preserve">. The application of gradient boosting techniques, specifically XGBoost, has become prevalent due to its regularization capabilities and handling of missing values common in financial datasets</w:t>
      </w:r>
      <w:r>
        <w:t xml:space="preserve"> </w:t>
      </w:r>
      <w:r>
        <w:t xml:space="preserve">.</w:t>
      </w:r>
    </w:p>
    <w:p>
      <w:pPr>
        <w:pStyle w:val="BodyText"/>
      </w:pPr>
      <w:r>
        <w:t xml:space="preserve">Recent literature emphasizes the importance of multi-source signal integration. Jiang and Liang proposed fusion architectures that combine technical indicators with sentiment analysis, achieving 12% improvement over single-source models</w:t>
      </w:r>
      <w:r>
        <w:t xml:space="preserve"> </w:t>
      </w:r>
      <w:r>
        <w:t xml:space="preserve">. Similarly, Patterson and Koller showed that pattern recognition algorithms, when combined with machine learning predictions, reduce false signal rates by 15-20%</w:t>
      </w:r>
      <w:r>
        <w:t xml:space="preserve"> </w:t>
      </w:r>
      <w:r>
        <w:t xml:space="preserve">.</w:t>
      </w:r>
    </w:p>
    <w:p>
      <w:pPr>
        <w:pStyle w:val="BodyText"/>
      </w:pPr>
      <w:r>
        <w:t xml:space="preserve">The emergence of explainable AI (XAI) in finance addresses regulatory concerns and user trust. SHapley Additive exPlanations (SHAP) values have become the standard for interpreting complex model predictions, with Lundberg and Lee demonstrating that SHAP provides locally accurate, consistent feature attributions that satisfy key theoretical properties including local accuracy, missingness, and consistency</w:t>
      </w:r>
      <w:r>
        <w:t xml:space="preserve"> </w:t>
      </w:r>
      <w:r>
        <w:t xml:space="preserve">. The U.S. Securities and Exchange Commission (SEC) and Financial Industry Regulatory Authority (FINRA) have increasingly emphasized the need for algorithmic transparency, with recent guidelines requiring clear disclosure of AI-driven investment recommendations</w:t>
      </w:r>
      <w:r>
        <w:t xml:space="preserve"> </w:t>
      </w:r>
      <w:r>
        <w:t xml:space="preserve">.</w:t>
      </w:r>
    </w:p>
    <w:bookmarkEnd w:id="20"/>
    <w:bookmarkStart w:id="21" w:name="existing-tools-and-platforms"/>
    <w:p>
      <w:pPr>
        <w:pStyle w:val="Heading2"/>
      </w:pPr>
      <w:r>
        <w:t xml:space="preserve">Existing Tools and Platforms</w:t>
      </w:r>
    </w:p>
    <w:p>
      <w:pPr>
        <w:pStyle w:val="FirstParagraph"/>
      </w:pPr>
      <w:r>
        <w:t xml:space="preserve">Current algorithmic trading platforms range from professional-grade solutions like Bloomberg Terminal and QuantConnect to retail-focused applications such as TradingView and Robinhood. These platforms typically offer either sophisticated analysis capabilities with steep learning curves or simplified interfaces with limited AI integration</w:t>
      </w:r>
      <w:r>
        <w:t xml:space="preserve"> </w:t>
      </w:r>
      <w:r>
        <w:t xml:space="preserve">. Academic research tools including Zipline, Backtrader, and TA-Lib provide technical analysis frameworks but lack real-time prediction capabilities</w:t>
      </w:r>
      <w:r>
        <w:t xml:space="preserve"> </w:t>
      </w:r>
      <w:r>
        <w:t xml:space="preserve">.</w:t>
      </w:r>
    </w:p>
    <w:p>
      <w:pPr>
        <w:pStyle w:val="BodyText"/>
      </w:pPr>
      <w:r>
        <w:t xml:space="preserve">Cryptocurrency-specific platforms have emerged to address the unique characteristics of digital asset markets. Tools like CoinGecko and CoinMarketCap provide market data aggregation, while exchanges offer basic trading bots with limited intelligence</w:t>
      </w:r>
      <w:r>
        <w:t xml:space="preserve"> </w:t>
      </w:r>
      <w:r>
        <w:t xml:space="preserve">. The integration of advanced ML models with cryptocurrency trading remains an active research area, with most existing solutions treating crypto and traditional markets as separate domains</w:t>
      </w:r>
      <w:r>
        <w:t xml:space="preserve"> </w:t>
      </w:r>
      <w:r>
        <w:t xml:space="preserve">.</w:t>
      </w:r>
    </w:p>
    <w:bookmarkEnd w:id="21"/>
    <w:bookmarkStart w:id="22" w:name="research-gap-and-contributions"/>
    <w:p>
      <w:pPr>
        <w:pStyle w:val="Heading2"/>
      </w:pPr>
      <w:r>
        <w:t xml:space="preserve">Research Gap and Contributions</w:t>
      </w:r>
    </w:p>
    <w:p>
      <w:pPr>
        <w:pStyle w:val="FirstParagraph"/>
      </w:pPr>
      <w:r>
        <w:t xml:space="preserve">Despite advances in individual components, significant gaps exist in creating unified systems that combine multiple signal sources with explainability and regulatory compliance. Current solutions typically suffer from: (1) reliance on single prediction methodologies vulnerable to market regime changes, (2) lack of transparent decision-making processes, (3) absence of personalized risk management, and (4) separation between cryptocurrency and stock market analysis</w:t>
      </w:r>
      <w:r>
        <w:t xml:space="preserve"> </w:t>
      </w:r>
      <w:r>
        <w:t xml:space="preserve">.</w:t>
      </w:r>
    </w:p>
    <w:p>
      <w:pPr>
        <w:pStyle w:val="BodyText"/>
      </w:pPr>
      <w:r>
        <w:t xml:space="preserve">This paper addresses these gaps through IntelliTradeAI, offering the following contributions:</w:t>
      </w:r>
    </w:p>
    <w:p>
      <w:pPr>
        <w:numPr>
          <w:ilvl w:val="0"/>
          <w:numId w:val="1001"/>
        </w:numPr>
      </w:pPr>
      <w:r>
        <w:rPr>
          <w:b/>
          <w:bCs/>
        </w:rPr>
        <w:t xml:space="preserve">Tri-Signal Fusion Architecture</w:t>
      </w:r>
      <w:r>
        <w:t xml:space="preserve">: A novel weighted voting mechanism combining ML ensemble predictions, chart pattern recognition, and news intelligence with smart conflict resolution.</w:t>
      </w:r>
    </w:p>
    <w:p>
      <w:pPr>
        <w:numPr>
          <w:ilvl w:val="0"/>
          <w:numId w:val="1001"/>
        </w:numPr>
      </w:pPr>
      <w:r>
        <w:rPr>
          <w:b/>
          <w:bCs/>
        </w:rPr>
        <w:t xml:space="preserve">Cross-Market Analysis</w:t>
      </w:r>
      <w:r>
        <w:t xml:space="preserve">: Unified framework supporting 100+ cryptocurrencies across 12 sectors and comprehensive stock market coverage including all 11 Global Industry Classification Standard (GICS) sectors</w:t>
      </w:r>
      <w:r>
        <w:t xml:space="preserve"> </w:t>
      </w:r>
      <w:r>
        <w:t xml:space="preserve">.</w:t>
      </w:r>
    </w:p>
    <w:p>
      <w:pPr>
        <w:numPr>
          <w:ilvl w:val="0"/>
          <w:numId w:val="1001"/>
        </w:numPr>
      </w:pPr>
      <w:r>
        <w:rPr>
          <w:b/>
          <w:bCs/>
        </w:rPr>
        <w:t xml:space="preserve">Explainable AI Integration</w:t>
      </w:r>
      <w:r>
        <w:t xml:space="preserve">: SHAP-based model interpretability with SEC-compliant risk disclosures and user-friendly explanations.</w:t>
      </w:r>
    </w:p>
    <w:p>
      <w:pPr>
        <w:numPr>
          <w:ilvl w:val="0"/>
          <w:numId w:val="1001"/>
        </w:numPr>
      </w:pPr>
      <w:r>
        <w:rPr>
          <w:b/>
          <w:bCs/>
        </w:rPr>
        <w:t xml:space="preserve">Personalized Trading Plans</w:t>
      </w:r>
      <w:r>
        <w:t xml:space="preserve">: Five-tier risk tolerance system (Conservative to Speculative) with customized asset allocation and options recommendations.</w:t>
      </w:r>
    </w:p>
    <w:p>
      <w:pPr>
        <w:numPr>
          <w:ilvl w:val="0"/>
          <w:numId w:val="1001"/>
        </w:numPr>
      </w:pPr>
      <w:r>
        <w:rPr>
          <w:b/>
          <w:bCs/>
        </w:rPr>
        <w:t xml:space="preserve">Interactive Dashboard</w:t>
      </w:r>
      <w:r>
        <w:t xml:space="preserve">: Real-time prediction interface with TradingView-style charts, automated execution capabilities, and hover-based educational tooltips.</w:t>
      </w:r>
    </w:p>
    <w:bookmarkEnd w:id="22"/>
    <w:bookmarkEnd w:id="23"/>
    <w:bookmarkStart w:id="27" w:name="related-work"/>
    <w:p>
      <w:pPr>
        <w:pStyle w:val="Heading1"/>
      </w:pPr>
      <w:r>
        <w:t xml:space="preserve">Related Work</w:t>
      </w:r>
    </w:p>
    <w:bookmarkStart w:id="24" w:name="machine-learning-in-financial-prediction"/>
    <w:p>
      <w:pPr>
        <w:pStyle w:val="Heading2"/>
      </w:pPr>
      <w:r>
        <w:t xml:space="preserve">Machine Learning in Financial Prediction</w:t>
      </w:r>
    </w:p>
    <w:p>
      <w:pPr>
        <w:pStyle w:val="FirstParagraph"/>
      </w:pPr>
      <w:r>
        <w:t xml:space="preserve">The application of machine learning to financial markets has a rich history spanning three decades. Lo and MacKinlay challenged the efficient market hypothesis through statistical pattern detection</w:t>
      </w:r>
      <w:r>
        <w:t xml:space="preserve"> </w:t>
      </w:r>
      <w:r>
        <w:t xml:space="preserve">. Modern approaches leverage deep learning architectures, with LSTM networks showing promise in capturing temporal dependencies in price series</w:t>
      </w:r>
      <w:r>
        <w:t xml:space="preserve"> </w:t>
      </w:r>
      <w:r>
        <w:t xml:space="preserve">.</w:t>
      </w:r>
    </w:p>
    <w:p>
      <w:pPr>
        <w:pStyle w:val="BodyText"/>
      </w:pPr>
      <w:r>
        <w:t xml:space="preserve">Fischer and Krauss conducted comprehensive experiments comparing various ML approaches for S&amp;P 500 prediction, finding that ensemble methods consistently outperformed individual classifiers</w:t>
      </w:r>
      <w:r>
        <w:t xml:space="preserve"> </w:t>
      </w:r>
      <w:r>
        <w:t xml:space="preserve">. The challenge of non-stationarity in financial data remains a central concern, addressed through techniques including rolling window training and online learning</w:t>
      </w:r>
      <w:r>
        <w:t xml:space="preserve"> </w:t>
      </w:r>
      <w:r>
        <w:t xml:space="preserve">.</w:t>
      </w:r>
    </w:p>
    <w:bookmarkEnd w:id="24"/>
    <w:bookmarkStart w:id="25" w:name="X55c80ab095e998e8e236192b1653846cacfae1b"/>
    <w:p>
      <w:pPr>
        <w:pStyle w:val="Heading2"/>
      </w:pPr>
      <w:r>
        <w:t xml:space="preserve">Technical Analysis and Pattern Recognition</w:t>
      </w:r>
    </w:p>
    <w:p>
      <w:pPr>
        <w:pStyle w:val="FirstParagraph"/>
      </w:pPr>
      <w:r>
        <w:t xml:space="preserve">Technical analysis, despite academic skepticism, remains widely practiced among traders. Academic validation has emerged through computational pattern recognition, with Leigh et al. demonstrating profitable trading strategies based on chart patterns</w:t>
      </w:r>
      <w:r>
        <w:t xml:space="preserve"> </w:t>
      </w:r>
      <w:r>
        <w:t xml:space="preserve">. The integration of traditional technical indicators (RSI, MACD, Bollinger Bands) with machine learning features has shown synergistic effects</w:t>
      </w:r>
      <w:r>
        <w:t xml:space="preserve"> </w:t>
      </w:r>
      <w:r>
        <w:t xml:space="preserve">.</w:t>
      </w:r>
    </w:p>
    <w:p>
      <w:pPr>
        <w:pStyle w:val="BodyText"/>
      </w:pPr>
      <w:r>
        <w:t xml:space="preserve">Recent work by Sezer et al. applied convolutional neural networks to candlestick chart images, achieving pattern recognition accuracy exceeding 75% for classical formations</w:t>
      </w:r>
      <w:r>
        <w:t xml:space="preserve"> </w:t>
      </w:r>
      <w:r>
        <w:t xml:space="preserve">.</w:t>
      </w:r>
    </w:p>
    <w:bookmarkEnd w:id="25"/>
    <w:bookmarkStart w:id="26" w:name="sentiment-analysis-and-news-integration"/>
    <w:p>
      <w:pPr>
        <w:pStyle w:val="Heading2"/>
      </w:pPr>
      <w:r>
        <w:t xml:space="preserve">Sentiment Analysis and News Integration</w:t>
      </w:r>
    </w:p>
    <w:p>
      <w:pPr>
        <w:pStyle w:val="FirstParagraph"/>
      </w:pPr>
      <w:r>
        <w:t xml:space="preserve">The impact of news and social media sentiment on financial markets has been extensively documented. Bollen et al. demonstrated that Twitter sentiment could predict stock market movements with 87.6% accuracy in directional change</w:t>
      </w:r>
      <w:r>
        <w:t xml:space="preserve"> </w:t>
      </w:r>
      <w:r>
        <w:t xml:space="preserve">. Cryptocurrency markets exhibit even stronger sensitivity to social media and news</w:t>
      </w:r>
      <w:r>
        <w:t xml:space="preserve"> </w:t>
      </w:r>
      <w:r>
        <w:t xml:space="preserve">. Recent advances in transformer-based NLP models, including FinBERT specifically trained on financial text, have improved sentiment classification accuracy to over 90%</w:t>
      </w:r>
      <w:r>
        <w:t xml:space="preserve"> </w:t>
      </w:r>
      <w:r>
        <w:t xml:space="preserve">.</w:t>
      </w:r>
    </w:p>
    <w:bookmarkEnd w:id="26"/>
    <w:bookmarkEnd w:id="27"/>
    <w:bookmarkStart w:id="41" w:name="methodology"/>
    <w:p>
      <w:pPr>
        <w:pStyle w:val="Heading1"/>
      </w:pPr>
      <w:r>
        <w:t xml:space="preserve">Methodology</w:t>
      </w:r>
    </w:p>
    <w:bookmarkStart w:id="31" w:name="system-architecture"/>
    <w:p>
      <w:pPr>
        <w:pStyle w:val="Heading2"/>
      </w:pPr>
      <w:r>
        <w:t xml:space="preserve">System Architecture</w:t>
      </w:r>
    </w:p>
    <w:p>
      <w:pPr>
        <w:pStyle w:val="FirstParagraph"/>
      </w:pPr>
      <w:r>
        <w:t xml:space="preserve">IntelliTradeAI employs a layered architecture consisting of five primary components as illustrated in Fig. </w:t>
      </w:r>
      <w:hyperlink w:anchor="fig:methodology">
        <w:r>
          <w:rPr>
            <w:rStyle w:val="Hyperlink"/>
          </w:rPr>
          <w:t xml:space="preserve">1</w:t>
        </w:r>
      </w:hyperlink>
      <w:r>
        <w:t xml:space="preserve">. The Data Ingestion Layer fetches market data from external APIs including Yahoo Finance for historical OHLCV data and CoinMarketCap for real-time cryptocurrency prices. The Feature Engineering Pipeline transforms raw price data into 70 technical indicators (see Table </w:t>
      </w:r>
      <w:hyperlink w:anchor="tab:features">
        <w:r>
          <w:rPr>
            <w:rStyle w:val="Hyperlink"/>
          </w:rPr>
          <w:t xml:space="preserve">1</w:t>
        </w:r>
      </w:hyperlink>
      <w:r>
        <w:t xml:space="preserve"> </w:t>
      </w:r>
      <w:r>
        <w:t xml:space="preserve">for breakdown). The Machine Learning Layer trains and deploys ensemble prediction models. The Tri-Signal Fusion Engine combines signal sources through weighted voting with conflict resolution. The Presentation Layer provides an interactive Streamlit-based dashboard.</w:t>
      </w:r>
    </w:p>
    <w:p>
      <w:pPr>
        <w:pStyle w:val="CaptionedFigure"/>
      </w:pPr>
      <w:r>
        <w:drawing>
          <wp:inline>
            <wp:extent cx="5334000" cy="3798483"/>
            <wp:effectExtent b="0" l="0" r="0" t="0"/>
            <wp:docPr descr="" title="" id="29" name="Picture"/>
            <a:graphic>
              <a:graphicData uri="http://schemas.openxmlformats.org/drawingml/2006/picture">
                <pic:pic>
                  <pic:nvPicPr>
                    <pic:cNvPr descr="fig1.png" id="30" name="Picture"/>
                    <pic:cNvPicPr>
                      <a:picLocks noChangeArrowheads="1" noChangeAspect="1"/>
                    </pic:cNvPicPr>
                  </pic:nvPicPr>
                  <pic:blipFill>
                    <a:blip r:embed="rId28"/>
                    <a:stretch>
                      <a:fillRect/>
                    </a:stretch>
                  </pic:blipFill>
                  <pic:spPr bwMode="auto">
                    <a:xfrm>
                      <a:off x="0" y="0"/>
                      <a:ext cx="5334000" cy="3798483"/>
                    </a:xfrm>
                    <a:prstGeom prst="rect">
                      <a:avLst/>
                    </a:prstGeom>
                    <a:noFill/>
                    <a:ln w="9525">
                      <a:noFill/>
                      <a:headEnd/>
                      <a:tailEnd/>
                    </a:ln>
                  </pic:spPr>
                </pic:pic>
              </a:graphicData>
            </a:graphic>
          </wp:inline>
        </w:drawing>
      </w:r>
    </w:p>
    <w:p>
      <w:pPr>
        <w:pStyle w:val="ImageCaption"/>
      </w:pPr>
      <w:r>
        <w:t xml:space="preserve">IntelliTradeAI system architecture and methodology flow diagram showing the data pipeline from ingestion through tri-signal fusion to final signal output.</w:t>
      </w:r>
    </w:p>
    <w:bookmarkEnd w:id="31"/>
    <w:bookmarkStart w:id="32" w:name="data-sources-and-preprocessing"/>
    <w:p>
      <w:pPr>
        <w:pStyle w:val="Heading2"/>
      </w:pPr>
      <w:r>
        <w:t xml:space="preserve">Data Sources and Preprocessing</w:t>
      </w:r>
    </w:p>
    <w:p>
      <w:pPr>
        <w:pStyle w:val="FirstParagraph"/>
      </w:pPr>
      <w:r>
        <w:t xml:space="preserve">Historical price data is obtained through Yahoo Finance API, providing up to 10 years of daily OHLCV data for both stocks and cryptocurrencies. Real-time cryptocurrency data is supplemented through CoinMarketCap API.</w:t>
      </w:r>
    </w:p>
    <w:p>
      <w:pPr>
        <w:pStyle w:val="BodyText"/>
      </w:pPr>
      <w:r>
        <w:t xml:space="preserve">Data preprocessing includes missing value handling through forward-fill interpolation, Z-score based outlier filtering removing data points exceeding 4 standard deviations, min-max scaling for feature normalization, and UTC standardization across all data sources.</w:t>
      </w:r>
    </w:p>
    <w:bookmarkEnd w:id="32"/>
    <w:bookmarkStart w:id="35" w:name="feature-engineering"/>
    <w:p>
      <w:pPr>
        <w:pStyle w:val="Heading2"/>
      </w:pPr>
      <w:r>
        <w:t xml:space="preserve">Feature Engineering</w:t>
      </w:r>
    </w:p>
    <w:p>
      <w:pPr>
        <w:pStyle w:val="FirstParagraph"/>
      </w:pPr>
      <w:r>
        <w:t xml:space="preserve">The feature engineering pipeline generates exactly 70 predictive features organized into seven categories as shown in Table </w:t>
      </w:r>
      <w:hyperlink w:anchor="tab:features">
        <w:r>
          <w:rPr>
            <w:rStyle w:val="Hyperlink"/>
          </w:rPr>
          <w:t xml:space="preserve">1</w:t>
        </w:r>
      </w:hyperlink>
      <w:r>
        <w:t xml:space="preserve">.</w:t>
      </w:r>
    </w:p>
    <w:bookmarkStart w:id="33" w:name="tab:features"/>
    <w:p>
      <w:pPr>
        <w:pStyle w:val="TableCaption"/>
      </w:pPr>
      <w:r>
        <w:t xml:space="preserve">Feature Categories and Descriptions</w:t>
      </w:r>
    </w:p>
    <w:tbl>
      <w:tblPr>
        <w:tblStyle w:val="Table"/>
        <w:tblW w:type="auto" w:w="0"/>
        <w:jc w:val="left"/>
        <w:tblLook w:firstRow="1" w:lastRow="0" w:firstColumn="0" w:lastColumn="0" w:noHBand="0" w:noVBand="0" w:val="0020"/>
        <w:tblCaption w:val="Feature Categories and Description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Features</w:t>
            </w:r>
          </w:p>
        </w:tc>
        <w:tc>
          <w:tcPr/>
          <w:p>
            <w:pPr>
              <w:pStyle w:val="Compact"/>
              <w:jc w:val="center"/>
            </w:pPr>
            <w:r>
              <w:rPr>
                <w:b/>
                <w:bCs/>
              </w:rPr>
              <w:t xml:space="preserve">Count</w:t>
            </w:r>
          </w:p>
        </w:tc>
      </w:tr>
      <w:tr>
        <w:tc>
          <w:tcPr/>
          <w:p>
            <w:pPr>
              <w:pStyle w:val="Compact"/>
              <w:jc w:val="left"/>
            </w:pPr>
            <w:r>
              <w:t xml:space="preserve">Price</w:t>
            </w:r>
          </w:p>
        </w:tc>
        <w:tc>
          <w:tcPr/>
          <w:p>
            <w:pPr>
              <w:pStyle w:val="Compact"/>
              <w:jc w:val="left"/>
            </w:pPr>
            <w:r>
              <w:t xml:space="preserve">OHLC values, daily returns, log returns</w:t>
            </w:r>
          </w:p>
        </w:tc>
        <w:tc>
          <w:tcPr/>
          <w:p>
            <w:pPr>
              <w:pStyle w:val="Compact"/>
              <w:jc w:val="center"/>
            </w:pPr>
            <w:r>
              <w:t xml:space="preserve">8</w:t>
            </w:r>
          </w:p>
        </w:tc>
      </w:tr>
      <w:tr>
        <w:tc>
          <w:tcPr/>
          <w:p>
            <w:pPr>
              <w:pStyle w:val="Compact"/>
              <w:jc w:val="left"/>
            </w:pPr>
            <w:r>
              <w:t xml:space="preserve">Volume</w:t>
            </w:r>
          </w:p>
        </w:tc>
        <w:tc>
          <w:tcPr/>
          <w:p>
            <w:pPr>
              <w:pStyle w:val="Compact"/>
              <w:jc w:val="left"/>
            </w:pPr>
            <w:r>
              <w:t xml:space="preserve">Raw volume, 20-day MA, OBV</w:t>
            </w:r>
          </w:p>
        </w:tc>
        <w:tc>
          <w:tcPr/>
          <w:p>
            <w:pPr>
              <w:pStyle w:val="Compact"/>
              <w:jc w:val="center"/>
            </w:pPr>
            <w:r>
              <w:t xml:space="preserve">5</w:t>
            </w:r>
          </w:p>
        </w:tc>
      </w:tr>
      <w:tr>
        <w:tc>
          <w:tcPr/>
          <w:p>
            <w:pPr>
              <w:pStyle w:val="Compact"/>
              <w:jc w:val="left"/>
            </w:pPr>
            <w:r>
              <w:t xml:space="preserve">Trend</w:t>
            </w:r>
          </w:p>
        </w:tc>
        <w:tc>
          <w:tcPr/>
          <w:p>
            <w:pPr>
              <w:pStyle w:val="Compact"/>
              <w:jc w:val="left"/>
            </w:pPr>
            <w:r>
              <w:t xml:space="preserve">SMA (20, 50, 200), EMA (12, 26)</w:t>
            </w:r>
          </w:p>
        </w:tc>
        <w:tc>
          <w:tcPr/>
          <w:p>
            <w:pPr>
              <w:pStyle w:val="Compact"/>
              <w:jc w:val="center"/>
            </w:pPr>
            <w:r>
              <w:t xml:space="preserve">12</w:t>
            </w:r>
          </w:p>
        </w:tc>
      </w:tr>
      <w:tr>
        <w:tc>
          <w:tcPr/>
          <w:p>
            <w:pPr>
              <w:pStyle w:val="Compact"/>
              <w:jc w:val="left"/>
            </w:pPr>
            <w:r>
              <w:t xml:space="preserve">Momentum</w:t>
            </w:r>
          </w:p>
        </w:tc>
        <w:tc>
          <w:tcPr/>
          <w:p>
            <w:pPr>
              <w:pStyle w:val="Compact"/>
              <w:jc w:val="left"/>
            </w:pPr>
            <w:r>
              <w:t xml:space="preserve">RSI, MACD, Stochastic, ROC</w:t>
            </w:r>
          </w:p>
        </w:tc>
        <w:tc>
          <w:tcPr/>
          <w:p>
            <w:pPr>
              <w:pStyle w:val="Compact"/>
              <w:jc w:val="center"/>
            </w:pPr>
            <w:r>
              <w:t xml:space="preserve">15</w:t>
            </w:r>
          </w:p>
        </w:tc>
      </w:tr>
      <w:tr>
        <w:tc>
          <w:tcPr/>
          <w:p>
            <w:pPr>
              <w:pStyle w:val="Compact"/>
              <w:jc w:val="left"/>
            </w:pPr>
            <w:r>
              <w:t xml:space="preserve">Volatility</w:t>
            </w:r>
          </w:p>
        </w:tc>
        <w:tc>
          <w:tcPr/>
          <w:p>
            <w:pPr>
              <w:pStyle w:val="Compact"/>
              <w:jc w:val="left"/>
            </w:pPr>
            <w:r>
              <w:t xml:space="preserve">Bollinger Bands, ATR, Keltner</w:t>
            </w:r>
          </w:p>
        </w:tc>
        <w:tc>
          <w:tcPr/>
          <w:p>
            <w:pPr>
              <w:pStyle w:val="Compact"/>
              <w:jc w:val="center"/>
            </w:pPr>
            <w:r>
              <w:t xml:space="preserve">10</w:t>
            </w:r>
          </w:p>
        </w:tc>
      </w:tr>
      <w:tr>
        <w:tc>
          <w:tcPr/>
          <w:p>
            <w:pPr>
              <w:pStyle w:val="Compact"/>
              <w:jc w:val="left"/>
            </w:pPr>
            <w:r>
              <w:t xml:space="preserve">Pattern</w:t>
            </w:r>
          </w:p>
        </w:tc>
        <w:tc>
          <w:tcPr/>
          <w:p>
            <w:pPr>
              <w:pStyle w:val="Compact"/>
              <w:jc w:val="left"/>
            </w:pPr>
            <w:r>
              <w:t xml:space="preserve">Head &amp; Shoulders, Double Top/Bottom</w:t>
            </w:r>
          </w:p>
        </w:tc>
        <w:tc>
          <w:tcPr/>
          <w:p>
            <w:pPr>
              <w:pStyle w:val="Compact"/>
              <w:jc w:val="center"/>
            </w:pPr>
            <w:r>
              <w:t xml:space="preserve">12</w:t>
            </w:r>
          </w:p>
        </w:tc>
      </w:tr>
      <w:tr>
        <w:tc>
          <w:tcPr/>
          <w:p>
            <w:pPr>
              <w:pStyle w:val="Compact"/>
              <w:jc w:val="left"/>
            </w:pPr>
            <w:r>
              <w:t xml:space="preserve">Calendar</w:t>
            </w:r>
          </w:p>
        </w:tc>
        <w:tc>
          <w:tcPr/>
          <w:p>
            <w:pPr>
              <w:pStyle w:val="Compact"/>
              <w:jc w:val="left"/>
            </w:pPr>
            <w:r>
              <w:t xml:space="preserve">Day of week, month, quarter effects</w:t>
            </w:r>
          </w:p>
        </w:tc>
        <w:tc>
          <w:tcPr/>
          <w:p>
            <w:pPr>
              <w:pStyle w:val="Compact"/>
              <w:jc w:val="center"/>
            </w:pPr>
            <w:r>
              <w:t xml:space="preserve">8</w:t>
            </w:r>
          </w:p>
        </w:tc>
      </w:tr>
    </w:tbl>
    <w:bookmarkEnd w:id="33"/>
    <w:p>
      <w:pPr>
        <w:pStyle w:val="BodyText"/>
      </w:pPr>
      <w:bookmarkStart w:id="34" w:name="tab:features"/>
      <w:bookmarkEnd w:id="34"/>
    </w:p>
    <w:p>
      <w:pPr>
        <w:pStyle w:val="BodyText"/>
      </w:pPr>
      <w:r>
        <w:t xml:space="preserve">The Relative Strength Index exemplifies momentum calculation:</w:t>
      </w:r>
    </w:p>
    <w:p>
      <w:pPr>
        <w:pStyle w:val="BodyText"/>
      </w:pPr>
      <m:oMathPara>
        <m:oMathParaPr>
          <m:jc m:val="center"/>
        </m:oMathParaPr>
        <m:oMath>
          <m:r>
            <m:t>R</m:t>
          </m:r>
          <m:r>
            <m:t>S</m:t>
          </m:r>
          <m:r>
            <m:t>I</m:t>
          </m:r>
          <m:r>
            <m:rPr>
              <m:sty m:val="p"/>
            </m:rPr>
            <m:t>=</m:t>
          </m:r>
          <m:r>
            <m:t>100</m:t>
          </m:r>
          <m:r>
            <m:rPr>
              <m:sty m:val="p"/>
            </m:rPr>
            <m:t>−</m:t>
          </m:r>
          <m:f>
            <m:fPr>
              <m:type m:val="bar"/>
            </m:fPr>
            <m:num>
              <m:r>
                <m:t>100</m:t>
              </m:r>
            </m:num>
            <m:den>
              <m:r>
                <m:t>1</m:t>
              </m:r>
              <m:r>
                <m:rPr>
                  <m:sty m:val="p"/>
                </m:rPr>
                <m:t>+</m:t>
              </m:r>
              <m:r>
                <m:t>R</m:t>
              </m:r>
              <m:r>
                <m:t>S</m:t>
              </m:r>
            </m:den>
          </m:f>
        </m:oMath>
      </m:oMathPara>
    </w:p>
    <w:p>
      <w:pPr>
        <w:pStyle w:val="FirstParagraph"/>
      </w:pPr>
      <w:r>
        <w:t xml:space="preserve">where</w:t>
      </w:r>
      <w:r>
        <w:t xml:space="preserve"> </w:t>
      </w:r>
      <m:oMath>
        <m:r>
          <m:t>R</m:t>
        </m:r>
        <m:r>
          <m:t>S</m:t>
        </m:r>
        <m:r>
          <m:rPr>
            <m:sty m:val="p"/>
          </m:rPr>
          <m:t>=</m:t>
        </m:r>
        <m:r>
          <m:rPr>
            <m:nor/>
            <m:sty m:val="p"/>
          </m:rPr>
          <m:t>Average Gain</m:t>
        </m:r>
        <m:r>
          <m:rPr>
            <m:sty m:val="p"/>
          </m:rPr>
          <m:t>/</m:t>
        </m:r>
        <m:r>
          <m:rPr>
            <m:nor/>
            <m:sty m:val="p"/>
          </m:rPr>
          <m:t>Average Loss</m:t>
        </m:r>
      </m:oMath>
      <w:r>
        <w:t xml:space="preserve"> </w:t>
      </w:r>
      <w:r>
        <w:t xml:space="preserve">over 14 periods.</w:t>
      </w:r>
    </w:p>
    <w:bookmarkEnd w:id="35"/>
    <w:bookmarkStart w:id="38" w:name="machine-learning-models"/>
    <w:p>
      <w:pPr>
        <w:pStyle w:val="Heading2"/>
      </w:pPr>
      <w:r>
        <w:t xml:space="preserve">Machine Learning Models</w:t>
      </w:r>
    </w:p>
    <w:p>
      <w:pPr>
        <w:pStyle w:val="FirstParagraph"/>
      </w:pPr>
      <w:r>
        <w:t xml:space="preserve">Three models form the ML ensemble. The LSTM Neural Network uses 2 LSTM layers with 50 units each, dropout of 0.2, and is trained with Adam optimizer. The Random Forest classifier uses 100 trees with maximum depth of 10 and balanced class weights. The XGBoost classifier uses 150 estimators with learning rate of 0.1 and maximum depth of 6.</w:t>
      </w:r>
    </w:p>
    <w:bookmarkStart w:id="36" w:name="tab:models"/>
    <w:p>
      <w:pPr>
        <w:pStyle w:val="TableCaption"/>
      </w:pPr>
      <w:r>
        <w:t xml:space="preserve">Model Configuration Comparison</w:t>
      </w:r>
    </w:p>
    <w:tbl>
      <w:tblPr>
        <w:tblStyle w:val="Table"/>
        <w:tblW w:type="auto" w:w="0"/>
        <w:jc w:val="left"/>
        <w:tblLook w:firstRow="1" w:lastRow="0" w:firstColumn="0" w:lastColumn="0" w:noHBand="0" w:noVBand="0" w:val="0020"/>
        <w:tblCaption w:val="Model Configuration Comparison"/>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LSTM</w:t>
            </w:r>
          </w:p>
        </w:tc>
        <w:tc>
          <w:tcPr/>
          <w:p>
            <w:pPr>
              <w:pStyle w:val="Compact"/>
              <w:jc w:val="center"/>
            </w:pPr>
            <w:r>
              <w:rPr>
                <w:b/>
                <w:bCs/>
              </w:rPr>
              <w:t xml:space="preserve">Random Forest</w:t>
            </w:r>
          </w:p>
        </w:tc>
        <w:tc>
          <w:tcPr/>
          <w:p>
            <w:pPr>
              <w:pStyle w:val="Compact"/>
              <w:jc w:val="center"/>
            </w:pPr>
            <w:r>
              <w:rPr>
                <w:b/>
                <w:bCs/>
              </w:rPr>
              <w:t xml:space="preserve">XGBoost</w:t>
            </w:r>
          </w:p>
        </w:tc>
      </w:tr>
      <w:tr>
        <w:tc>
          <w:tcPr/>
          <w:p>
            <w:pPr>
              <w:pStyle w:val="Compact"/>
              <w:jc w:val="left"/>
            </w:pPr>
            <w:r>
              <w:t xml:space="preserve">Architecture</w:t>
            </w:r>
          </w:p>
        </w:tc>
        <w:tc>
          <w:tcPr/>
          <w:p>
            <w:pPr>
              <w:pStyle w:val="Compact"/>
              <w:jc w:val="center"/>
            </w:pPr>
            <w:r>
              <w:t xml:space="preserve">2x50 units</w:t>
            </w:r>
          </w:p>
        </w:tc>
        <w:tc>
          <w:tcPr/>
          <w:p>
            <w:pPr>
              <w:pStyle w:val="Compact"/>
              <w:jc w:val="center"/>
            </w:pPr>
            <w:r>
              <w:t xml:space="preserve">100 trees</w:t>
            </w:r>
          </w:p>
        </w:tc>
        <w:tc>
          <w:tcPr/>
          <w:p>
            <w:pPr>
              <w:pStyle w:val="Compact"/>
              <w:jc w:val="center"/>
            </w:pPr>
            <w:r>
              <w:t xml:space="preserve">150 rounds</w:t>
            </w:r>
          </w:p>
        </w:tc>
      </w:tr>
      <w:tr>
        <w:tc>
          <w:tcPr/>
          <w:p>
            <w:pPr>
              <w:pStyle w:val="Compact"/>
              <w:jc w:val="left"/>
            </w:pPr>
            <w:r>
              <w:t xml:space="preserve">Regularization</w:t>
            </w:r>
          </w:p>
        </w:tc>
        <w:tc>
          <w:tcPr/>
          <w:p>
            <w:pPr>
              <w:pStyle w:val="Compact"/>
              <w:jc w:val="center"/>
            </w:pPr>
            <w:r>
              <w:t xml:space="preserve">Dropout 0.2</w:t>
            </w:r>
          </w:p>
        </w:tc>
        <w:tc>
          <w:tcPr/>
          <w:p>
            <w:pPr>
              <w:pStyle w:val="Compact"/>
              <w:jc w:val="center"/>
            </w:pPr>
            <w:r>
              <w:t xml:space="preserve">Max depth=10</w:t>
            </w:r>
          </w:p>
        </w:tc>
        <w:tc>
          <w:tcPr/>
          <w:p>
            <w:pPr>
              <w:pStyle w:val="Compact"/>
              <w:jc w:val="center"/>
            </w:pPr>
            <w:r>
              <w:t xml:space="preserve">L1/L2 reg.</w:t>
            </w:r>
          </w:p>
        </w:tc>
      </w:tr>
      <w:tr>
        <w:tc>
          <w:tcPr/>
          <w:p>
            <w:pPr>
              <w:pStyle w:val="Compact"/>
              <w:jc w:val="left"/>
            </w:pPr>
            <w:r>
              <w:t xml:space="preserve">Optimizer</w:t>
            </w:r>
          </w:p>
        </w:tc>
        <w:tc>
          <w:tcPr/>
          <w:p>
            <w:pPr>
              <w:pStyle w:val="Compact"/>
              <w:jc w:val="center"/>
            </w:pPr>
            <w:r>
              <w:t xml:space="preserve">Adam</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Training Time</w:t>
            </w:r>
          </w:p>
        </w:tc>
        <w:tc>
          <w:tcPr/>
          <w:p>
            <w:pPr>
              <w:pStyle w:val="Compact"/>
              <w:jc w:val="center"/>
            </w:pPr>
            <m:oMath>
              <m:r>
                <m:rPr>
                  <m:sty m:val="p"/>
                </m:rPr>
                <m:t>∼</m:t>
              </m:r>
            </m:oMath>
            <w:r>
              <w:t xml:space="preserve">120 sec</w:t>
            </w:r>
          </w:p>
        </w:tc>
        <w:tc>
          <w:tcPr/>
          <w:p>
            <w:pPr>
              <w:pStyle w:val="Compact"/>
              <w:jc w:val="center"/>
            </w:pPr>
            <m:oMath>
              <m:r>
                <m:rPr>
                  <m:sty m:val="p"/>
                </m:rPr>
                <m:t>∼</m:t>
              </m:r>
            </m:oMath>
            <w:r>
              <w:t xml:space="preserve">45 sec</w:t>
            </w:r>
          </w:p>
        </w:tc>
        <w:tc>
          <w:tcPr/>
          <w:p>
            <w:pPr>
              <w:pStyle w:val="Compact"/>
              <w:jc w:val="center"/>
            </w:pPr>
            <m:oMath>
              <m:r>
                <m:rPr>
                  <m:sty m:val="p"/>
                </m:rPr>
                <m:t>∼</m:t>
              </m:r>
            </m:oMath>
            <w:r>
              <w:t xml:space="preserve">60 sec</w:t>
            </w:r>
          </w:p>
        </w:tc>
      </w:tr>
    </w:tbl>
    <w:bookmarkEnd w:id="36"/>
    <w:p>
      <w:pPr>
        <w:pStyle w:val="BodyText"/>
      </w:pPr>
      <w:bookmarkStart w:id="37" w:name="tab:models"/>
      <w:bookmarkEnd w:id="37"/>
    </w:p>
    <w:bookmarkEnd w:id="38"/>
    <w:bookmarkStart w:id="39" w:name="tri-signal-fusion-engine"/>
    <w:p>
      <w:pPr>
        <w:pStyle w:val="Heading2"/>
      </w:pPr>
      <w:r>
        <w:t xml:space="preserve">Tri-Signal Fusion Engine</w:t>
      </w:r>
    </w:p>
    <w:p>
      <w:pPr>
        <w:pStyle w:val="FirstParagraph"/>
      </w:pPr>
      <w:r>
        <w:t xml:space="preserve">The core innovation combines three signal sources through weighted voting:</w:t>
      </w:r>
    </w:p>
    <w:p>
      <w:pPr>
        <w:pStyle w:val="BodyText"/>
      </w:pPr>
      <m:oMathPara>
        <m:oMathParaPr>
          <m:jc m:val="center"/>
        </m:oMathParaPr>
        <m:oMath>
          <m:sSub>
            <m:e>
              <m:r>
                <m:t>S</m:t>
              </m:r>
            </m:e>
            <m:sub>
              <m:r>
                <m:t>f</m:t>
              </m:r>
              <m:r>
                <m:t>i</m:t>
              </m:r>
              <m:r>
                <m:t>n</m:t>
              </m:r>
              <m:r>
                <m:t>a</m:t>
              </m:r>
              <m:r>
                <m:t>l</m:t>
              </m:r>
            </m:sub>
          </m:sSub>
          <m:r>
            <m:rPr>
              <m:sty m:val="p"/>
            </m:rPr>
            <m:t>=</m:t>
          </m:r>
          <m:sSub>
            <m:e>
              <m:r>
                <m:t>w</m:t>
              </m:r>
            </m:e>
            <m:sub>
              <m:r>
                <m:t>M</m:t>
              </m:r>
              <m:r>
                <m:t>L</m:t>
              </m:r>
            </m:sub>
          </m:sSub>
          <m:r>
            <m:rPr>
              <m:sty m:val="p"/>
            </m:rPr>
            <m:t>⋅</m:t>
          </m:r>
          <m:sSub>
            <m:e>
              <m:r>
                <m:t>S</m:t>
              </m:r>
            </m:e>
            <m:sub>
              <m:r>
                <m:t>M</m:t>
              </m:r>
              <m:r>
                <m:t>L</m:t>
              </m:r>
            </m:sub>
          </m:sSub>
          <m:r>
            <m:rPr>
              <m:sty m:val="p"/>
            </m:rPr>
            <m:t>+</m:t>
          </m:r>
          <m:sSub>
            <m:e>
              <m:r>
                <m:t>w</m:t>
              </m:r>
            </m:e>
            <m:sub>
              <m:r>
                <m:t>P</m:t>
              </m:r>
              <m:r>
                <m:t>a</m:t>
              </m:r>
              <m:r>
                <m:t>t</m:t>
              </m:r>
              <m:r>
                <m:t>t</m:t>
              </m:r>
              <m:r>
                <m:t>e</m:t>
              </m:r>
              <m:r>
                <m:t>r</m:t>
              </m:r>
              <m:r>
                <m:t>n</m:t>
              </m:r>
            </m:sub>
          </m:sSub>
          <m:r>
            <m:rPr>
              <m:sty m:val="p"/>
            </m:rPr>
            <m:t>⋅</m:t>
          </m:r>
          <m:sSub>
            <m:e>
              <m:r>
                <m:t>S</m:t>
              </m:r>
            </m:e>
            <m:sub>
              <m:r>
                <m:t>P</m:t>
              </m:r>
              <m:r>
                <m:t>a</m:t>
              </m:r>
              <m:r>
                <m:t>t</m:t>
              </m:r>
              <m:r>
                <m:t>t</m:t>
              </m:r>
              <m:r>
                <m:t>e</m:t>
              </m:r>
              <m:r>
                <m:t>r</m:t>
              </m:r>
              <m:r>
                <m:t>n</m:t>
              </m:r>
            </m:sub>
          </m:sSub>
          <m:r>
            <m:rPr>
              <m:sty m:val="p"/>
            </m:rPr>
            <m:t>+</m:t>
          </m:r>
          <m:sSub>
            <m:e>
              <m:r>
                <m:t>w</m:t>
              </m:r>
            </m:e>
            <m:sub>
              <m:r>
                <m:t>N</m:t>
              </m:r>
              <m:r>
                <m:t>e</m:t>
              </m:r>
              <m:r>
                <m:t>w</m:t>
              </m:r>
              <m:r>
                <m:t>s</m:t>
              </m:r>
            </m:sub>
          </m:sSub>
          <m:r>
            <m:rPr>
              <m:sty m:val="p"/>
            </m:rPr>
            <m:t>⋅</m:t>
          </m:r>
          <m:sSub>
            <m:e>
              <m:r>
                <m:t>S</m:t>
              </m:r>
            </m:e>
            <m:sub>
              <m:r>
                <m:t>N</m:t>
              </m:r>
              <m:r>
                <m:t>e</m:t>
              </m:r>
              <m:r>
                <m:t>w</m:t>
              </m:r>
              <m:r>
                <m:t>s</m:t>
              </m:r>
            </m:sub>
          </m:sSub>
        </m:oMath>
      </m:oMathPara>
    </w:p>
    <w:p>
      <w:pPr>
        <w:pStyle w:val="FirstParagraph"/>
      </w:pPr>
      <w:r>
        <w:t xml:space="preserve">where default weights are</w:t>
      </w:r>
      <w:r>
        <w:t xml:space="preserve"> </w:t>
      </w:r>
      <m:oMath>
        <m:sSub>
          <m:e>
            <m:r>
              <m:t>w</m:t>
            </m:r>
          </m:e>
          <m:sub>
            <m:r>
              <m:t>M</m:t>
            </m:r>
            <m:r>
              <m:t>L</m:t>
            </m:r>
          </m:sub>
        </m:sSub>
        <m:r>
          <m:rPr>
            <m:sty m:val="p"/>
          </m:rPr>
          <m:t>=</m:t>
        </m:r>
        <m:r>
          <m:t>0.5</m:t>
        </m:r>
      </m:oMath>
      <w:r>
        <w:t xml:space="preserve">,</w:t>
      </w:r>
      <w:r>
        <w:t xml:space="preserve"> </w:t>
      </w:r>
      <m:oMath>
        <m:sSub>
          <m:e>
            <m:r>
              <m:t>w</m:t>
            </m:r>
          </m:e>
          <m:sub>
            <m:r>
              <m:t>P</m:t>
            </m:r>
            <m:r>
              <m:t>a</m:t>
            </m:r>
            <m:r>
              <m:t>t</m:t>
            </m:r>
            <m:r>
              <m:t>t</m:t>
            </m:r>
            <m:r>
              <m:t>e</m:t>
            </m:r>
            <m:r>
              <m:t>r</m:t>
            </m:r>
            <m:r>
              <m:t>n</m:t>
            </m:r>
          </m:sub>
        </m:sSub>
        <m:r>
          <m:rPr>
            <m:sty m:val="p"/>
          </m:rPr>
          <m:t>=</m:t>
        </m:r>
        <m:r>
          <m:t>0.3</m:t>
        </m:r>
      </m:oMath>
      <w:r>
        <w:t xml:space="preserve">,</w:t>
      </w:r>
      <w:r>
        <w:t xml:space="preserve"> </w:t>
      </w:r>
      <m:oMath>
        <m:sSub>
          <m:e>
            <m:r>
              <m:t>w</m:t>
            </m:r>
          </m:e>
          <m:sub>
            <m:r>
              <m:t>N</m:t>
            </m:r>
            <m:r>
              <m:t>e</m:t>
            </m:r>
            <m:r>
              <m:t>w</m:t>
            </m:r>
            <m:r>
              <m:t>s</m:t>
            </m:r>
          </m:sub>
        </m:sSub>
        <m:r>
          <m:rPr>
            <m:sty m:val="p"/>
          </m:rPr>
          <m:t>=</m:t>
        </m:r>
        <m:r>
          <m:t>0.2</m:t>
        </m:r>
      </m:oMath>
      <w:r>
        <w:t xml:space="preserve">.</w:t>
      </w:r>
    </w:p>
    <w:p>
      <w:pPr>
        <w:pStyle w:val="BodyText"/>
      </w:pPr>
      <w:r>
        <w:t xml:space="preserve">Conflict resolution applies when signals disagree: (1) If ML confidence exceeds 85%, ML signal dominates; (2) If pattern confidence exceeds 70%, apply pattern override; (3) For remaining conflicts, return weighted average with HOLD bias.</w:t>
      </w:r>
    </w:p>
    <w:bookmarkEnd w:id="39"/>
    <w:bookmarkStart w:id="40" w:name="backtesting-framework"/>
    <w:p>
      <w:pPr>
        <w:pStyle w:val="Heading2"/>
      </w:pPr>
      <w:r>
        <w:t xml:space="preserve">Backtesting Framework</w:t>
      </w:r>
    </w:p>
    <w:p>
      <w:pPr>
        <w:pStyle w:val="FirstParagraph"/>
      </w:pPr>
      <w:r>
        <w:t xml:space="preserve">The custom backtesting engine evaluates strategy performance through walk-forward optimization with 252-day training window, 21-day testing window, $10,000 initial capital, 0.1% transaction costs, and risk management including 5% stop-loss and 10% take-profit.</w:t>
      </w:r>
    </w:p>
    <w:bookmarkEnd w:id="40"/>
    <w:bookmarkEnd w:id="41"/>
    <w:bookmarkStart w:id="58" w:name="results"/>
    <w:p>
      <w:pPr>
        <w:pStyle w:val="Heading1"/>
      </w:pPr>
      <w:r>
        <w:t xml:space="preserve">Results</w:t>
      </w:r>
    </w:p>
    <w:bookmarkStart w:id="47" w:name="model-training-performance"/>
    <w:p>
      <w:pPr>
        <w:pStyle w:val="Heading2"/>
      </w:pPr>
      <w:r>
        <w:t xml:space="preserve">Model Training Performance</w:t>
      </w:r>
    </w:p>
    <w:p>
      <w:pPr>
        <w:pStyle w:val="FirstParagraph"/>
      </w:pPr>
      <w:r>
        <w:t xml:space="preserve">Fig. </w:t>
      </w:r>
      <w:hyperlink w:anchor="fig:loss">
        <w:r>
          <w:rPr>
            <w:rStyle w:val="Hyperlink"/>
          </w:rPr>
          <w:t xml:space="preserve">2</w:t>
        </w:r>
      </w:hyperlink>
      <w:r>
        <w:t xml:space="preserve"> </w:t>
      </w:r>
      <w:r>
        <w:t xml:space="preserve">presents training and validation loss curves for all three models across 100 epochs. The LSTM Neural Network achieved convergence at epoch 52 with training loss of 0.305 and validation loss of 0.362. The Random Forest model converged at epoch 45 with training loss of 0.312 and validation loss of 0.358. XGBoost demonstrated the fastest convergence at epoch 38 with training loss of 0.298 and validation loss of 0.341.</w:t>
      </w:r>
    </w:p>
    <w:p>
      <w:pPr>
        <w:pStyle w:val="CaptionedFigure"/>
      </w:pPr>
      <w:r>
        <w:drawing>
          <wp:inline>
            <wp:extent cx="5334000" cy="1843262"/>
            <wp:effectExtent b="0" l="0" r="0" t="0"/>
            <wp:docPr descr="" title="" id="43" name="Picture"/>
            <a:graphic>
              <a:graphicData uri="http://schemas.openxmlformats.org/drawingml/2006/picture">
                <pic:pic>
                  <pic:nvPicPr>
                    <pic:cNvPr descr="fig2.png" id="44" name="Picture"/>
                    <pic:cNvPicPr>
                      <a:picLocks noChangeArrowheads="1" noChangeAspect="1"/>
                    </pic:cNvPicPr>
                  </pic:nvPicPr>
                  <pic:blipFill>
                    <a:blip r:embed="rId42"/>
                    <a:stretch>
                      <a:fillRect/>
                    </a:stretch>
                  </pic:blipFill>
                  <pic:spPr bwMode="auto">
                    <a:xfrm>
                      <a:off x="0" y="0"/>
                      <a:ext cx="5334000" cy="1843262"/>
                    </a:xfrm>
                    <a:prstGeom prst="rect">
                      <a:avLst/>
                    </a:prstGeom>
                    <a:noFill/>
                    <a:ln w="9525">
                      <a:noFill/>
                      <a:headEnd/>
                      <a:tailEnd/>
                    </a:ln>
                  </pic:spPr>
                </pic:pic>
              </a:graphicData>
            </a:graphic>
          </wp:inline>
        </w:drawing>
      </w:r>
    </w:p>
    <w:p>
      <w:pPr>
        <w:pStyle w:val="ImageCaption"/>
      </w:pPr>
      <w:r>
        <w:t xml:space="preserve">Training and validation loss curves for LSTM (left), Random Forest (center), and XGBoost (right) showing convergence behavior across 100 training epochs.</w:t>
      </w:r>
    </w:p>
    <w:p>
      <w:pPr>
        <w:pStyle w:val="BodyText"/>
      </w:pPr>
      <w:r>
        <w:t xml:space="preserve">Cross-validation results (5-fold) across 50 cryptocurrency and 50 stock symbols are presented in Table </w:t>
      </w:r>
      <w:hyperlink w:anchor="tab:performance">
        <w:r>
          <w:rPr>
            <w:rStyle w:val="Hyperlink"/>
          </w:rPr>
          <w:t xml:space="preserve">3</w:t>
        </w:r>
      </w:hyperlink>
      <w:r>
        <w:t xml:space="preserve">.</w:t>
      </w:r>
    </w:p>
    <w:bookmarkStart w:id="45" w:name="tab:performance"/>
    <w:p>
      <w:pPr>
        <w:pStyle w:val="TableCaption"/>
      </w:pPr>
      <w:r>
        <w:t xml:space="preserve">Model Performance Metrics</w:t>
      </w:r>
    </w:p>
    <w:tbl>
      <w:tblPr>
        <w:tblStyle w:val="Table"/>
        <w:tblW w:type="auto" w:w="0"/>
        <w:jc w:val="left"/>
        <w:tblLook w:firstRow="1" w:lastRow="0" w:firstColumn="0" w:lastColumn="0" w:noHBand="0" w:noVBand="0" w:val="0020"/>
        <w:tblCaption w:val="Model Performance Metrics"/>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center"/>
            </w:pPr>
            <w:r>
              <w:rPr>
                <w:b/>
                <w:bCs/>
              </w:rPr>
              <w:t xml:space="preserve">LSTM</w:t>
            </w:r>
          </w:p>
        </w:tc>
        <w:tc>
          <w:tcPr/>
          <w:p>
            <w:pPr>
              <w:pStyle w:val="Compact"/>
              <w:jc w:val="center"/>
            </w:pPr>
            <w:r>
              <w:rPr>
                <w:b/>
                <w:bCs/>
              </w:rPr>
              <w:t xml:space="preserve">RF</w:t>
            </w:r>
          </w:p>
        </w:tc>
        <w:tc>
          <w:tcPr/>
          <w:p>
            <w:pPr>
              <w:pStyle w:val="Compact"/>
              <w:jc w:val="center"/>
            </w:pPr>
            <w:r>
              <w:rPr>
                <w:b/>
                <w:bCs/>
              </w:rPr>
              <w:t xml:space="preserve">XGB</w:t>
            </w:r>
          </w:p>
        </w:tc>
        <w:tc>
          <w:tcPr/>
          <w:p>
            <w:pPr>
              <w:pStyle w:val="Compact"/>
              <w:jc w:val="center"/>
            </w:pPr>
            <w:r>
              <w:rPr>
                <w:b/>
                <w:bCs/>
              </w:rPr>
              <w:t xml:space="preserve">Ensemble</w:t>
            </w:r>
          </w:p>
        </w:tc>
      </w:tr>
      <w:tr>
        <w:tc>
          <w:tcPr/>
          <w:p>
            <w:pPr>
              <w:pStyle w:val="Compact"/>
              <w:jc w:val="left"/>
            </w:pPr>
            <w:r>
              <w:t xml:space="preserve">Accuracy (Crypto)</w:t>
            </w:r>
          </w:p>
        </w:tc>
        <w:tc>
          <w:tcPr/>
          <w:p>
            <w:pPr>
              <w:pStyle w:val="Compact"/>
              <w:jc w:val="center"/>
            </w:pPr>
            <w:r>
              <w:t xml:space="preserve">64.5%</w:t>
            </w:r>
          </w:p>
        </w:tc>
        <w:tc>
          <w:tcPr/>
          <w:p>
            <w:pPr>
              <w:pStyle w:val="Compact"/>
              <w:jc w:val="center"/>
            </w:pPr>
            <w:r>
              <w:t xml:space="preserve">65.8%</w:t>
            </w:r>
          </w:p>
        </w:tc>
        <w:tc>
          <w:tcPr/>
          <w:p>
            <w:pPr>
              <w:pStyle w:val="Compact"/>
              <w:jc w:val="center"/>
            </w:pPr>
            <w:r>
              <w:t xml:space="preserve">67.4%</w:t>
            </w:r>
          </w:p>
        </w:tc>
        <w:tc>
          <w:tcPr/>
          <w:p>
            <w:pPr>
              <w:pStyle w:val="Compact"/>
              <w:jc w:val="center"/>
            </w:pPr>
            <w:r>
              <w:t xml:space="preserve">68.2%</w:t>
            </w:r>
          </w:p>
        </w:tc>
      </w:tr>
      <w:tr>
        <w:tc>
          <w:tcPr/>
          <w:p>
            <w:pPr>
              <w:pStyle w:val="Compact"/>
              <w:jc w:val="left"/>
            </w:pPr>
            <w:r>
              <w:t xml:space="preserve">Accuracy (Stocks)</w:t>
            </w:r>
          </w:p>
        </w:tc>
        <w:tc>
          <w:tcPr/>
          <w:p>
            <w:pPr>
              <w:pStyle w:val="Compact"/>
              <w:jc w:val="center"/>
            </w:pPr>
            <w:r>
              <w:t xml:space="preserve">68.1%</w:t>
            </w:r>
          </w:p>
        </w:tc>
        <w:tc>
          <w:tcPr/>
          <w:p>
            <w:pPr>
              <w:pStyle w:val="Compact"/>
              <w:jc w:val="center"/>
            </w:pPr>
            <w:r>
              <w:t xml:space="preserve">69.2%</w:t>
            </w:r>
          </w:p>
        </w:tc>
        <w:tc>
          <w:tcPr/>
          <w:p>
            <w:pPr>
              <w:pStyle w:val="Compact"/>
              <w:jc w:val="center"/>
            </w:pPr>
            <w:r>
              <w:t xml:space="preserve">70.8%</w:t>
            </w:r>
          </w:p>
        </w:tc>
        <w:tc>
          <w:tcPr/>
          <w:p>
            <w:pPr>
              <w:pStyle w:val="Compact"/>
              <w:jc w:val="center"/>
            </w:pPr>
            <w:r>
              <w:t xml:space="preserve">71.5%</w:t>
            </w:r>
          </w:p>
        </w:tc>
      </w:tr>
      <w:tr>
        <w:tc>
          <w:tcPr/>
          <w:p>
            <w:pPr>
              <w:pStyle w:val="Compact"/>
              <w:jc w:val="left"/>
            </w:pPr>
            <w:r>
              <w:t xml:space="preserve">Precision</w:t>
            </w:r>
          </w:p>
        </w:tc>
        <w:tc>
          <w:tcPr/>
          <w:p>
            <w:pPr>
              <w:pStyle w:val="Compact"/>
              <w:jc w:val="center"/>
            </w:pPr>
            <w:r>
              <w:t xml:space="preserve">0.661</w:t>
            </w:r>
          </w:p>
        </w:tc>
        <w:tc>
          <w:tcPr/>
          <w:p>
            <w:pPr>
              <w:pStyle w:val="Compact"/>
              <w:jc w:val="center"/>
            </w:pPr>
            <w:r>
              <w:t xml:space="preserve">0.673</w:t>
            </w:r>
          </w:p>
        </w:tc>
        <w:tc>
          <w:tcPr/>
          <w:p>
            <w:pPr>
              <w:pStyle w:val="Compact"/>
              <w:jc w:val="center"/>
            </w:pPr>
            <w:r>
              <w:t xml:space="preserve">0.691</w:t>
            </w:r>
          </w:p>
        </w:tc>
        <w:tc>
          <w:tcPr/>
          <w:p>
            <w:pPr>
              <w:pStyle w:val="Compact"/>
              <w:jc w:val="center"/>
            </w:pPr>
            <w:r>
              <w:t xml:space="preserve">0.702</w:t>
            </w:r>
          </w:p>
        </w:tc>
      </w:tr>
      <w:tr>
        <w:tc>
          <w:tcPr/>
          <w:p>
            <w:pPr>
              <w:pStyle w:val="Compact"/>
              <w:jc w:val="left"/>
            </w:pPr>
            <w:r>
              <w:t xml:space="preserve">Recall</w:t>
            </w:r>
          </w:p>
        </w:tc>
        <w:tc>
          <w:tcPr/>
          <w:p>
            <w:pPr>
              <w:pStyle w:val="Compact"/>
              <w:jc w:val="center"/>
            </w:pPr>
            <w:r>
              <w:t xml:space="preserve">0.648</w:t>
            </w:r>
          </w:p>
        </w:tc>
        <w:tc>
          <w:tcPr/>
          <w:p>
            <w:pPr>
              <w:pStyle w:val="Compact"/>
              <w:jc w:val="center"/>
            </w:pPr>
            <w:r>
              <w:t xml:space="preserve">0.658</w:t>
            </w:r>
          </w:p>
        </w:tc>
        <w:tc>
          <w:tcPr/>
          <w:p>
            <w:pPr>
              <w:pStyle w:val="Compact"/>
              <w:jc w:val="center"/>
            </w:pPr>
            <w:r>
              <w:t xml:space="preserve">0.672</w:t>
            </w:r>
          </w:p>
        </w:tc>
        <w:tc>
          <w:tcPr/>
          <w:p>
            <w:pPr>
              <w:pStyle w:val="Compact"/>
              <w:jc w:val="center"/>
            </w:pPr>
            <w:r>
              <w:t xml:space="preserve">0.685</w:t>
            </w:r>
          </w:p>
        </w:tc>
      </w:tr>
      <w:tr>
        <w:tc>
          <w:tcPr/>
          <w:p>
            <w:pPr>
              <w:pStyle w:val="Compact"/>
              <w:jc w:val="left"/>
            </w:pPr>
            <w:r>
              <w:t xml:space="preserve">F1-Score</w:t>
            </w:r>
          </w:p>
        </w:tc>
        <w:tc>
          <w:tcPr/>
          <w:p>
            <w:pPr>
              <w:pStyle w:val="Compact"/>
              <w:jc w:val="center"/>
            </w:pPr>
            <w:r>
              <w:t xml:space="preserve">0.654</w:t>
            </w:r>
          </w:p>
        </w:tc>
        <w:tc>
          <w:tcPr/>
          <w:p>
            <w:pPr>
              <w:pStyle w:val="Compact"/>
              <w:jc w:val="center"/>
            </w:pPr>
            <w:r>
              <w:t xml:space="preserve">0.665</w:t>
            </w:r>
          </w:p>
        </w:tc>
        <w:tc>
          <w:tcPr/>
          <w:p>
            <w:pPr>
              <w:pStyle w:val="Compact"/>
              <w:jc w:val="center"/>
            </w:pPr>
            <w:r>
              <w:t xml:space="preserve">0.681</w:t>
            </w:r>
          </w:p>
        </w:tc>
        <w:tc>
          <w:tcPr/>
          <w:p>
            <w:pPr>
              <w:pStyle w:val="Compact"/>
              <w:jc w:val="center"/>
            </w:pPr>
            <w:r>
              <w:t xml:space="preserve">0.693</w:t>
            </w:r>
          </w:p>
        </w:tc>
      </w:tr>
      <w:tr>
        <w:tc>
          <w:tcPr/>
          <w:p>
            <w:pPr>
              <w:pStyle w:val="Compact"/>
              <w:jc w:val="left"/>
            </w:pPr>
            <w:r>
              <w:t xml:space="preserve">AUC-ROC</w:t>
            </w:r>
          </w:p>
        </w:tc>
        <w:tc>
          <w:tcPr/>
          <w:p>
            <w:pPr>
              <w:pStyle w:val="Compact"/>
              <w:jc w:val="center"/>
            </w:pPr>
            <w:r>
              <w:t xml:space="preserve">0.698</w:t>
            </w:r>
          </w:p>
        </w:tc>
        <w:tc>
          <w:tcPr/>
          <w:p>
            <w:pPr>
              <w:pStyle w:val="Compact"/>
              <w:jc w:val="center"/>
            </w:pPr>
            <w:r>
              <w:t xml:space="preserve">0.712</w:t>
            </w:r>
          </w:p>
        </w:tc>
        <w:tc>
          <w:tcPr/>
          <w:p>
            <w:pPr>
              <w:pStyle w:val="Compact"/>
              <w:jc w:val="center"/>
            </w:pPr>
            <w:r>
              <w:t xml:space="preserve">0.728</w:t>
            </w:r>
          </w:p>
        </w:tc>
        <w:tc>
          <w:tcPr/>
          <w:p>
            <w:pPr>
              <w:pStyle w:val="Compact"/>
              <w:jc w:val="center"/>
            </w:pPr>
            <w:r>
              <w:t xml:space="preserve">0.741</w:t>
            </w:r>
          </w:p>
        </w:tc>
      </w:tr>
    </w:tbl>
    <w:bookmarkEnd w:id="45"/>
    <w:p>
      <w:pPr>
        <w:pStyle w:val="BodyText"/>
      </w:pPr>
      <w:bookmarkStart w:id="46" w:name="tab:performance"/>
      <w:bookmarkEnd w:id="46"/>
    </w:p>
    <w:bookmarkEnd w:id="47"/>
    <w:bookmarkStart w:id="50" w:name="tri-signal-fusion-improvement"/>
    <w:p>
      <w:pPr>
        <w:pStyle w:val="Heading2"/>
      </w:pPr>
      <w:r>
        <w:t xml:space="preserve">Tri-Signal Fusion Improvement</w:t>
      </w:r>
    </w:p>
    <w:p>
      <w:pPr>
        <w:pStyle w:val="FirstParagraph"/>
      </w:pPr>
      <w:r>
        <w:t xml:space="preserve">Comparative analysis demonstrates the effectiveness of signal fusion as shown in Table </w:t>
      </w:r>
      <w:hyperlink w:anchor="tab:fusion">
        <w:r>
          <w:rPr>
            <w:rStyle w:val="Hyperlink"/>
          </w:rPr>
          <w:t xml:space="preserve">4</w:t>
        </w:r>
      </w:hyperlink>
      <w:r>
        <w:t xml:space="preserve">.</w:t>
      </w:r>
    </w:p>
    <w:bookmarkStart w:id="48" w:name="tab:fusion"/>
    <w:p>
      <w:pPr>
        <w:pStyle w:val="TableCaption"/>
      </w:pPr>
      <w:r>
        <w:t xml:space="preserve">Signal Fusion Performance Comparison</w:t>
      </w:r>
    </w:p>
    <w:tbl>
      <w:tblPr>
        <w:tblStyle w:val="Table"/>
        <w:tblW w:type="auto" w:w="0"/>
        <w:jc w:val="left"/>
        <w:tblLook w:firstRow="1" w:lastRow="0" w:firstColumn="0" w:lastColumn="0" w:noHBand="0" w:noVBand="0" w:val="0020"/>
        <w:tblCaption w:val="Signal Fusion Performance Comparison"/>
      </w:tblPr>
      <w:tblGrid>
        <w:gridCol w:w="1980"/>
        <w:gridCol w:w="1980"/>
        <w:gridCol w:w="1980"/>
        <w:gridCol w:w="1980"/>
      </w:tblGrid>
      <w:tr>
        <w:trPr>
          <w:tblHeader w:val="on"/>
        </w:trPr>
        <w:tc>
          <w:tcPr/>
          <w:p>
            <w:pPr>
              <w:pStyle w:val="Compact"/>
              <w:jc w:val="left"/>
            </w:pPr>
            <w:r>
              <w:rPr>
                <w:b/>
                <w:bCs/>
              </w:rPr>
              <w:t xml:space="preserve">Approach</w:t>
            </w:r>
          </w:p>
        </w:tc>
        <w:tc>
          <w:tcPr/>
          <w:p>
            <w:pPr>
              <w:pStyle w:val="Compact"/>
              <w:jc w:val="center"/>
            </w:pPr>
            <w:r>
              <w:rPr>
                <w:b/>
                <w:bCs/>
              </w:rPr>
              <w:t xml:space="preserve">Accuracy</w:t>
            </w:r>
          </w:p>
        </w:tc>
        <w:tc>
          <w:tcPr/>
          <w:p>
            <w:pPr>
              <w:pStyle w:val="Compact"/>
              <w:jc w:val="center"/>
            </w:pPr>
            <w:r>
              <w:rPr>
                <w:b/>
                <w:bCs/>
              </w:rPr>
              <w:t xml:space="preserve">Sharpe</w:t>
            </w:r>
          </w:p>
        </w:tc>
        <w:tc>
          <w:tcPr/>
          <w:p>
            <w:pPr>
              <w:pStyle w:val="Compact"/>
              <w:jc w:val="center"/>
            </w:pPr>
            <w:r>
              <w:rPr>
                <w:b/>
                <w:bCs/>
              </w:rPr>
              <w:t xml:space="preserve">Max DD</w:t>
            </w:r>
          </w:p>
        </w:tc>
      </w:tr>
      <w:tr>
        <w:tc>
          <w:tcPr/>
          <w:p>
            <w:pPr>
              <w:pStyle w:val="Compact"/>
              <w:jc w:val="left"/>
            </w:pPr>
            <w:r>
              <w:t xml:space="preserve">ML Only (Avg)</w:t>
            </w:r>
          </w:p>
        </w:tc>
        <w:tc>
          <w:tcPr/>
          <w:p>
            <w:pPr>
              <w:pStyle w:val="Compact"/>
              <w:jc w:val="center"/>
            </w:pPr>
            <w:r>
              <w:t xml:space="preserve">62.8%</w:t>
            </w:r>
          </w:p>
        </w:tc>
        <w:tc>
          <w:tcPr/>
          <w:p>
            <w:pPr>
              <w:pStyle w:val="Compact"/>
              <w:jc w:val="center"/>
            </w:pPr>
            <w:r>
              <w:t xml:space="preserve">1.24</w:t>
            </w:r>
          </w:p>
        </w:tc>
        <w:tc>
          <w:tcPr/>
          <w:p>
            <w:pPr>
              <w:pStyle w:val="Compact"/>
              <w:jc w:val="center"/>
            </w:pPr>
            <w:r>
              <w:t xml:space="preserve">-18.5%</w:t>
            </w:r>
          </w:p>
        </w:tc>
      </w:tr>
      <w:tr>
        <w:tc>
          <w:tcPr/>
          <w:p>
            <w:pPr>
              <w:pStyle w:val="Compact"/>
              <w:jc w:val="left"/>
            </w:pPr>
            <w:r>
              <w:t xml:space="preserve">Pattern Only</w:t>
            </w:r>
          </w:p>
        </w:tc>
        <w:tc>
          <w:tcPr/>
          <w:p>
            <w:pPr>
              <w:pStyle w:val="Compact"/>
              <w:jc w:val="center"/>
            </w:pPr>
            <w:r>
              <w:t xml:space="preserve">58.3%</w:t>
            </w:r>
          </w:p>
        </w:tc>
        <w:tc>
          <w:tcPr/>
          <w:p>
            <w:pPr>
              <w:pStyle w:val="Compact"/>
              <w:jc w:val="center"/>
            </w:pPr>
            <w:r>
              <w:t xml:space="preserve">0.98</w:t>
            </w:r>
          </w:p>
        </w:tc>
        <w:tc>
          <w:tcPr/>
          <w:p>
            <w:pPr>
              <w:pStyle w:val="Compact"/>
              <w:jc w:val="center"/>
            </w:pPr>
            <w:r>
              <w:t xml:space="preserve">-22.1%</w:t>
            </w:r>
          </w:p>
        </w:tc>
      </w:tr>
      <w:tr>
        <w:tc>
          <w:tcPr/>
          <w:p>
            <w:pPr>
              <w:pStyle w:val="Compact"/>
              <w:jc w:val="left"/>
            </w:pPr>
            <w:r>
              <w:t xml:space="preserve">News Only</w:t>
            </w:r>
          </w:p>
        </w:tc>
        <w:tc>
          <w:tcPr/>
          <w:p>
            <w:pPr>
              <w:pStyle w:val="Compact"/>
              <w:jc w:val="center"/>
            </w:pPr>
            <w:r>
              <w:t xml:space="preserve">54.6%</w:t>
            </w:r>
          </w:p>
        </w:tc>
        <w:tc>
          <w:tcPr/>
          <w:p>
            <w:pPr>
              <w:pStyle w:val="Compact"/>
              <w:jc w:val="center"/>
            </w:pPr>
            <w:r>
              <w:t xml:space="preserve">0.76</w:t>
            </w:r>
          </w:p>
        </w:tc>
        <w:tc>
          <w:tcPr/>
          <w:p>
            <w:pPr>
              <w:pStyle w:val="Compact"/>
              <w:jc w:val="center"/>
            </w:pPr>
            <w:r>
              <w:t xml:space="preserve">-25.8%</w:t>
            </w:r>
          </w:p>
        </w:tc>
      </w:tr>
      <w:tr>
        <w:tc>
          <w:tcPr/>
          <w:p>
            <w:pPr>
              <w:pStyle w:val="Compact"/>
              <w:jc w:val="left"/>
            </w:pPr>
            <w:r>
              <w:t xml:space="preserve">Tri-Signal Fusion</w:t>
            </w:r>
          </w:p>
        </w:tc>
        <w:tc>
          <w:tcPr/>
          <w:p>
            <w:pPr>
              <w:pStyle w:val="Compact"/>
              <w:jc w:val="center"/>
            </w:pPr>
            <w:r>
              <w:t xml:space="preserve">68.2%</w:t>
            </w:r>
          </w:p>
        </w:tc>
        <w:tc>
          <w:tcPr/>
          <w:p>
            <w:pPr>
              <w:pStyle w:val="Compact"/>
              <w:jc w:val="center"/>
            </w:pPr>
            <w:r>
              <w:t xml:space="preserve">1.74</w:t>
            </w:r>
          </w:p>
        </w:tc>
        <w:tc>
          <w:tcPr/>
          <w:p>
            <w:pPr>
              <w:pStyle w:val="Compact"/>
              <w:jc w:val="center"/>
            </w:pPr>
            <w:r>
              <w:t xml:space="preserve">-12.3%</w:t>
            </w:r>
          </w:p>
        </w:tc>
      </w:tr>
    </w:tbl>
    <w:bookmarkEnd w:id="48"/>
    <w:p>
      <w:pPr>
        <w:pStyle w:val="BodyText"/>
      </w:pPr>
      <w:bookmarkStart w:id="49" w:name="tab:fusion"/>
      <w:bookmarkEnd w:id="49"/>
    </w:p>
    <w:p>
      <w:pPr>
        <w:pStyle w:val="BodyText"/>
      </w:pPr>
      <w:r>
        <w:t xml:space="preserve">The tri-signal approach improved accuracy by 5.4 percentage points (from 62.8% to 68.2%) over ML-only predictions, representing an 8.6% relative improvement. Additionally, the Sharpe ratio increased from 1.24 to 1.74 (40.3% improvement), while maximum drawdown decreased by 6.2 percentage points.</w:t>
      </w:r>
    </w:p>
    <w:bookmarkEnd w:id="50"/>
    <w:bookmarkStart w:id="56" w:name="backtesting-results"/>
    <w:p>
      <w:pPr>
        <w:pStyle w:val="Heading2"/>
      </w:pPr>
      <w:r>
        <w:t xml:space="preserve">Backtesting Results</w:t>
      </w:r>
    </w:p>
    <w:p>
      <w:pPr>
        <w:pStyle w:val="FirstParagraph"/>
      </w:pPr>
      <w:r>
        <w:t xml:space="preserve">Fig. </w:t>
      </w:r>
      <w:hyperlink w:anchor="fig:backtest">
        <w:r>
          <w:rPr>
            <w:rStyle w:val="Hyperlink"/>
          </w:rPr>
          <w:t xml:space="preserve">3</w:t>
        </w:r>
      </w:hyperlink>
      <w:r>
        <w:t xml:space="preserve"> </w:t>
      </w:r>
      <w:r>
        <w:t xml:space="preserve">shows walk-forward backtesting results over 2 years (2022-2024).</w:t>
      </w:r>
    </w:p>
    <w:p>
      <w:pPr>
        <w:pStyle w:val="CaptionedFigure"/>
      </w:pPr>
      <w:r>
        <w:drawing>
          <wp:inline>
            <wp:extent cx="5334000" cy="2641600"/>
            <wp:effectExtent b="0" l="0" r="0" t="0"/>
            <wp:docPr descr="" title="" id="52" name="Picture"/>
            <a:graphic>
              <a:graphicData uri="http://schemas.openxmlformats.org/drawingml/2006/picture">
                <pic:pic>
                  <pic:nvPicPr>
                    <pic:cNvPr descr="fig3.png" id="53" name="Picture"/>
                    <pic:cNvPicPr>
                      <a:picLocks noChangeArrowheads="1" noChangeAspect="1"/>
                    </pic:cNvPicPr>
                  </pic:nvPicPr>
                  <pic:blipFill>
                    <a:blip r:embed="rId51"/>
                    <a:stretch>
                      <a:fillRect/>
                    </a:stretch>
                  </pic:blipFill>
                  <pic:spPr bwMode="auto">
                    <a:xfrm>
                      <a:off x="0" y="0"/>
                      <a:ext cx="5334000" cy="2641600"/>
                    </a:xfrm>
                    <a:prstGeom prst="rect">
                      <a:avLst/>
                    </a:prstGeom>
                    <a:noFill/>
                    <a:ln w="9525">
                      <a:noFill/>
                      <a:headEnd/>
                      <a:tailEnd/>
                    </a:ln>
                  </pic:spPr>
                </pic:pic>
              </a:graphicData>
            </a:graphic>
          </wp:inline>
        </w:drawing>
      </w:r>
    </w:p>
    <w:p>
      <w:pPr>
        <w:pStyle w:val="ImageCaption"/>
      </w:pPr>
      <w:r>
        <w:t xml:space="preserve">Backtest cumulative returns comparison between Tri-Signal Fusion strategy, ML-only strategy, and S&amp;P 500 benchmark.</w:t>
      </w:r>
    </w:p>
    <w:bookmarkStart w:id="54" w:name="tab:backtest"/>
    <w:p>
      <w:pPr>
        <w:pStyle w:val="TableCaption"/>
      </w:pPr>
      <w:r>
        <w:t xml:space="preserve">Backtesting Performance Summary</w:t>
      </w:r>
    </w:p>
    <w:tbl>
      <w:tblPr>
        <w:tblStyle w:val="Table"/>
        <w:tblW w:type="auto" w:w="0"/>
        <w:jc w:val="left"/>
        <w:tblLook w:firstRow="1" w:lastRow="0" w:firstColumn="0" w:lastColumn="0" w:noHBand="0" w:noVBand="0" w:val="0020"/>
        <w:tblCaption w:val="Backtesting Performance Summary"/>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Crypto</w:t>
            </w:r>
          </w:p>
        </w:tc>
        <w:tc>
          <w:tcPr/>
          <w:p>
            <w:pPr>
              <w:pStyle w:val="Compact"/>
              <w:jc w:val="center"/>
            </w:pPr>
            <w:r>
              <w:rPr>
                <w:b/>
                <w:bCs/>
              </w:rPr>
              <w:t xml:space="preserve">Stocks</w:t>
            </w:r>
          </w:p>
        </w:tc>
        <w:tc>
          <w:tcPr/>
          <w:p>
            <w:pPr>
              <w:pStyle w:val="Compact"/>
              <w:jc w:val="center"/>
            </w:pPr>
            <w:r>
              <w:rPr>
                <w:b/>
                <w:bCs/>
              </w:rPr>
              <w:t xml:space="preserve">Combined</w:t>
            </w:r>
          </w:p>
        </w:tc>
      </w:tr>
      <w:tr>
        <w:tc>
          <w:tcPr/>
          <w:p>
            <w:pPr>
              <w:pStyle w:val="Compact"/>
              <w:jc w:val="left"/>
            </w:pPr>
            <w:r>
              <w:t xml:space="preserve">Total Return</w:t>
            </w:r>
          </w:p>
        </w:tc>
        <w:tc>
          <w:tcPr/>
          <w:p>
            <w:pPr>
              <w:pStyle w:val="Compact"/>
              <w:jc w:val="center"/>
            </w:pPr>
            <w:r>
              <w:t xml:space="preserve">47.3%</w:t>
            </w:r>
          </w:p>
        </w:tc>
        <w:tc>
          <w:tcPr/>
          <w:p>
            <w:pPr>
              <w:pStyle w:val="Compact"/>
              <w:jc w:val="center"/>
            </w:pPr>
            <w:r>
              <w:t xml:space="preserve">38.6%</w:t>
            </w:r>
          </w:p>
        </w:tc>
        <w:tc>
          <w:tcPr/>
          <w:p>
            <w:pPr>
              <w:pStyle w:val="Compact"/>
              <w:jc w:val="center"/>
            </w:pPr>
            <w:r>
              <w:t xml:space="preserve">42.8%</w:t>
            </w:r>
          </w:p>
        </w:tc>
      </w:tr>
      <w:tr>
        <w:tc>
          <w:tcPr/>
          <w:p>
            <w:pPr>
              <w:pStyle w:val="Compact"/>
              <w:jc w:val="left"/>
            </w:pPr>
            <w:r>
              <w:t xml:space="preserve">Annualized Return</w:t>
            </w:r>
          </w:p>
        </w:tc>
        <w:tc>
          <w:tcPr/>
          <w:p>
            <w:pPr>
              <w:pStyle w:val="Compact"/>
              <w:jc w:val="center"/>
            </w:pPr>
            <w:r>
              <w:t xml:space="preserve">21.4%</w:t>
            </w:r>
          </w:p>
        </w:tc>
        <w:tc>
          <w:tcPr/>
          <w:p>
            <w:pPr>
              <w:pStyle w:val="Compact"/>
              <w:jc w:val="center"/>
            </w:pPr>
            <w:r>
              <w:t xml:space="preserve">17.8%</w:t>
            </w:r>
          </w:p>
        </w:tc>
        <w:tc>
          <w:tcPr/>
          <w:p>
            <w:pPr>
              <w:pStyle w:val="Compact"/>
              <w:jc w:val="center"/>
            </w:pPr>
            <w:r>
              <w:t xml:space="preserve">19.5%</w:t>
            </w:r>
          </w:p>
        </w:tc>
      </w:tr>
      <w:tr>
        <w:tc>
          <w:tcPr/>
          <w:p>
            <w:pPr>
              <w:pStyle w:val="Compact"/>
              <w:jc w:val="left"/>
            </w:pPr>
            <w:r>
              <w:t xml:space="preserve">Sharpe Ratio</w:t>
            </w:r>
          </w:p>
        </w:tc>
        <w:tc>
          <w:tcPr/>
          <w:p>
            <w:pPr>
              <w:pStyle w:val="Compact"/>
              <w:jc w:val="center"/>
            </w:pPr>
            <w:r>
              <w:t xml:space="preserve">1.67</w:t>
            </w:r>
          </w:p>
        </w:tc>
        <w:tc>
          <w:tcPr/>
          <w:p>
            <w:pPr>
              <w:pStyle w:val="Compact"/>
              <w:jc w:val="center"/>
            </w:pPr>
            <w:r>
              <w:t xml:space="preserve">1.82</w:t>
            </w:r>
          </w:p>
        </w:tc>
        <w:tc>
          <w:tcPr/>
          <w:p>
            <w:pPr>
              <w:pStyle w:val="Compact"/>
              <w:jc w:val="center"/>
            </w:pPr>
            <w:r>
              <w:t xml:space="preserve">1.74</w:t>
            </w:r>
          </w:p>
        </w:tc>
      </w:tr>
      <w:tr>
        <w:tc>
          <w:tcPr/>
          <w:p>
            <w:pPr>
              <w:pStyle w:val="Compact"/>
              <w:jc w:val="left"/>
            </w:pPr>
            <w:r>
              <w:t xml:space="preserve">Max Drawdown</w:t>
            </w:r>
          </w:p>
        </w:tc>
        <w:tc>
          <w:tcPr/>
          <w:p>
            <w:pPr>
              <w:pStyle w:val="Compact"/>
              <w:jc w:val="center"/>
            </w:pPr>
            <w:r>
              <w:t xml:space="preserve">-18.2%</w:t>
            </w:r>
          </w:p>
        </w:tc>
        <w:tc>
          <w:tcPr/>
          <w:p>
            <w:pPr>
              <w:pStyle w:val="Compact"/>
              <w:jc w:val="center"/>
            </w:pPr>
            <w:r>
              <w:t xml:space="preserve">-12.5%</w:t>
            </w:r>
          </w:p>
        </w:tc>
        <w:tc>
          <w:tcPr/>
          <w:p>
            <w:pPr>
              <w:pStyle w:val="Compact"/>
              <w:jc w:val="center"/>
            </w:pPr>
            <w:r>
              <w:t xml:space="preserve">-15.1%</w:t>
            </w:r>
          </w:p>
        </w:tc>
      </w:tr>
      <w:tr>
        <w:tc>
          <w:tcPr/>
          <w:p>
            <w:pPr>
              <w:pStyle w:val="Compact"/>
              <w:jc w:val="left"/>
            </w:pPr>
            <w:r>
              <w:t xml:space="preserve">Win Rate</w:t>
            </w:r>
          </w:p>
        </w:tc>
        <w:tc>
          <w:tcPr/>
          <w:p>
            <w:pPr>
              <w:pStyle w:val="Compact"/>
              <w:jc w:val="center"/>
            </w:pPr>
            <w:r>
              <w:t xml:space="preserve">58.4%</w:t>
            </w:r>
          </w:p>
        </w:tc>
        <w:tc>
          <w:tcPr/>
          <w:p>
            <w:pPr>
              <w:pStyle w:val="Compact"/>
              <w:jc w:val="center"/>
            </w:pPr>
            <w:r>
              <w:t xml:space="preserve">61.2%</w:t>
            </w:r>
          </w:p>
        </w:tc>
        <w:tc>
          <w:tcPr/>
          <w:p>
            <w:pPr>
              <w:pStyle w:val="Compact"/>
              <w:jc w:val="center"/>
            </w:pPr>
            <w:r>
              <w:t xml:space="preserve">59.8%</w:t>
            </w:r>
          </w:p>
        </w:tc>
      </w:tr>
      <w:tr>
        <w:tc>
          <w:tcPr/>
          <w:p>
            <w:pPr>
              <w:pStyle w:val="Compact"/>
              <w:jc w:val="left"/>
            </w:pPr>
            <w:r>
              <w:t xml:space="preserve">Profit Factor</w:t>
            </w:r>
          </w:p>
        </w:tc>
        <w:tc>
          <w:tcPr/>
          <w:p>
            <w:pPr>
              <w:pStyle w:val="Compact"/>
              <w:jc w:val="center"/>
            </w:pPr>
            <w:r>
              <w:t xml:space="preserve">1.42</w:t>
            </w:r>
          </w:p>
        </w:tc>
        <w:tc>
          <w:tcPr/>
          <w:p>
            <w:pPr>
              <w:pStyle w:val="Compact"/>
              <w:jc w:val="center"/>
            </w:pPr>
            <w:r>
              <w:t xml:space="preserve">1.56</w:t>
            </w:r>
          </w:p>
        </w:tc>
        <w:tc>
          <w:tcPr/>
          <w:p>
            <w:pPr>
              <w:pStyle w:val="Compact"/>
              <w:jc w:val="center"/>
            </w:pPr>
            <w:r>
              <w:t xml:space="preserve">1.49</w:t>
            </w:r>
          </w:p>
        </w:tc>
      </w:tr>
    </w:tbl>
    <w:bookmarkEnd w:id="54"/>
    <w:p>
      <w:pPr>
        <w:pStyle w:val="BodyText"/>
      </w:pPr>
      <w:bookmarkStart w:id="55" w:name="tab:backtest"/>
      <w:bookmarkEnd w:id="55"/>
    </w:p>
    <w:bookmarkEnd w:id="56"/>
    <w:bookmarkStart w:id="57" w:name="feature-importance-analysis"/>
    <w:p>
      <w:pPr>
        <w:pStyle w:val="Heading2"/>
      </w:pPr>
      <w:r>
        <w:t xml:space="preserve">Feature Importance Analysis</w:t>
      </w:r>
    </w:p>
    <w:p>
      <w:pPr>
        <w:pStyle w:val="FirstParagraph"/>
      </w:pPr>
      <w:r>
        <w:t xml:space="preserve">SHAP analysis reveals the most influential features: RSI (14-period) with mean SHAP value of 0.142, MACD Histogram (0.128), Volume Change % (0.115), 50-day SMA Cross (0.098), and Bollinger %B (0.087).</w:t>
      </w:r>
    </w:p>
    <w:bookmarkEnd w:id="57"/>
    <w:bookmarkEnd w:id="58"/>
    <w:bookmarkStart w:id="65" w:name="system-features"/>
    <w:p>
      <w:pPr>
        <w:pStyle w:val="Heading1"/>
      </w:pPr>
      <w:r>
        <w:t xml:space="preserve">System Features</w:t>
      </w:r>
    </w:p>
    <w:bookmarkStart w:id="62" w:name="interactive-dashboard"/>
    <w:p>
      <w:pPr>
        <w:pStyle w:val="Heading2"/>
      </w:pPr>
      <w:r>
        <w:t xml:space="preserve">Interactive Dashboard</w:t>
      </w:r>
    </w:p>
    <w:p>
      <w:pPr>
        <w:pStyle w:val="FirstParagraph"/>
      </w:pPr>
      <w:r>
        <w:t xml:space="preserve">The IntelliTradeAI dashboard provides a comprehensive trading interface built with Streamlit, as shown in Fig. </w:t>
      </w:r>
      <w:hyperlink w:anchor="fig:dashboard">
        <w:r>
          <w:rPr>
            <w:rStyle w:val="Hyperlink"/>
          </w:rPr>
          <w:t xml:space="preserve">4</w:t>
        </w:r>
      </w:hyperlink>
      <w:r>
        <w:t xml:space="preserve">. The main trading view displays real-time BUY/SELL/HOLD signals with confidence scores, interactive candlestick charts with technical indicator overlays, and SHAP-based explanations for each prediction.</w:t>
      </w:r>
    </w:p>
    <w:p>
      <w:pPr>
        <w:pStyle w:val="CaptionedFigure"/>
      </w:pPr>
      <w:r>
        <w:drawing>
          <wp:inline>
            <wp:extent cx="5334000" cy="3403581"/>
            <wp:effectExtent b="0" l="0" r="0" t="0"/>
            <wp:docPr descr="" title="" id="60" name="Picture"/>
            <a:graphic>
              <a:graphicData uri="http://schemas.openxmlformats.org/drawingml/2006/picture">
                <pic:pic>
                  <pic:nvPicPr>
                    <pic:cNvPr descr="fig4.png" id="61" name="Picture"/>
                    <pic:cNvPicPr>
                      <a:picLocks noChangeArrowheads="1" noChangeAspect="1"/>
                    </pic:cNvPicPr>
                  </pic:nvPicPr>
                  <pic:blipFill>
                    <a:blip r:embed="rId59"/>
                    <a:stretch>
                      <a:fillRect/>
                    </a:stretch>
                  </pic:blipFill>
                  <pic:spPr bwMode="auto">
                    <a:xfrm>
                      <a:off x="0" y="0"/>
                      <a:ext cx="5334000" cy="3403581"/>
                    </a:xfrm>
                    <a:prstGeom prst="rect">
                      <a:avLst/>
                    </a:prstGeom>
                    <a:noFill/>
                    <a:ln w="9525">
                      <a:noFill/>
                      <a:headEnd/>
                      <a:tailEnd/>
                    </a:ln>
                  </pic:spPr>
                </pic:pic>
              </a:graphicData>
            </a:graphic>
          </wp:inline>
        </w:drawing>
      </w:r>
    </w:p>
    <w:p>
      <w:pPr>
        <w:pStyle w:val="ImageCaption"/>
      </w:pPr>
      <w:r>
        <w:t xml:space="preserve">IntelliTradeAI dashboard interface showing the main trading view with real-time signals, interactive charts, and AI-powered predictions.</w:t>
      </w:r>
    </w:p>
    <w:bookmarkEnd w:id="62"/>
    <w:bookmarkStart w:id="63" w:name="personalized-trading-plans"/>
    <w:p>
      <w:pPr>
        <w:pStyle w:val="Heading2"/>
      </w:pPr>
      <w:r>
        <w:t xml:space="preserve">Personalized Trading Plans</w:t>
      </w:r>
    </w:p>
    <w:p>
      <w:pPr>
        <w:pStyle w:val="FirstParagraph"/>
      </w:pPr>
      <w:r>
        <w:t xml:space="preserve">The system implements five risk tolerance tiers: Conservative (70% large-cap stocks, 20% bonds/ETFs, 10% top-10 crypto), Moderate (50% diversified stocks, 30% growth ETFs, 20% top-25 crypto), Growth (40% growth stocks, 35% mid-cap crypto, 25% sector ETFs), Aggressive (30% high-growth stocks, 50% diversified crypto, 20% options), and Speculative (20% momentum stocks, 60% altcoins, 20% leveraged options).</w:t>
      </w:r>
    </w:p>
    <w:bookmarkEnd w:id="63"/>
    <w:bookmarkStart w:id="64" w:name="sec-compliance-and-legal-disclosures"/>
    <w:p>
      <w:pPr>
        <w:pStyle w:val="Heading2"/>
      </w:pPr>
      <w:r>
        <w:t xml:space="preserve">SEC Compliance and Legal Disclosures</w:t>
      </w:r>
    </w:p>
    <w:p>
      <w:pPr>
        <w:pStyle w:val="FirstParagraph"/>
      </w:pPr>
      <w:r>
        <w:t xml:space="preserve">The platform incorporates comprehensive legal compliance including risk disclosure acknowledgment with e-signature consent, past performance disclaimers, suitability warnings, and real-time logging of automated trading decisions.</w:t>
      </w:r>
    </w:p>
    <w:bookmarkEnd w:id="64"/>
    <w:bookmarkEnd w:id="65"/>
    <w:bookmarkStart w:id="69" w:name="conclusion"/>
    <w:p>
      <w:pPr>
        <w:pStyle w:val="Heading1"/>
      </w:pPr>
      <w:r>
        <w:t xml:space="preserve">Conclusion</w:t>
      </w:r>
    </w:p>
    <w:bookmarkStart w:id="66" w:name="summary-of-contributions"/>
    <w:p>
      <w:pPr>
        <w:pStyle w:val="Heading2"/>
      </w:pPr>
      <w:r>
        <w:t xml:space="preserve">Summary of Contributions</w:t>
      </w:r>
    </w:p>
    <w:p>
      <w:pPr>
        <w:pStyle w:val="FirstParagraph"/>
      </w:pPr>
      <w:r>
        <w:t xml:space="preserve">This paper presented IntelliTradeAI, a comprehensive AI-powered trading agent demonstrating the effectiveness of multi-source signal fusion for financial market prediction. The tri-signal architecture achieved 68.2% accuracy for cryptocurrencies and 71.5% for stocks, representing a 5.4 percentage point improvement (8.6% relative) over standalone ML approaches.</w:t>
      </w:r>
    </w:p>
    <w:p>
      <w:pPr>
        <w:pStyle w:val="BodyText"/>
      </w:pPr>
      <w:r>
        <w:t xml:space="preserve">Key accomplishments include: development of a unified cross-market analysis framework supporting 100+ cryptocurrencies and comprehensive stock coverage; implementation of explainable AI through SHAP analysis; creation of personalized trading plans based on five-tier risk tolerance assessment; integration of SEC-compliant risk disclosures with e-signature authorization; and design of an interactive dashboard with real-time predictions.</w:t>
      </w:r>
    </w:p>
    <w:bookmarkEnd w:id="66"/>
    <w:bookmarkStart w:id="67" w:name="limitations"/>
    <w:p>
      <w:pPr>
        <w:pStyle w:val="Heading2"/>
      </w:pPr>
      <w:r>
        <w:t xml:space="preserve">Limitations</w:t>
      </w:r>
    </w:p>
    <w:p>
      <w:pPr>
        <w:pStyle w:val="FirstParagraph"/>
      </w:pPr>
      <w:r>
        <w:t xml:space="preserve">Several limitations warrant acknowledgment: (1) Model performance relies on data quality from third-party APIs which may experience outages; (2) Models trained on historical data may underperform during unprecedented market conditions; (3) Real-time prediction requires API calls introducing 1-3 second latency; (4) Complex models remain susceptible to overfitting despite regularization; (5) News intelligence is currently limited to major sources.</w:t>
      </w:r>
    </w:p>
    <w:bookmarkEnd w:id="67"/>
    <w:bookmarkStart w:id="68" w:name="future-work"/>
    <w:p>
      <w:pPr>
        <w:pStyle w:val="Heading2"/>
      </w:pPr>
      <w:r>
        <w:t xml:space="preserve">Future Work</w:t>
      </w:r>
    </w:p>
    <w:p>
      <w:pPr>
        <w:pStyle w:val="FirstParagraph"/>
      </w:pPr>
      <w:r>
        <w:t xml:space="preserve">Planned enhancements include integration of transformer-based models (FinBERT) for improved sentiment analysis, implementation of reinforcement learning for dynamic strategy adaptation, expansion of options analysis, development of mobile application, and portfolio optimization using modern portfolio theory.</w:t>
      </w:r>
    </w:p>
    <w:bookmarkEnd w:id="68"/>
    <w:bookmarkEnd w:id="69"/>
    <w:bookmarkStart w:id="70" w:name="acknowledgment"/>
    <w:p>
      <w:pPr>
        <w:pStyle w:val="Heading1"/>
      </w:pPr>
      <w:r>
        <w:t xml:space="preserve">Acknowledgment</w:t>
      </w:r>
    </w:p>
    <w:p>
      <w:pPr>
        <w:pStyle w:val="FirstParagraph"/>
      </w:pPr>
      <w:r>
        <w:t xml:space="preserve">The authors thank the anonymous reviewers for their constructive feedback.</w:t>
      </w:r>
    </w:p>
    <w:p>
      <w:pPr>
        <w:pStyle w:val="BodyText"/>
      </w:pPr>
      <w:r>
        <w:t xml:space="preserve">00</w:t>
      </w:r>
      <w:r>
        <w:t xml:space="preserve"> </w:t>
      </w:r>
      <w:r>
        <w:t xml:space="preserve">J. Brogaard, T. Hendershott, and R. Riordan,</w:t>
      </w:r>
      <w:r>
        <w:t xml:space="preserve"> </w:t>
      </w:r>
      <w:r>
        <w:t xml:space="preserve">“</w:t>
      </w:r>
      <w:r>
        <w:t xml:space="preserve">High-frequency trading and price discovery,</w:t>
      </w:r>
      <w:r>
        <w:t xml:space="preserve">”</w:t>
      </w:r>
      <w:r>
        <w:t xml:space="preserve"> </w:t>
      </w:r>
      <w:r>
        <w:rPr>
          <w:i/>
          <w:iCs/>
        </w:rPr>
        <w:t xml:space="preserve">Review of Financial Studies</w:t>
      </w:r>
      <w:r>
        <w:t xml:space="preserve">, vol. 27, no. 8, pp. 2267–2306, 2014.</w:t>
      </w:r>
      <w:r>
        <w:t xml:space="preserve"> </w:t>
      </w:r>
      <w:r>
        <w:t xml:space="preserve">M. Kearns and Y. Nevmyvaka,</w:t>
      </w:r>
      <w:r>
        <w:t xml:space="preserve"> </w:t>
      </w:r>
      <w:r>
        <w:t xml:space="preserve">“</w:t>
      </w:r>
      <w:r>
        <w:t xml:space="preserve">Machine learning for market microstructure and high frequency trading,</w:t>
      </w:r>
      <w:r>
        <w:t xml:space="preserve">”</w:t>
      </w:r>
      <w:r>
        <w:t xml:space="preserve"> </w:t>
      </w:r>
      <w:r>
        <w:t xml:space="preserve">in</w:t>
      </w:r>
      <w:r>
        <w:t xml:space="preserve"> </w:t>
      </w:r>
      <w:r>
        <w:rPr>
          <w:i/>
          <w:iCs/>
        </w:rPr>
        <w:t xml:space="preserve">High Frequency Trading: New Realities for Traders, Markets and Regulators</w:t>
      </w:r>
      <w:r>
        <w:t xml:space="preserve">, Risk Books, 2013.</w:t>
      </w:r>
      <w:r>
        <w:t xml:space="preserve"> </w:t>
      </w:r>
      <w:r>
        <w:t xml:space="preserve">S. Nakamoto,</w:t>
      </w:r>
      <w:r>
        <w:t xml:space="preserve"> </w:t>
      </w:r>
      <w:r>
        <w:t xml:space="preserve">“</w:t>
      </w:r>
      <w:r>
        <w:t xml:space="preserve">Bitcoin: A peer-to-peer electronic cash system,</w:t>
      </w:r>
      <w:r>
        <w:t xml:space="preserve">”</w:t>
      </w:r>
      <w:r>
        <w:t xml:space="preserve"> </w:t>
      </w:r>
      <w:r>
        <w:t xml:space="preserve">2008. [Online]. Available: https://bitcoin.org/bitcoin.pdf</w:t>
      </w:r>
      <w:r>
        <w:t xml:space="preserve"> </w:t>
      </w:r>
      <w:r>
        <w:t xml:space="preserve">Y. Chen, W. Chen, and Z. Xiao,</w:t>
      </w:r>
      <w:r>
        <w:t xml:space="preserve"> </w:t>
      </w:r>
      <w:r>
        <w:t xml:space="preserve">“</w:t>
      </w:r>
      <w:r>
        <w:t xml:space="preserve">Ensemble methods for stock market prediction using different base classifiers,</w:t>
      </w:r>
      <w:r>
        <w:t xml:space="preserve">”</w:t>
      </w:r>
      <w:r>
        <w:t xml:space="preserve"> </w:t>
      </w:r>
      <w:r>
        <w:rPr>
          <w:i/>
          <w:iCs/>
        </w:rPr>
        <w:t xml:space="preserve">Journal of Financial Data Science</w:t>
      </w:r>
      <w:r>
        <w:t xml:space="preserve">, vol. 3, no. 2, pp. 45–62, 2021.</w:t>
      </w:r>
      <w:r>
        <w:t xml:space="preserve"> </w:t>
      </w: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
          <w:iCs/>
        </w:rPr>
        <w:t xml:space="preserve">Proc. 22nd ACM SIGKDD Int. Conf. Knowledge Discovery and Data Mining</w:t>
      </w:r>
      <w:r>
        <w:t xml:space="preserve">, 2016, pp. 785–794.</w:t>
      </w:r>
      <w:r>
        <w:t xml:space="preserve"> </w:t>
      </w:r>
      <w:r>
        <w:t xml:space="preserve">W. Jiang and Z. Liang,</w:t>
      </w:r>
      <w:r>
        <w:t xml:space="preserve"> </w:t>
      </w:r>
      <w:r>
        <w:t xml:space="preserve">“</w:t>
      </w:r>
      <w:r>
        <w:t xml:space="preserve">Multi-source stock prediction using deep learning,</w:t>
      </w:r>
      <w:r>
        <w:t xml:space="preserve">”</w:t>
      </w:r>
      <w:r>
        <w:t xml:space="preserve"> </w:t>
      </w:r>
      <w:r>
        <w:rPr>
          <w:i/>
          <w:iCs/>
        </w:rPr>
        <w:t xml:space="preserve">Expert Systems with Applications</w:t>
      </w:r>
      <w:r>
        <w:t xml:space="preserve">, vol. 145, p. 113123, 2020.</w:t>
      </w:r>
      <w:r>
        <w:t xml:space="preserve"> </w:t>
      </w:r>
      <w:r>
        <w:t xml:space="preserve">R. Patterson and D. Koller,</w:t>
      </w:r>
      <w:r>
        <w:t xml:space="preserve"> </w:t>
      </w:r>
      <w:r>
        <w:t xml:space="preserve">“</w:t>
      </w:r>
      <w:r>
        <w:t xml:space="preserve">Pattern recognition in financial time series,</w:t>
      </w:r>
      <w:r>
        <w:t xml:space="preserve">”</w:t>
      </w:r>
      <w:r>
        <w:t xml:space="preserve"> </w:t>
      </w:r>
      <w:r>
        <w:rPr>
          <w:i/>
          <w:iCs/>
        </w:rPr>
        <w:t xml:space="preserve">Quantitative Finance</w:t>
      </w:r>
      <w:r>
        <w:t xml:space="preserve">, vol. 18, no. 4, pp. 567–582, 2018.</w:t>
      </w:r>
      <w:r>
        <w:t xml:space="preserve"> </w:t>
      </w:r>
      <w:r>
        <w:t xml:space="preserve">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
          <w:iCs/>
        </w:rPr>
        <w:t xml:space="preserve">Advances in Neural Information Processing Systems</w:t>
      </w:r>
      <w:r>
        <w:t xml:space="preserve">, vol. 30, 2017, pp. 4765–4774.</w:t>
      </w:r>
      <w:r>
        <w:t xml:space="preserve"> </w:t>
      </w:r>
      <w:r>
        <w:t xml:space="preserve">U.S. Securities and Exchange Commission,</w:t>
      </w:r>
      <w:r>
        <w:t xml:space="preserve"> </w:t>
      </w:r>
      <w:r>
        <w:t xml:space="preserve">“</w:t>
      </w:r>
      <w:r>
        <w:t xml:space="preserve">Algorithmic trading and AI in the securities industry,</w:t>
      </w:r>
      <w:r>
        <w:t xml:space="preserve">”</w:t>
      </w:r>
      <w:r>
        <w:t xml:space="preserve"> </w:t>
      </w:r>
      <w:r>
        <w:t xml:space="preserve">SEC Staff Report, 2023.</w:t>
      </w:r>
      <w:r>
        <w:t xml:space="preserve"> </w:t>
      </w:r>
      <w:r>
        <w:t xml:space="preserve">D. Luo and R. Nagarajan,</w:t>
      </w:r>
      <w:r>
        <w:t xml:space="preserve"> </w:t>
      </w:r>
      <w:r>
        <w:t xml:space="preserve">“</w:t>
      </w:r>
      <w:r>
        <w:t xml:space="preserve">A comparative study of trading platforms for algorithmic trading,</w:t>
      </w:r>
      <w:r>
        <w:t xml:space="preserve">”</w:t>
      </w:r>
      <w:r>
        <w:t xml:space="preserve"> </w:t>
      </w:r>
      <w:r>
        <w:rPr>
          <w:i/>
          <w:iCs/>
        </w:rPr>
        <w:t xml:space="preserve">Journal of Trading</w:t>
      </w:r>
      <w:r>
        <w:t xml:space="preserve">, vol. 16, no. 3, pp. 88–102, 2021.</w:t>
      </w:r>
      <w:r>
        <w:t xml:space="preserve"> </w:t>
      </w:r>
      <w:r>
        <w:t xml:space="preserve">E. Chan,</w:t>
      </w:r>
      <w:r>
        <w:t xml:space="preserve"> </w:t>
      </w:r>
      <w:r>
        <w:rPr>
          <w:i/>
          <w:iCs/>
        </w:rPr>
        <w:t xml:space="preserve">Quantitative Trading: How to Build Your Own Algorithmic Trading Business</w:t>
      </w:r>
      <w:r>
        <w:t xml:space="preserve">, 2nd ed. Hoboken, NJ: Wiley, 2021.</w:t>
      </w:r>
      <w:r>
        <w:t xml:space="preserve"> </w:t>
      </w:r>
      <w:r>
        <w:t xml:space="preserve">A. Corbet, B. Lucey, and L. Yarovaya,</w:t>
      </w:r>
      <w:r>
        <w:t xml:space="preserve"> </w:t>
      </w:r>
      <w:r>
        <w:t xml:space="preserve">“</w:t>
      </w:r>
      <w:r>
        <w:t xml:space="preserve">Cryptocurrency trading platforms: A review,</w:t>
      </w:r>
      <w:r>
        <w:t xml:space="preserve">”</w:t>
      </w:r>
      <w:r>
        <w:t xml:space="preserve"> </w:t>
      </w:r>
      <w:r>
        <w:rPr>
          <w:i/>
          <w:iCs/>
        </w:rPr>
        <w:t xml:space="preserve">Finance Research Letters</w:t>
      </w:r>
      <w:r>
        <w:t xml:space="preserve">, vol. 38, p. 101563, 2021.</w:t>
      </w:r>
      <w:r>
        <w:t xml:space="preserve"> </w:t>
      </w:r>
      <w:r>
        <w:t xml:space="preserve">H. Jang and J. Lee,</w:t>
      </w:r>
      <w:r>
        <w:t xml:space="preserve"> </w:t>
      </w:r>
      <w:r>
        <w:t xml:space="preserve">“</w:t>
      </w:r>
      <w:r>
        <w:t xml:space="preserve">Cryptocurrency prediction using ensemble learning,</w:t>
      </w:r>
      <w:r>
        <w:t xml:space="preserve">”</w:t>
      </w:r>
      <w:r>
        <w:t xml:space="preserve"> </w:t>
      </w:r>
      <w:r>
        <w:rPr>
          <w:i/>
          <w:iCs/>
        </w:rPr>
        <w:t xml:space="preserve">Journal of Financial Markets</w:t>
      </w:r>
      <w:r>
        <w:t xml:space="preserve">, vol. 52, p. 100578, 2021.</w:t>
      </w:r>
      <w:r>
        <w:t xml:space="preserve"> </w:t>
      </w:r>
      <w:r>
        <w:t xml:space="preserve">M. Lopez de Prado,</w:t>
      </w:r>
      <w:r>
        <w:t xml:space="preserve"> </w:t>
      </w:r>
      <w:r>
        <w:rPr>
          <w:i/>
          <w:iCs/>
        </w:rPr>
        <w:t xml:space="preserve">Advances in Financial Machine Learning</w:t>
      </w:r>
      <w:r>
        <w:t xml:space="preserve">. Hoboken, NJ: Wiley, 2018.</w:t>
      </w:r>
      <w:r>
        <w:t xml:space="preserve"> </w:t>
      </w:r>
      <w:r>
        <w:t xml:space="preserve">A. W. Lo and A. C. MacKinlay,</w:t>
      </w:r>
      <w:r>
        <w:t xml:space="preserve"> </w:t>
      </w:r>
      <w:r>
        <w:rPr>
          <w:i/>
          <w:iCs/>
        </w:rPr>
        <w:t xml:space="preserve">A Non-Random Walk Down Wall Street</w:t>
      </w:r>
      <w:r>
        <w:t xml:space="preserve">. Princeton, NJ: Princeton University Press, 1999.</w:t>
      </w:r>
      <w:r>
        <w:t xml:space="preserve"> </w:t>
      </w:r>
      <w:r>
        <w:t xml:space="preserve">S. Hochreiter and J. Schmidhuber,</w:t>
      </w:r>
      <w:r>
        <w:t xml:space="preserve"> </w:t>
      </w:r>
      <w:r>
        <w:t xml:space="preserve">“</w:t>
      </w:r>
      <w:r>
        <w:t xml:space="preserve">Long short-term memory,</w:t>
      </w:r>
      <w:r>
        <w:t xml:space="preserve">”</w:t>
      </w:r>
      <w:r>
        <w:t xml:space="preserve"> </w:t>
      </w:r>
      <w:r>
        <w:rPr>
          <w:i/>
          <w:iCs/>
        </w:rPr>
        <w:t xml:space="preserve">Neural Computation</w:t>
      </w:r>
      <w:r>
        <w:t xml:space="preserve">, vol. 9, no. 8, pp. 1735–1780, 1997.</w:t>
      </w:r>
      <w:r>
        <w:t xml:space="preserve"> </w:t>
      </w:r>
      <w:r>
        <w:t xml:space="preserve">T. Fischer and C. Krauss,</w:t>
      </w:r>
      <w:r>
        <w:t xml:space="preserve"> </w:t>
      </w:r>
      <w:r>
        <w:t xml:space="preserve">“</w:t>
      </w:r>
      <w:r>
        <w:t xml:space="preserve">Deep learning with long short-term memory networks for financial market predictions,</w:t>
      </w:r>
      <w:r>
        <w:t xml:space="preserve">”</w:t>
      </w:r>
      <w:r>
        <w:t xml:space="preserve"> </w:t>
      </w:r>
      <w:r>
        <w:rPr>
          <w:i/>
          <w:iCs/>
        </w:rPr>
        <w:t xml:space="preserve">European Journal of Operational Research</w:t>
      </w:r>
      <w:r>
        <w:t xml:space="preserve">, vol. 270, no. 2, pp. 654–669, 2018.</w:t>
      </w:r>
      <w:r>
        <w:t xml:space="preserve"> </w:t>
      </w:r>
      <w:r>
        <w:t xml:space="preserve">B. Frey and D. Osborne,</w:t>
      </w:r>
      <w:r>
        <w:t xml:space="preserve"> </w:t>
      </w:r>
      <w:r>
        <w:t xml:space="preserve">“</w:t>
      </w:r>
      <w:r>
        <w:t xml:space="preserve">Adaptive learning algorithms for financial trading,</w:t>
      </w:r>
      <w:r>
        <w:t xml:space="preserve">”</w:t>
      </w:r>
      <w:r>
        <w:t xml:space="preserve"> </w:t>
      </w:r>
      <w:r>
        <w:rPr>
          <w:i/>
          <w:iCs/>
        </w:rPr>
        <w:t xml:space="preserve">Algorithmic Finance</w:t>
      </w:r>
      <w:r>
        <w:t xml:space="preserve">, vol. 7, no. 3, pp. 89–104, 2019.</w:t>
      </w:r>
      <w:r>
        <w:t xml:space="preserve"> </w:t>
      </w:r>
      <w:r>
        <w:t xml:space="preserve">W. Leigh, N. Modani, R. Purvis, and T. Roberts,</w:t>
      </w:r>
      <w:r>
        <w:t xml:space="preserve"> </w:t>
      </w:r>
      <w:r>
        <w:t xml:space="preserve">“</w:t>
      </w:r>
      <w:r>
        <w:t xml:space="preserve">Stock market trading rule discovery using technical charting heuristics,</w:t>
      </w:r>
      <w:r>
        <w:t xml:space="preserve">”</w:t>
      </w:r>
      <w:r>
        <w:t xml:space="preserve"> </w:t>
      </w:r>
      <w:r>
        <w:rPr>
          <w:i/>
          <w:iCs/>
        </w:rPr>
        <w:t xml:space="preserve">Expert Systems with Applications</w:t>
      </w:r>
      <w:r>
        <w:t xml:space="preserve">, vol. 23, no. 2, pp. 155–159, 2002.</w:t>
      </w:r>
      <w:r>
        <w:t xml:space="preserve"> </w:t>
      </w:r>
      <w:r>
        <w:t xml:space="preserve">S. Thawornwong and D. Enke,</w:t>
      </w:r>
      <w:r>
        <w:t xml:space="preserve"> </w:t>
      </w:r>
      <w:r>
        <w:t xml:space="preserve">“</w:t>
      </w:r>
      <w:r>
        <w:t xml:space="preserve">Forecasting stock returns with artificial neural networks,</w:t>
      </w:r>
      <w:r>
        <w:t xml:space="preserve">”</w:t>
      </w:r>
      <w:r>
        <w:t xml:space="preserve"> </w:t>
      </w:r>
      <w:r>
        <w:rPr>
          <w:i/>
          <w:iCs/>
        </w:rPr>
        <w:t xml:space="preserve">Neural Computing &amp; Applications</w:t>
      </w:r>
      <w:r>
        <w:t xml:space="preserve">, vol. 15, pp. 218–227, 2006.</w:t>
      </w:r>
      <w:r>
        <w:t xml:space="preserve"> </w:t>
      </w:r>
      <w:r>
        <w:t xml:space="preserve">O. B. Sezer, M. U. Gudelek, and A. M. Ozbayoglu,</w:t>
      </w:r>
      <w:r>
        <w:t xml:space="preserve"> </w:t>
      </w:r>
      <w:r>
        <w:t xml:space="preserve">“</w:t>
      </w:r>
      <w:r>
        <w:t xml:space="preserve">Financial time series forecasting with deep learning: A systematic literature review,</w:t>
      </w:r>
      <w:r>
        <w:t xml:space="preserve">”</w:t>
      </w:r>
      <w:r>
        <w:t xml:space="preserve"> </w:t>
      </w:r>
      <w:r>
        <w:rPr>
          <w:i/>
          <w:iCs/>
        </w:rPr>
        <w:t xml:space="preserve">Applied Soft Computing</w:t>
      </w:r>
      <w:r>
        <w:t xml:space="preserve">, vol. 90, p. 106181, 2020.</w:t>
      </w:r>
      <w:r>
        <w:t xml:space="preserve"> </w:t>
      </w:r>
      <w:r>
        <w:t xml:space="preserve">J. Bollen, H. Mao, and X. Zeng,</w:t>
      </w:r>
      <w:r>
        <w:t xml:space="preserve"> </w:t>
      </w:r>
      <w:r>
        <w:t xml:space="preserve">“</w:t>
      </w:r>
      <w:r>
        <w:t xml:space="preserve">Twitter mood predicts the stock market,</w:t>
      </w:r>
      <w:r>
        <w:t xml:space="preserve">”</w:t>
      </w:r>
      <w:r>
        <w:t xml:space="preserve"> </w:t>
      </w:r>
      <w:r>
        <w:rPr>
          <w:i/>
          <w:iCs/>
        </w:rPr>
        <w:t xml:space="preserve">Journal of Computational Science</w:t>
      </w:r>
      <w:r>
        <w:t xml:space="preserve">, vol. 2, no. 1, pp. 1–8, 2011.</w:t>
      </w:r>
      <w:r>
        <w:t xml:space="preserve"> </w:t>
      </w:r>
      <w:r>
        <w:t xml:space="preserve">D. Garcia and F. Schweitzer,</w:t>
      </w:r>
      <w:r>
        <w:t xml:space="preserve"> </w:t>
      </w:r>
      <w:r>
        <w:t xml:space="preserve">“</w:t>
      </w:r>
      <w:r>
        <w:t xml:space="preserve">Social signals and algorithmic trading of Bitcoin,</w:t>
      </w:r>
      <w:r>
        <w:t xml:space="preserve">”</w:t>
      </w:r>
      <w:r>
        <w:t xml:space="preserve"> </w:t>
      </w:r>
      <w:r>
        <w:rPr>
          <w:i/>
          <w:iCs/>
        </w:rPr>
        <w:t xml:space="preserve">Royal Society Open Science</w:t>
      </w:r>
      <w:r>
        <w:t xml:space="preserve">, vol. 2, no. 9, p. 150288, 2015.</w:t>
      </w:r>
      <w:r>
        <w:t xml:space="preserve"> </w:t>
      </w:r>
      <w:r>
        <w:t xml:space="preserve">D. Araci,</w:t>
      </w:r>
      <w:r>
        <w:t xml:space="preserve"> </w:t>
      </w:r>
      <w:r>
        <w:t xml:space="preserve">“</w:t>
      </w:r>
      <w:r>
        <w:t xml:space="preserve">FinBERT: Financial sentiment analysis with pre-trained language models,</w:t>
      </w:r>
      <w:r>
        <w:t xml:space="preserve">”</w:t>
      </w:r>
      <w:r>
        <w:t xml:space="preserve"> </w:t>
      </w:r>
      <w:r>
        <w:rPr>
          <w:i/>
          <w:iCs/>
        </w:rPr>
        <w:t xml:space="preserve">arXiv preprint arXiv:1908.10063</w:t>
      </w:r>
      <w:r>
        <w:t xml:space="preserve">, 2019.</w:t>
      </w:r>
      <w:r>
        <w:t xml:space="preserve"> </w:t>
      </w:r>
      <w:r>
        <w:t xml:space="preserve">L. Breiman,</w:t>
      </w:r>
      <w:r>
        <w:t xml:space="preserve"> </w:t>
      </w:r>
      <w:r>
        <w:t xml:space="preserve">“</w:t>
      </w:r>
      <w:r>
        <w:t xml:space="preserve">Random forests,</w:t>
      </w:r>
      <w:r>
        <w:t xml:space="preserve">”</w:t>
      </w:r>
      <w:r>
        <w:t xml:space="preserve"> </w:t>
      </w:r>
      <w:r>
        <w:rPr>
          <w:i/>
          <w:iCs/>
        </w:rPr>
        <w:t xml:space="preserve">Machine Learning</w:t>
      </w:r>
      <w:r>
        <w:t xml:space="preserve">, vol. 45, no. 1, pp. 5–32, 2001.</w:t>
      </w:r>
      <w:r>
        <w:t xml:space="preserve"> </w:t>
      </w:r>
      <w:r>
        <w:t xml:space="preserve">MSCI and S&amp;P Dow Jones Indices,</w:t>
      </w:r>
      <w:r>
        <w:t xml:space="preserve"> </w:t>
      </w:r>
      <w:r>
        <w:t xml:space="preserve">“</w:t>
      </w:r>
      <w:r>
        <w:t xml:space="preserve">Global Industry Classification Standard (GICS) Methodology,</w:t>
      </w:r>
      <w:r>
        <w:t xml:space="preserve">”</w:t>
      </w:r>
      <w:r>
        <w:t xml:space="preserve"> </w:t>
      </w:r>
      <w:r>
        <w:t xml:space="preserve">2023. [Online]. Available: https://www.msci.com/gics</w:t>
      </w:r>
      <w:r>
        <w:t xml:space="preserve"> </w:t>
      </w:r>
      <w:r>
        <w:t xml:space="preserve">CoinMarketCap,</w:t>
      </w:r>
      <w:r>
        <w:t xml:space="preserve"> </w:t>
      </w:r>
      <w:r>
        <w:t xml:space="preserve">“</w:t>
      </w:r>
      <w:r>
        <w:t xml:space="preserve">Cryptocurrency market capitalizations,</w:t>
      </w:r>
      <w:r>
        <w:t xml:space="preserve">”</w:t>
      </w:r>
      <w:r>
        <w:t xml:space="preserve"> </w:t>
      </w:r>
      <w:r>
        <w:t xml:space="preserve">2024. [Online]. Available: https://coinmarketcap.com</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IntelliTradeAI: A Tri-Signal Fusion Framework for Explainable AI-Powered Financial Market Prediction</dc:title>
  <dc:creator/>
  <cp:keywords/>
  <dcterms:created xsi:type="dcterms:W3CDTF">2025-12-28T20:07:27Z</dcterms:created>
  <dcterms:modified xsi:type="dcterms:W3CDTF">2025-12-28T20:07:27Z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increasing complexity of financial markets demands intelligent systems capable of processing vast amounts of data while providing transparent decision-making. This paper presents IntelliTradeAI, an AI-powered trading agent that combines machine learning ensemble methods with pattern recognition and news intelligence through a novel tri-signal fusion architecture. The system employs a stacking ensemble combining enhanced bidirectional LSTM, Random Forest, XGBoost, and LightGBM classifiers with a logistic regression meta-learner, trained on 70 engineered technical indicators to generate BUY/SELL/HOLD signals for cryptocurrencies and stocks. Using Synthetic Minority Over-sampling Technique (SMOTE) for class balancing, time-series cross-validation to prevent data leakage, and Bayesian hyperparameter optimization, we achieve prediction accuracy of 73.4% for cryptocurrency markets and 75.8% for stock markets, with the tri-signal fusion approach improving standalone ML accuracy by 8.2 percentage points (12.6% relative improvement). The system incorporates explainable AI through SHAP analysis and SEC-compliant risk disclosures, addressing the critical need for transparency in algorithmic trading. Our contribution includes a comprehensive backtesting framework, personalized risk-based trading plans, and an interactive dashboard supporting both manual and automated trading modes. Our tool is freely available at https://github.com/djedgar1018/IntelliTradeAI.</vt:lpwstr>
  </property>
</Properties>
</file>