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Gradient Boosting, and ExtraTrees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85.2% for cryptocurrency markets and 52.4%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t>Cross-Market Analysis: Unified framework supporting 39 cryptocurrencies, 108 stocks, and 10 ETFs across 12 sectors and comprehensive stock market coverage including all 11 Global Industry Classification Standard (GICS) sectors .</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 xml:space="preserve">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gradient boosting.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81.5%</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52.4%</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85.2% accuracy for cryptocurrencies and 52.4% for stocks, representing a 5.4 percentage point improvement (8.6% relative) over standalone ML approaches.</w:t>
      </w:r>
    </w:p>
    <w:p>
      <w:pPr>
        <w:pStyle w:val="BodyText"/>
      </w:pPr>
      <w:r>
        <w:t>Key accomplishments include: development of a unified cross-market analysis framework supporting 39 cryptocurrencies, 108 stocks, and 10 ETFs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