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Gradient Boosting, and ExtraTrees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81.5% for cryptocurrency markets and 52.4%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100+ cryptocurrencies across 12 sectors and comprehensive stock market coverage including all 11 Global Industry Classification Standard (GICS) sectors</w:t>
      </w:r>
      <w:r>
        <w:t xml:space="preserve"> </w:t>
      </w:r>
      <w:r>
        <w:t xml:space="preserve">.</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 xml:space="preserve">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gradient boosting.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81.5%</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52.4%</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81.5% accuracy for cryptocurrencies and 52.4% for stocks, representing a 5.4 percentage point improvement (8.6% relative) over standalone ML approaches.</w:t>
      </w:r>
    </w:p>
    <w:p>
      <w:pPr>
        <w:pStyle w:val="BodyText"/>
      </w:pPr>
      <w:r>
        <w:t xml:space="preserve">Key accomplishments include: development of a unified cross-market analysis framework supporting 100+ cryptocurrencies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