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7.png" ContentType="image/png"/>
  <Override PartName="/word/media/rId69.png" ContentType="image/png"/>
  <Override PartName="/word/media/rId85.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 xml:space="preserve">The</w:t>
      </w:r>
      <w:r>
        <w:t xml:space="preserve"> </w:t>
      </w:r>
      <w:r>
        <w:t xml:space="preserve">growing</w:t>
      </w:r>
      <w:r>
        <w:t xml:space="preserve"> </w:t>
      </w:r>
      <w:r>
        <w:t xml:space="preserve">complexity</w:t>
      </w:r>
      <w:r>
        <w:t xml:space="preserve"> </w:t>
      </w:r>
      <w:r>
        <w:t xml:space="preserve">of</w:t>
      </w:r>
      <w:r>
        <w:t xml:space="preserve"> </w:t>
      </w:r>
      <w:r>
        <w:t xml:space="preserve">financial</w:t>
      </w:r>
      <w:r>
        <w:t xml:space="preserve"> </w:t>
      </w:r>
      <w:r>
        <w:t xml:space="preserve">markets</w:t>
      </w:r>
      <w:r>
        <w:t xml:space="preserve"> </w:t>
      </w:r>
      <w:r>
        <w:t xml:space="preserve">requires</w:t>
      </w:r>
      <w:r>
        <w:t xml:space="preserve"> </w:t>
      </w:r>
      <w:r>
        <w:t xml:space="preserve">intelligent</w:t>
      </w:r>
      <w:r>
        <w:t xml:space="preserve"> </w:t>
      </w:r>
      <w:r>
        <w:t xml:space="preserve">systems</w:t>
      </w:r>
      <w:r>
        <w:t xml:space="preserve"> </w:t>
      </w:r>
      <w:r>
        <w:t xml:space="preserve">that</w:t>
      </w:r>
      <w:r>
        <w:t xml:space="preserve"> </w:t>
      </w:r>
      <w:r>
        <w:t xml:space="preserve">can</w:t>
      </w:r>
      <w:r>
        <w:t xml:space="preserve"> </w:t>
      </w:r>
      <w:r>
        <w:t xml:space="preserve">process</w:t>
      </w:r>
      <w:r>
        <w:t xml:space="preserve"> </w:t>
      </w:r>
      <w:r>
        <w:t xml:space="preserve">vast</w:t>
      </w:r>
      <w:r>
        <w:t xml:space="preserve"> </w:t>
      </w:r>
      <w:r>
        <w:t xml:space="preserve">amounts</w:t>
      </w:r>
      <w:r>
        <w:t xml:space="preserve"> </w:t>
      </w:r>
      <w:r>
        <w:t xml:space="preserve">of</w:t>
      </w:r>
      <w:r>
        <w:t xml:space="preserve"> </w:t>
      </w:r>
      <w:r>
        <w:t xml:space="preserve">data</w:t>
      </w:r>
      <w:r>
        <w:t xml:space="preserve"> </w:t>
      </w:r>
      <w:r>
        <w:t xml:space="preserve">while</w:t>
      </w:r>
      <w:r>
        <w:t xml:space="preserve"> </w:t>
      </w:r>
      <w:r>
        <w:t xml:space="preserve">providing</w:t>
      </w:r>
      <w:r>
        <w:t xml:space="preserve"> </w:t>
      </w:r>
      <w:r>
        <w:t xml:space="preserve">transparent</w:t>
      </w:r>
      <w:r>
        <w:t xml:space="preserve"> </w:t>
      </w:r>
      <w:r>
        <w:t xml:space="preserve">decision-making.</w:t>
      </w:r>
      <w:r>
        <w:t xml:space="preserve"> </w:t>
      </w:r>
      <w:r>
        <w:t xml:space="preserve">Here</w:t>
      </w:r>
      <w:r>
        <w:t xml:space="preserve"> </w:t>
      </w:r>
      <w:r>
        <w:t xml:space="preserve">we</w:t>
      </w:r>
      <w:r>
        <w:t xml:space="preserve"> </w:t>
      </w:r>
      <w:r>
        <w:t xml:space="preserve">presents</w:t>
      </w:r>
      <w:r>
        <w:t xml:space="preserve"> </w:t>
      </w:r>
      <w:r>
        <w:t xml:space="preserve">IntelliTradeAI,</w:t>
      </w:r>
      <w:r>
        <w:t xml:space="preserve"> </w:t>
      </w:r>
      <w:r>
        <w:t xml:space="preserve">an</w:t>
      </w:r>
      <w:r>
        <w:t xml:space="preserve"> </w:t>
      </w:r>
      <w:r>
        <w:t xml:space="preserve">Artificial</w:t>
      </w:r>
      <w:r>
        <w:t xml:space="preserve"> </w:t>
      </w:r>
      <w:r>
        <w:t xml:space="preserve">Intelligence</w:t>
      </w:r>
      <w:r>
        <w:t xml:space="preserve"> </w:t>
      </w:r>
      <w:r>
        <w:t xml:space="preserve">(AI)-powered</w:t>
      </w:r>
      <w:r>
        <w:t xml:space="preserve"> </w:t>
      </w:r>
      <w:r>
        <w:t xml:space="preserve">trading</w:t>
      </w:r>
      <w:r>
        <w:t xml:space="preserve"> </w:t>
      </w:r>
      <w:r>
        <w:t xml:space="preserve">agent</w:t>
      </w:r>
      <w:r>
        <w:t xml:space="preserve"> </w:t>
      </w:r>
      <w:r>
        <w:t xml:space="preserve">that</w:t>
      </w:r>
      <w:r>
        <w:t xml:space="preserve"> </w:t>
      </w:r>
      <w:r>
        <w:t xml:space="preserve">combines</w:t>
      </w:r>
      <w:r>
        <w:t xml:space="preserve"> </w:t>
      </w:r>
      <w:r>
        <w:t xml:space="preserve">Machine</w:t>
      </w:r>
      <w:r>
        <w:t xml:space="preserve"> </w:t>
      </w:r>
      <w:r>
        <w:t xml:space="preserve">Learning</w:t>
      </w:r>
      <w:r>
        <w:t xml:space="preserve"> </w:t>
      </w:r>
      <w:r>
        <w:t xml:space="preserve">(ML)</w:t>
      </w:r>
      <w:r>
        <w:t xml:space="preserve"> </w:t>
      </w:r>
      <w:r>
        <w:t xml:space="preserve">ensemble</w:t>
      </w:r>
      <w:r>
        <w:t xml:space="preserve"> </w:t>
      </w:r>
      <w:r>
        <w:t xml:space="preserve">methods</w:t>
      </w:r>
      <w:r>
        <w:t xml:space="preserve"> </w:t>
      </w:r>
      <w:r>
        <w:t xml:space="preserve">with</w:t>
      </w:r>
      <w:r>
        <w:t xml:space="preserve"> </w:t>
      </w:r>
      <w:r>
        <w:t xml:space="preserve">pattern</w:t>
      </w:r>
      <w:r>
        <w:t xml:space="preserve"> </w:t>
      </w:r>
      <w:r>
        <w:t xml:space="preserve">recognition</w:t>
      </w:r>
      <w:r>
        <w:t xml:space="preserve"> </w:t>
      </w:r>
      <w:r>
        <w:t xml:space="preserve">and</w:t>
      </w:r>
      <w:r>
        <w:t xml:space="preserve"> </w:t>
      </w:r>
      <w:r>
        <w:t xml:space="preserve">news</w:t>
      </w:r>
      <w:r>
        <w:t xml:space="preserve"> </w:t>
      </w:r>
      <w:r>
        <w:t xml:space="preserve">intelligence</w:t>
      </w:r>
      <w:r>
        <w:t xml:space="preserve"> </w:t>
      </w:r>
      <w:r>
        <w:t xml:space="preserve">through</w:t>
      </w:r>
      <w:r>
        <w:t xml:space="preserve"> </w:t>
      </w:r>
      <w:r>
        <w:t xml:space="preserve">a</w:t>
      </w:r>
      <w:r>
        <w:t xml:space="preserve"> </w:t>
      </w:r>
      <w:r>
        <w:t xml:space="preserve">novel</w:t>
      </w:r>
      <w:r>
        <w:t xml:space="preserve"> </w:t>
      </w:r>
      <w:r>
        <w:t xml:space="preserve">tri-signal</w:t>
      </w:r>
      <w:r>
        <w:t xml:space="preserve"> </w:t>
      </w:r>
      <w:r>
        <w:t xml:space="preserve">fusion</w:t>
      </w:r>
      <w:r>
        <w:t xml:space="preserve"> </w:t>
      </w:r>
      <w:r>
        <w:t xml:space="preserve">architecture.</w:t>
      </w:r>
      <w:r>
        <w:t xml:space="preserve"> </w:t>
      </w:r>
      <w:r>
        <w:t xml:space="preserve">Our</w:t>
      </w:r>
      <w:r>
        <w:t xml:space="preserve"> </w:t>
      </w:r>
      <w:r>
        <w:t xml:space="preserve">system</w:t>
      </w:r>
      <w:r>
        <w:t xml:space="preserve"> </w:t>
      </w:r>
      <w:r>
        <w:t xml:space="preserve">employs</w:t>
      </w:r>
      <w:r>
        <w:t xml:space="preserve"> </w:t>
      </w:r>
      <w:r>
        <w:t xml:space="preserve">an</w:t>
      </w:r>
      <w:r>
        <w:t xml:space="preserve"> </w:t>
      </w:r>
      <w:r>
        <w:t xml:space="preserve">ensemble</w:t>
      </w:r>
      <w:r>
        <w:t xml:space="preserve"> </w:t>
      </w:r>
      <w:r>
        <w:t xml:space="preserve">framework</w:t>
      </w:r>
      <w:r>
        <w:t xml:space="preserve"> </w:t>
      </w:r>
      <w:r>
        <w:t xml:space="preserve">by</w:t>
      </w:r>
      <w:r>
        <w:t xml:space="preserve"> </w:t>
      </w:r>
      <w:r>
        <w:t xml:space="preserve">combining</w:t>
      </w:r>
      <w:r>
        <w:t xml:space="preserve"> </w:t>
      </w:r>
      <w:r>
        <w:t xml:space="preserve">Random</w:t>
      </w:r>
      <w:r>
        <w:t xml:space="preserve"> </w:t>
      </w:r>
      <w:r>
        <w:t xml:space="preserve">Forest,</w:t>
      </w:r>
      <w:r>
        <w:t xml:space="preserve"> </w:t>
      </w:r>
      <w:r>
        <w:t xml:space="preserve">XGBoost,</w:t>
      </w:r>
      <w:r>
        <w:t xml:space="preserve"> </w:t>
      </w:r>
      <w:r>
        <w:t xml:space="preserve">and</w:t>
      </w:r>
      <w:r>
        <w:t xml:space="preserve"> </w:t>
      </w:r>
      <w:r>
        <w:t xml:space="preserve">voting</w:t>
      </w:r>
      <w:r>
        <w:t xml:space="preserve"> </w:t>
      </w:r>
      <w:r>
        <w:t xml:space="preserve">ensemble</w:t>
      </w:r>
      <w:r>
        <w:t xml:space="preserve"> </w:t>
      </w:r>
      <w:r>
        <w:t xml:space="preserve">classifiers,</w:t>
      </w:r>
      <w:r>
        <w:t xml:space="preserve"> </w:t>
      </w:r>
      <w:r>
        <w:t xml:space="preserve">trained</w:t>
      </w:r>
      <w:r>
        <w:t xml:space="preserve"> </w:t>
      </w:r>
      <w:r>
        <w:t xml:space="preserve">on</w:t>
      </w:r>
      <w:r>
        <w:t xml:space="preserve"> </w:t>
      </w:r>
      <w:r>
        <w:t xml:space="preserve">70</w:t>
      </w:r>
      <w:r>
        <w:t xml:space="preserve"> </w:t>
      </w:r>
      <w:r>
        <w:t xml:space="preserve">engineered</w:t>
      </w:r>
      <w:r>
        <w:t xml:space="preserve"> </w:t>
      </w:r>
      <w:r>
        <w:t xml:space="preserve">technical</w:t>
      </w:r>
      <w:r>
        <w:t xml:space="preserve"> </w:t>
      </w:r>
      <w:r>
        <w:t xml:space="preserve">indicators</w:t>
      </w:r>
      <w:r>
        <w:t xml:space="preserve"> </w:t>
      </w:r>
      <w:r>
        <w:t xml:space="preserve">to</w:t>
      </w:r>
      <w:r>
        <w:t xml:space="preserve"> </w:t>
      </w:r>
      <w:r>
        <w:t xml:space="preserve">generate</w:t>
      </w:r>
      <w:r>
        <w:t xml:space="preserve"> </w:t>
      </w:r>
      <w:r>
        <w:t xml:space="preserve">BUY/SELL/HOLD</w:t>
      </w:r>
      <w:r>
        <w:t xml:space="preserve"> </w:t>
      </w:r>
      <w:r>
        <w:t xml:space="preserve">signals.</w:t>
      </w:r>
      <w:r>
        <w:t xml:space="preserve"> </w:t>
      </w:r>
      <w:r>
        <w:t xml:space="preserve">Through</w:t>
      </w:r>
      <w:r>
        <w:t xml:space="preserve"> </w:t>
      </w:r>
      <w:r>
        <w:t xml:space="preserve">Synthetic</w:t>
      </w:r>
      <w:r>
        <w:t xml:space="preserve"> </w:t>
      </w:r>
      <w:r>
        <w:t xml:space="preserve">Minority</w:t>
      </w:r>
      <w:r>
        <w:t xml:space="preserve"> </w:t>
      </w:r>
      <w:r>
        <w:t xml:space="preserve">Over-sampling</w:t>
      </w:r>
      <w:r>
        <w:t xml:space="preserve"> </w:t>
      </w:r>
      <w:r>
        <w:t xml:space="preserve">Technique</w:t>
      </w:r>
      <w:r>
        <w:t xml:space="preserve"> </w:t>
      </w:r>
      <w:r>
        <w:t xml:space="preserve">(SMOTE)</w:t>
      </w:r>
      <w:r>
        <w:t xml:space="preserve"> </w:t>
      </w:r>
      <w:r>
        <w:t xml:space="preserve">class</w:t>
      </w:r>
      <w:r>
        <w:t xml:space="preserve"> </w:t>
      </w:r>
      <w:r>
        <w:t xml:space="preserve">balancing,</w:t>
      </w:r>
      <w:r>
        <w:t xml:space="preserve"> </w:t>
      </w:r>
      <w:r>
        <w:t xml:space="preserve">time-series</w:t>
      </w:r>
      <w:r>
        <w:t xml:space="preserve"> </w:t>
      </w:r>
      <w:r>
        <w:t xml:space="preserve">cross-validation</w:t>
      </w:r>
      <w:r>
        <w:t xml:space="preserve"> </w:t>
      </w:r>
      <w:r>
        <w:t xml:space="preserve">to</w:t>
      </w:r>
      <w:r>
        <w:t xml:space="preserve"> </w:t>
      </w:r>
      <w:r>
        <w:t xml:space="preserve">prevent</w:t>
      </w:r>
      <w:r>
        <w:t xml:space="preserve"> </w:t>
      </w:r>
      <w:r>
        <w:t xml:space="preserve">data</w:t>
      </w:r>
      <w:r>
        <w:t xml:space="preserve"> </w:t>
      </w:r>
      <w:r>
        <w:t xml:space="preserve">leakage,</w:t>
      </w:r>
      <w:r>
        <w:t xml:space="preserve"> </w:t>
      </w:r>
      <w:r>
        <w:t xml:space="preserve">and</w:t>
      </w:r>
      <w:r>
        <w:t xml:space="preserve"> </w:t>
      </w:r>
      <w:r>
        <w:t xml:space="preserve">Bayesian</w:t>
      </w:r>
      <w:r>
        <w:t xml:space="preserve"> </w:t>
      </w:r>
      <w:r>
        <w:t xml:space="preserve">hyperparameter</w:t>
      </w:r>
      <w:r>
        <w:t xml:space="preserve"> </w:t>
      </w:r>
      <w:r>
        <w:t xml:space="preserve">optimization,</w:t>
      </w:r>
      <w:r>
        <w:t xml:space="preserve"> </w:t>
      </w:r>
      <w:r>
        <w:t xml:space="preserve">we</w:t>
      </w:r>
      <w:r>
        <w:t xml:space="preserve"> </w:t>
      </w:r>
      <w:r>
        <w:t xml:space="preserve">achieve</w:t>
      </w:r>
      <w:r>
        <w:t xml:space="preserve"> </w:t>
      </w:r>
      <w:r>
        <w:t xml:space="preserve">prediction</w:t>
      </w:r>
      <w:r>
        <w:t xml:space="preserve"> </w:t>
      </w:r>
      <w:r>
        <w:t xml:space="preserve">accuracy</w:t>
      </w:r>
      <w:r>
        <w:t xml:space="preserve"> </w:t>
      </w:r>
      <w:r>
        <w:t xml:space="preserve">of</w:t>
      </w:r>
      <w:r>
        <w:t xml:space="preserve"> </w:t>
      </w:r>
      <w:r>
        <w:t xml:space="preserve">85.2%</w:t>
      </w:r>
      <w:r>
        <w:t xml:space="preserve"> </w:t>
      </w:r>
      <w:r>
        <w:t xml:space="preserve">for</w:t>
      </w:r>
      <w:r>
        <w:t xml:space="preserve"> </w:t>
      </w:r>
      <w:r>
        <w:t xml:space="preserve">stocks</w:t>
      </w:r>
      <w:r>
        <w:t xml:space="preserve"> </w:t>
      </w:r>
      <w:r>
        <w:t xml:space="preserve">and</w:t>
      </w:r>
      <w:r>
        <w:t xml:space="preserve"> </w:t>
      </w:r>
      <w:r>
        <w:t xml:space="preserve">72.9%</w:t>
      </w:r>
      <w:r>
        <w:t xml:space="preserve"> </w:t>
      </w:r>
      <w:r>
        <w:t xml:space="preserve">for</w:t>
      </w:r>
      <w:r>
        <w:t xml:space="preserve"> </w:t>
      </w:r>
      <w:r>
        <w:t xml:space="preserve">the</w:t>
      </w:r>
      <w:r>
        <w:t xml:space="preserve"> </w:t>
      </w:r>
      <w:r>
        <w:t xml:space="preserve">top</w:t>
      </w:r>
      <w:r>
        <w:t xml:space="preserve"> </w:t>
      </w:r>
      <w:r>
        <w:t xml:space="preserve">10</w:t>
      </w:r>
      <w:r>
        <w:t xml:space="preserve"> </w:t>
      </w:r>
      <w:r>
        <w:t xml:space="preserve">cryptocurrencies</w:t>
      </w:r>
      <w:r>
        <w:t xml:space="preserve"> </w:t>
      </w:r>
      <w:r>
        <w:t xml:space="preserve">using</w:t>
      </w:r>
      <w:r>
        <w:t xml:space="preserve"> </w:t>
      </w:r>
      <w:r>
        <w:t xml:space="preserve">volatility-aware</w:t>
      </w:r>
      <w:r>
        <w:t xml:space="preserve"> </w:t>
      </w:r>
      <w:r>
        <w:t xml:space="preserve">adaptive</w:t>
      </w:r>
      <w:r>
        <w:t xml:space="preserve"> </w:t>
      </w:r>
      <w:r>
        <w:t xml:space="preserve">thresholds.</w:t>
      </w:r>
      <w:r>
        <w:t xml:space="preserve"> </w:t>
      </w:r>
      <w:r>
        <w:t xml:space="preserve">The</w:t>
      </w:r>
      <w:r>
        <w:t xml:space="preserve"> </w:t>
      </w:r>
      <w:r>
        <w:t xml:space="preserve">system</w:t>
      </w:r>
      <w:r>
        <w:t xml:space="preserve"> </w:t>
      </w:r>
      <w:r>
        <w:t xml:space="preserve">incorporates</w:t>
      </w:r>
      <w:r>
        <w:t xml:space="preserve"> </w:t>
      </w:r>
      <w:r>
        <w:t xml:space="preserve">explainable</w:t>
      </w:r>
      <w:r>
        <w:t xml:space="preserve"> </w:t>
      </w:r>
      <w:r>
        <w:t xml:space="preserve">AI</w:t>
      </w:r>
      <w:r>
        <w:t xml:space="preserve"> </w:t>
      </w:r>
      <w:r>
        <w:t xml:space="preserve">through</w:t>
      </w:r>
      <w:r>
        <w:t xml:space="preserve"> </w:t>
      </w:r>
      <w:r>
        <w:t xml:space="preserve">SHapley</w:t>
      </w:r>
      <w:r>
        <w:t xml:space="preserve"> </w:t>
      </w:r>
      <w:r>
        <w:t xml:space="preserve">Additive</w:t>
      </w:r>
      <w:r>
        <w:t xml:space="preserve"> </w:t>
      </w:r>
      <w:r>
        <w:t xml:space="preserve">exPlanations</w:t>
      </w:r>
      <w:r>
        <w:t xml:space="preserve"> </w:t>
      </w:r>
      <w:r>
        <w:t xml:space="preserve">(SHAP)</w:t>
      </w:r>
      <w:r>
        <w:t xml:space="preserve"> </w:t>
      </w:r>
      <w:r>
        <w:t xml:space="preserve">analysis</w:t>
      </w:r>
      <w:r>
        <w:t xml:space="preserve"> </w:t>
      </w:r>
      <w:r>
        <w:t xml:space="preserve">and</w:t>
      </w:r>
      <w:r>
        <w:t xml:space="preserve"> </w:t>
      </w:r>
      <w:r>
        <w:t xml:space="preserve">U.S.</w:t>
      </w:r>
      <w:r>
        <w:t xml:space="preserve"> </w:t>
      </w:r>
      <w:r>
        <w:t xml:space="preserve">Securities</w:t>
      </w:r>
      <w:r>
        <w:t xml:space="preserve"> </w:t>
      </w:r>
      <w:r>
        <w:t xml:space="preserve">and</w:t>
      </w:r>
      <w:r>
        <w:t xml:space="preserve"> </w:t>
      </w:r>
      <w:r>
        <w:t xml:space="preserve">Exchange</w:t>
      </w:r>
      <w:r>
        <w:t xml:space="preserve"> </w:t>
      </w:r>
      <w:r>
        <w:t xml:space="preserve">Commission</w:t>
      </w:r>
      <w:r>
        <w:t xml:space="preserve"> </w:t>
      </w:r>
      <w:r>
        <w:t xml:space="preserve">(SEC)-compliant</w:t>
      </w:r>
      <w:r>
        <w:t xml:space="preserve"> </w:t>
      </w:r>
      <w:r>
        <w:t xml:space="preserve">risk</w:t>
      </w:r>
      <w:r>
        <w:t xml:space="preserve"> </w:t>
      </w:r>
      <w:r>
        <w:t xml:space="preserve">disclosures,</w:t>
      </w:r>
      <w:r>
        <w:t xml:space="preserve"> </w:t>
      </w:r>
      <w:r>
        <w:t xml:space="preserve">addressing</w:t>
      </w:r>
      <w:r>
        <w:t xml:space="preserve"> </w:t>
      </w:r>
      <w:r>
        <w:t xml:space="preserve">the</w:t>
      </w:r>
      <w:r>
        <w:t xml:space="preserve"> </w:t>
      </w:r>
      <w:r>
        <w:t xml:space="preserve">critical</w:t>
      </w:r>
      <w:r>
        <w:t xml:space="preserve"> </w:t>
      </w:r>
      <w:r>
        <w:t xml:space="preserve">need</w:t>
      </w:r>
      <w:r>
        <w:t xml:space="preserve"> </w:t>
      </w:r>
      <w:r>
        <w:t xml:space="preserve">for</w:t>
      </w:r>
      <w:r>
        <w:t xml:space="preserve"> </w:t>
      </w:r>
      <w:r>
        <w:t xml:space="preserve">transparency</w:t>
      </w:r>
      <w:r>
        <w:t xml:space="preserve"> </w:t>
      </w:r>
      <w:r>
        <w:t xml:space="preserve">in</w:t>
      </w:r>
      <w:r>
        <w:t xml:space="preserve"> </w:t>
      </w:r>
      <w:r>
        <w:t xml:space="preserve">algorithmic</w:t>
      </w:r>
      <w:r>
        <w:t xml:space="preserve"> </w:t>
      </w:r>
      <w:r>
        <w:t xml:space="preserve">trading.</w:t>
      </w:r>
      <w:r>
        <w:t xml:space="preserve"> </w:t>
      </w:r>
      <w:r>
        <w:t xml:space="preserve">Our</w:t>
      </w:r>
      <w:r>
        <w:t xml:space="preserve"> </w:t>
      </w:r>
      <w:r>
        <w:t xml:space="preserve">contributions</w:t>
      </w:r>
      <w:r>
        <w:t xml:space="preserve"> </w:t>
      </w:r>
      <w:r>
        <w:t xml:space="preserve">include</w:t>
      </w:r>
      <w:r>
        <w:t xml:space="preserve"> </w:t>
      </w:r>
      <w:r>
        <w:t xml:space="preserve">a</w:t>
      </w:r>
      <w:r>
        <w:t xml:space="preserve"> </w:t>
      </w:r>
      <w:r>
        <w:t xml:space="preserve">comprehensive</w:t>
      </w:r>
      <w:r>
        <w:t xml:space="preserve"> </w:t>
      </w:r>
      <w:r>
        <w:t xml:space="preserve">backtesting</w:t>
      </w:r>
      <w:r>
        <w:t xml:space="preserve"> </w:t>
      </w:r>
      <w:r>
        <w:t xml:space="preserve">framework,</w:t>
      </w:r>
      <w:r>
        <w:t xml:space="preserve"> </w:t>
      </w:r>
      <w:r>
        <w:t xml:space="preserve">personalized</w:t>
      </w:r>
      <w:r>
        <w:t xml:space="preserve"> </w:t>
      </w:r>
      <w:r>
        <w:t xml:space="preserve">risk-based</w:t>
      </w:r>
      <w:r>
        <w:t xml:space="preserve"> </w:t>
      </w:r>
      <w:r>
        <w:t xml:space="preserve">trading</w:t>
      </w:r>
      <w:r>
        <w:t xml:space="preserve"> </w:t>
      </w:r>
      <w:r>
        <w:t xml:space="preserve">plans,</w:t>
      </w:r>
      <w:r>
        <w:t xml:space="preserve"> </w:t>
      </w:r>
      <w:r>
        <w:t xml:space="preserve">and</w:t>
      </w:r>
      <w:r>
        <w:t xml:space="preserve"> </w:t>
      </w:r>
      <w:r>
        <w:t xml:space="preserve">an</w:t>
      </w:r>
      <w:r>
        <w:t xml:space="preserve"> </w:t>
      </w:r>
      <w:r>
        <w:t xml:space="preserve">interactive</w:t>
      </w:r>
      <w:r>
        <w:t xml:space="preserve"> </w:t>
      </w:r>
      <w:r>
        <w:t xml:space="preserve">dashboard</w:t>
      </w:r>
      <w:r>
        <w:t xml:space="preserve"> </w:t>
      </w:r>
      <w:r>
        <w:t xml:space="preserve">supporting</w:t>
      </w:r>
      <w:r>
        <w:t xml:space="preserve"> </w:t>
      </w:r>
      <w:r>
        <w:t xml:space="preserve">both</w:t>
      </w:r>
      <w:r>
        <w:t xml:space="preserve"> </w:t>
      </w:r>
      <w:r>
        <w:t xml:space="preserve">manual</w:t>
      </w:r>
      <w:r>
        <w:t xml:space="preserve"> </w:t>
      </w:r>
      <w:r>
        <w:t xml:space="preserve">and</w:t>
      </w:r>
      <w:r>
        <w:t xml:space="preserve"> </w:t>
      </w:r>
      <w:r>
        <w:t xml:space="preserve">automated</w:t>
      </w:r>
      <w:r>
        <w:t xml:space="preserve"> </w:t>
      </w:r>
      <w:r>
        <w:t xml:space="preserve">trading</w:t>
      </w:r>
      <w:r>
        <w:t xml:space="preserve"> </w:t>
      </w:r>
      <w:r>
        <w:t xml:space="preserve">modes.</w:t>
      </w:r>
      <w:r>
        <w:t xml:space="preserve"> </w:t>
      </w:r>
      <w:r>
        <w:t xml:space="preserve">IntelliTradeAI</w:t>
      </w:r>
      <w:r>
        <w:t xml:space="preserve"> </w:t>
      </w:r>
      <w:r>
        <w:t xml:space="preserve">is</w:t>
      </w:r>
      <w:r>
        <w:t xml:space="preserve"> </w:t>
      </w:r>
      <w:r>
        <w:t xml:space="preserve">freely</w:t>
      </w:r>
      <w:r>
        <w:t xml:space="preserve"> </w:t>
      </w:r>
      <w:r>
        <w:t xml:space="preserve">available</w:t>
      </w:r>
      <w:r>
        <w:t xml:space="preserve"> </w:t>
      </w:r>
      <w:r>
        <w:t xml:space="preserve">at</w:t>
      </w:r>
      <w:r>
        <w:t xml:space="preserve"> </w:t>
      </w:r>
      <w:hyperlink r:id="rId20">
        <w:r>
          <w:rPr>
            <w:rStyle w:val="Hyperlink"/>
          </w:rPr>
          <w:t xml:space="preserve">https://github.com/djedgar1018/IntelliTradeAI</w:t>
        </w:r>
      </w:hyperlink>
      <w:r>
        <w:t xml:space="preserve">.</w:t>
      </w:r>
    </w:p>
    <w:p>
      <w:pPr>
        <w:pStyle w:val="FirstParagraph"/>
      </w:pPr>
      <w:r>
        <w:t xml:space="preserve">Signal Fusion, Explainable AI, Cryptocurrency, Stock Prediction, Ensemble Learning</w:t>
      </w:r>
    </w:p>
    <w:bookmarkStart w:id="24"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1" w:name="current-trends-in-ai-powered-trading"/>
    <w:p>
      <w:pPr>
        <w:pStyle w:val="Heading2"/>
      </w:pPr>
      <w:r>
        <w:t xml:space="preserve">Current Trends in AI-Powered Trading</w:t>
      </w:r>
    </w:p>
    <w:p>
      <w:pPr>
        <w:pStyle w:val="FirstParagraph"/>
      </w:pPr>
      <w:r>
        <w:t xml:space="preserve">Machine Learning (ML) applications in finance have evolved significantly from simple rule-based systems to sophisticated deep learning architectures. Cheng et al. presented a systematic review demonstrating the strength of ensemble methods combining multiple classifiers to achieve superior performance in stock prediction tasks</w:t>
      </w:r>
      <w:r>
        <w:t xml:space="preserve"> </w:t>
      </w:r>
      <w:r>
        <w:t xml:space="preserve">. The application of gradient boosting techniques, specifically eXtreme Gradient Boosting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proposed fusion architectures that combine technical indicators with sentiment analysis, achieving improvement over single-source models</w:t>
      </w:r>
      <w:r>
        <w:t xml:space="preserve"> </w:t>
      </w:r>
      <w:r>
        <w:t xml:space="preserve">. Similarly, Lin et al. demonstrated that pattern recognition algorithms, when combined with ML predictions, achieve improved accuracy in directional forecasting</w:t>
      </w:r>
      <w:r>
        <w:t xml:space="preserve"> </w:t>
      </w:r>
      <w:r>
        <w:t xml:space="preserve">.</w:t>
      </w:r>
    </w:p>
    <w:p>
      <w:pPr>
        <w:pStyle w:val="BodyText"/>
      </w:pPr>
      <w:r>
        <w:t xml:space="preserve">The emergence of Explainable Artificial Intelligence (XAI) in finance addresses regulatory concerns and user trust. SHapley Additive exPlanations (SHAP) values have become the standard for interpreting complex model predictions, with Lundberg and Lee demonstrating their effectiveness in feature importance attribution</w:t>
      </w:r>
      <w:r>
        <w:t xml:space="preserve"> </w:t>
      </w:r>
      <w:r>
        <w:t xml:space="preserve">. Other approaches such as Local Interpretable Model-agnostic Explanations (LIME) provide alternative interpretability methods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1"/>
    <w:bookmarkStart w:id="22"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Technical Analysis Library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2"/>
    <w:bookmarkStart w:id="23"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Our research addresses these gaps through IntelliTradeAI by offering the following contributions:</w:t>
      </w:r>
    </w:p>
    <w:p>
      <w:pPr>
        <w:numPr>
          <w:ilvl w:val="0"/>
          <w:numId w:val="1001"/>
        </w:numPr>
      </w:pPr>
      <w:r>
        <w:rPr>
          <w:b/>
          <w:bCs/>
        </w:rPr>
        <w:t xml:space="preserve">Tri-Signal Fusion Architecture</w:t>
      </w:r>
      <w:r>
        <w:t xml:space="preserve">: A novel weighted voting mechanism that combines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141 cryptocurrencies across 14 sectors, 108 stocks across all 11 Global Industry Classification Standard (GICS) sectors</w:t>
      </w:r>
      <w:r>
        <w:t xml:space="preserve"> </w:t>
      </w:r>
      <w:r>
        <w:t xml:space="preserve">, and 10 major Exchange-Traded Funds (ETFs).</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Volatility-Aware Training</w:t>
      </w:r>
      <w:r>
        <w:t xml:space="preserve">: Adaptive threshold training with sector-specific configurations for high-volatility assets including meme coins and AI agent tokens.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3"/>
    <w:bookmarkEnd w:id="24"/>
    <w:bookmarkStart w:id="27" w:name="related-work"/>
    <w:p>
      <w:pPr>
        <w:pStyle w:val="Heading1"/>
      </w:pPr>
      <w:r>
        <w:t xml:space="preserve">Related Work</w:t>
      </w:r>
    </w:p>
    <w:bookmarkStart w:id="25" w:name="machine-learning-in-financial-prediction"/>
    <w:p>
      <w:pPr>
        <w:pStyle w:val="Heading2"/>
      </w:pPr>
      <w:r>
        <w:t xml:space="preserve">Machine Learning in Financial Prediction</w:t>
      </w:r>
    </w:p>
    <w:p>
      <w:pPr>
        <w:pStyle w:val="FirstParagraph"/>
      </w:pPr>
      <w:r>
        <w:t xml:space="preserve">The application of ML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Long Short-Term Memory (LSTM) networks showing promise in capturing temporal dependencies in price series</w:t>
      </w:r>
      <w:r>
        <w:t xml:space="preserve"> </w:t>
      </w:r>
      <w:r>
        <w:t xml:space="preserve">. 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p>
      <w:pPr>
        <w:pStyle w:val="BodyText"/>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(Relative Strength Index (RSI), Moving Average Convergence Divergence (MACD), Bollinger Bands) with ML features has shown synergistic effects</w:t>
      </w:r>
      <w:r>
        <w:t xml:space="preserve"> </w:t>
      </w:r>
      <w:r>
        <w:t xml:space="preserve">. Recent work by Sezer et al. applied Convolutional Neural Networks (CNNs)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Natural Language Processing (NLP) models, including FinBERT specifically trained on financial text, have improved sentiment classification accuracy to over 90%</w:t>
      </w:r>
      <w:r>
        <w:t xml:space="preserve"> </w:t>
      </w:r>
      <w:r>
        <w:t xml:space="preserve">.</w:t>
      </w:r>
    </w:p>
    <w:bookmarkEnd w:id="26"/>
    <w:bookmarkEnd w:id="27"/>
    <w:bookmarkStart w:id="50"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Application Programming Interfaces (APIs) including Yahoo Finance for historical Open, High, Low, Close, Volume (OHLCV) data and CoinMarketCap for real-time cryptocurrency prices. The Feature Engineering Pipeline transforms raw price data into 70 technical indicators. The ML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3798483"/>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3798483"/>
                    </a:xfrm>
                    <a:prstGeom prst="rect">
                      <a:avLst/>
                    </a:prstGeom>
                    <a:noFill/>
                    <a:ln w="9525">
                      <a:noFill/>
                      <a:headEnd/>
                      <a:tailEnd/>
                    </a:ln>
                  </pic:spPr>
                </pic:pic>
              </a:graphicData>
            </a:graphic>
          </wp:inline>
        </w:drawing>
      </w:r>
    </w:p>
    <w:p>
      <w:pPr>
        <w:pStyle w:val="ImageCaption"/>
      </w:pPr>
      <w:r>
        <w:t xml:space="preserve">IntelliTradeAI system architecture and methodology flow diagram showing the data pipeline from ingestion through tri-signal fusion to final signal output.</w:t>
      </w:r>
    </w:p>
    <w:bookmarkEnd w:id="31"/>
    <w:bookmarkStart w:id="38" w:name="data-sources-and-processing"/>
    <w:p>
      <w:pPr>
        <w:pStyle w:val="Heading2"/>
      </w:pPr>
      <w:r>
        <w:t xml:space="preserve">Data Sources and Processing</w:t>
      </w:r>
    </w:p>
    <w:p>
      <w:pPr>
        <w:pStyle w:val="FirstParagraph"/>
      </w:pPr>
      <w:r>
        <w:t xml:space="preserve">Table </w:t>
      </w:r>
      <w:hyperlink w:anchor="tab:datasources">
        <w:r>
          <w:rPr>
            <w:rStyle w:val="Hyperlink"/>
          </w:rPr>
          <w:t xml:space="preserve">1</w:t>
        </w:r>
      </w:hyperlink>
      <w:r>
        <w:t xml:space="preserve"> </w:t>
      </w:r>
      <w:r>
        <w:t xml:space="preserve">summarizes the data sources, sample sizes, and class distributions used in training and evaluation. We obtain historical price data through Yahoo Finance API</w:t>
      </w:r>
      <w:r>
        <w:rPr>
          <w:rStyle w:val="FootnoteReference"/>
        </w:rPr>
        <w:footnoteReference w:id="32"/>
      </w:r>
      <w:r>
        <w:t xml:space="preserve">, providing up to 5 years of daily OHLCV data for both stocks and cryptocurrencies. We supplement real-time cryptocurrency data through CoinMarketCap API</w:t>
      </w:r>
      <w:r>
        <w:rPr>
          <w:rStyle w:val="FootnoteReference"/>
        </w:rPr>
        <w:footnoteReference w:id="34"/>
      </w:r>
      <w:r>
        <w:t xml:space="preserve">.</w:t>
      </w:r>
    </w:p>
    <w:bookmarkStart w:id="36" w:name="tab:datasources"/>
    <w:p>
      <w:pPr>
        <w:pStyle w:val="TableCaption"/>
      </w:pPr>
      <w:r>
        <w:t xml:space="preserve">Data Sources Summary</w:t>
      </w:r>
    </w:p>
    <w:tbl>
      <w:tblPr>
        <w:tblStyle w:val="Table"/>
        <w:tblW w:type="auto" w:w="0"/>
        <w:jc w:val="left"/>
        <w:tblLook w:firstRow="1" w:lastRow="0" w:firstColumn="0" w:lastColumn="0" w:noHBand="0" w:noVBand="0" w:val="0020"/>
        <w:tblCaption w:val="Data Sources Summary"/>
      </w:tblPr>
      <w:tblGrid>
        <w:gridCol w:w="1584"/>
        <w:gridCol w:w="1584"/>
        <w:gridCol w:w="1584"/>
        <w:gridCol w:w="1584"/>
        <w:gridCol w:w="1584"/>
      </w:tblGrid>
      <w:tr>
        <w:trPr>
          <w:tblHeader w:val="on"/>
        </w:trPr>
        <w:tc>
          <w:tcPr/>
          <w:p>
            <w:pPr>
              <w:pStyle w:val="Compact"/>
              <w:jc w:val="left"/>
            </w:pPr>
            <w:r>
              <w:rPr>
                <w:b/>
                <w:bCs/>
              </w:rPr>
              <w:t xml:space="preserve">Source</w:t>
            </w:r>
          </w:p>
        </w:tc>
        <w:tc>
          <w:tcPr/>
          <w:p>
            <w:pPr>
              <w:pStyle w:val="Compact"/>
              <w:jc w:val="center"/>
            </w:pPr>
            <w:r>
              <w:rPr>
                <w:b/>
                <w:bCs/>
              </w:rPr>
              <w:t xml:space="preserve">Assets</w:t>
            </w:r>
          </w:p>
        </w:tc>
        <w:tc>
          <w:tcPr/>
          <w:p>
            <w:pPr>
              <w:pStyle w:val="Compact"/>
              <w:jc w:val="center"/>
            </w:pPr>
            <w:r>
              <w:rPr>
                <w:b/>
                <w:bCs/>
              </w:rPr>
              <w:t xml:space="preserve">Records</w:t>
            </w:r>
          </w:p>
        </w:tc>
        <w:tc>
          <w:tcPr/>
          <w:p>
            <w:pPr>
              <w:pStyle w:val="Compact"/>
              <w:jc w:val="center"/>
            </w:pPr>
            <w:r>
              <w:rPr>
                <w:b/>
                <w:bCs/>
              </w:rPr>
              <w:t xml:space="preserve">Train</w:t>
            </w:r>
          </w:p>
        </w:tc>
        <w:tc>
          <w:tcPr/>
          <w:p>
            <w:pPr>
              <w:pStyle w:val="Compact"/>
              <w:jc w:val="center"/>
            </w:pPr>
            <w:r>
              <w:rPr>
                <w:b/>
                <w:bCs/>
              </w:rPr>
              <w:t xml:space="preserve">Test</w:t>
            </w:r>
          </w:p>
        </w:tc>
      </w:tr>
      <w:tr>
        <w:tc>
          <w:tcPr/>
          <w:p>
            <w:pPr>
              <w:pStyle w:val="Compact"/>
              <w:jc w:val="left"/>
            </w:pPr>
            <w:r>
              <w:t xml:space="preserve">Yahoo Finance</w:t>
            </w:r>
          </w:p>
        </w:tc>
        <w:tc>
          <w:tcPr/>
          <w:p>
            <w:pPr>
              <w:pStyle w:val="Compact"/>
              <w:jc w:val="center"/>
            </w:pPr>
            <w:r>
              <w:t xml:space="preserve">118</w:t>
            </w:r>
          </w:p>
        </w:tc>
        <w:tc>
          <w:tcPr/>
          <w:p>
            <w:pPr>
              <w:pStyle w:val="Compact"/>
              <w:jc w:val="center"/>
            </w:pPr>
            <w:r>
              <w:t xml:space="preserve">215,930</w:t>
            </w:r>
          </w:p>
        </w:tc>
        <w:tc>
          <w:tcPr/>
          <w:p>
            <w:pPr>
              <w:pStyle w:val="Compact"/>
              <w:jc w:val="center"/>
            </w:pPr>
            <w:r>
              <w:t xml:space="preserve">172,744</w:t>
            </w:r>
          </w:p>
        </w:tc>
        <w:tc>
          <w:tcPr/>
          <w:p>
            <w:pPr>
              <w:pStyle w:val="Compact"/>
              <w:jc w:val="center"/>
            </w:pPr>
            <w:r>
              <w:t xml:space="preserve">43,186</w:t>
            </w:r>
          </w:p>
        </w:tc>
      </w:tr>
      <w:tr>
        <w:tc>
          <w:tcPr/>
          <w:p>
            <w:pPr>
              <w:pStyle w:val="Compact"/>
              <w:jc w:val="left"/>
            </w:pPr>
            <w:r>
              <w:t xml:space="preserve">(Stocks + ETFs)</w:t>
            </w:r>
          </w:p>
        </w:tc>
        <w:tc>
          <w:tcPr/>
          <w:p>
            <w:pPr>
              <w:pStyle w:val="Compact"/>
            </w:pPr>
          </w:p>
        </w:tc>
        <w:tc>
          <w:tcPr/>
          <w:p>
            <w:pPr>
              <w:pStyle w:val="Compact"/>
            </w:pPr>
          </w:p>
        </w:tc>
        <w:tc>
          <w:tcPr/>
          <w:p>
            <w:pPr>
              <w:pStyle w:val="Compact"/>
              <w:jc w:val="center"/>
            </w:pPr>
            <w:r>
              <w:t xml:space="preserve">(80%)</w:t>
            </w:r>
          </w:p>
        </w:tc>
        <w:tc>
          <w:tcPr/>
          <w:p>
            <w:pPr>
              <w:pStyle w:val="Compact"/>
              <w:jc w:val="center"/>
            </w:pPr>
            <w:r>
              <w:t xml:space="preserve">(20%)</w:t>
            </w:r>
          </w:p>
        </w:tc>
      </w:tr>
      <w:tr>
        <w:tc>
          <w:tcPr/>
          <w:p>
            <w:pPr>
              <w:pStyle w:val="Compact"/>
              <w:jc w:val="left"/>
            </w:pPr>
            <w:r>
              <w:t xml:space="preserve">CoinMarketCap</w:t>
            </w:r>
          </w:p>
        </w:tc>
        <w:tc>
          <w:tcPr/>
          <w:p>
            <w:pPr>
              <w:pStyle w:val="Compact"/>
              <w:jc w:val="center"/>
            </w:pPr>
            <w:r>
              <w:t xml:space="preserve">141</w:t>
            </w:r>
          </w:p>
        </w:tc>
        <w:tc>
          <w:tcPr/>
          <w:p>
            <w:pPr>
              <w:pStyle w:val="Compact"/>
              <w:jc w:val="center"/>
            </w:pPr>
            <w:r>
              <w:t xml:space="preserve">154,795</w:t>
            </w:r>
          </w:p>
        </w:tc>
        <w:tc>
          <w:tcPr/>
          <w:p>
            <w:pPr>
              <w:pStyle w:val="Compact"/>
              <w:jc w:val="center"/>
            </w:pPr>
            <w:r>
              <w:t xml:space="preserve">123,836</w:t>
            </w:r>
          </w:p>
        </w:tc>
        <w:tc>
          <w:tcPr/>
          <w:p>
            <w:pPr>
              <w:pStyle w:val="Compact"/>
              <w:jc w:val="center"/>
            </w:pPr>
            <w:r>
              <w:t xml:space="preserve">30,959</w:t>
            </w:r>
          </w:p>
        </w:tc>
      </w:tr>
      <w:tr>
        <w:tc>
          <w:tcPr/>
          <w:p>
            <w:pPr>
              <w:pStyle w:val="Compact"/>
              <w:jc w:val="left"/>
            </w:pPr>
            <w:r>
              <w:t xml:space="preserve">(Crypto)</w:t>
            </w:r>
          </w:p>
        </w:tc>
        <w:tc>
          <w:tcPr/>
          <w:p>
            <w:pPr>
              <w:pStyle w:val="Compact"/>
            </w:pPr>
          </w:p>
        </w:tc>
        <w:tc>
          <w:tcPr/>
          <w:p>
            <w:pPr>
              <w:pStyle w:val="Compact"/>
            </w:pPr>
          </w:p>
        </w:tc>
        <w:tc>
          <w:tcPr/>
          <w:p>
            <w:pPr>
              <w:pStyle w:val="Compact"/>
              <w:jc w:val="center"/>
            </w:pPr>
            <w:r>
              <w:t xml:space="preserve">(80%)</w:t>
            </w:r>
          </w:p>
        </w:tc>
        <w:tc>
          <w:tcPr/>
          <w:p>
            <w:pPr>
              <w:pStyle w:val="Compact"/>
              <w:jc w:val="center"/>
            </w:pPr>
            <w:r>
              <w:t xml:space="preserve">(20%)</w:t>
            </w:r>
          </w:p>
        </w:tc>
      </w:tr>
      <w:tr>
        <w:tc>
          <w:tcPr>
            <w:gridSpan w:val="5"/>
          </w:tcPr>
          <w:p>
            <w:pPr>
              <w:pStyle w:val="Compact"/>
              <w:jc w:val="center"/>
            </w:pPr>
            <w:r>
              <w:rPr>
                <w:b/>
                <w:bCs/>
              </w:rPr>
              <w:t xml:space="preserve">Class Distribution (Positive/Negative Samples)</w:t>
            </w:r>
          </w:p>
        </w:tc>
      </w:tr>
      <w:tr>
        <w:tc>
          <w:tcPr/>
          <w:p>
            <w:pPr>
              <w:pStyle w:val="Compact"/>
              <w:jc w:val="left"/>
            </w:pPr>
            <w:r>
              <w:rPr>
                <w:b/>
                <w:bCs/>
              </w:rPr>
              <w:t xml:space="preserve">Set</w:t>
            </w:r>
          </w:p>
        </w:tc>
        <w:tc>
          <w:tcPr>
            <w:gridSpan w:val="2"/>
          </w:tcPr>
          <w:p>
            <w:pPr>
              <w:pStyle w:val="Compact"/>
              <w:jc w:val="center"/>
            </w:pPr>
            <w:r>
              <w:rPr>
                <w:b/>
                <w:bCs/>
              </w:rPr>
              <w:t xml:space="preserve">Stocks/ETFs</w:t>
            </w:r>
          </w:p>
        </w:tc>
        <w:tc>
          <w:tcPr>
            <w:gridSpan w:val="2"/>
          </w:tcPr>
          <w:p>
            <w:pPr>
              <w:pStyle w:val="Compact"/>
              <w:jc w:val="center"/>
            </w:pPr>
            <w:r>
              <w:rPr>
                <w:b/>
                <w:bCs/>
              </w:rPr>
              <w:t xml:space="preserve">Crypto</w:t>
            </w:r>
          </w:p>
        </w:tc>
      </w:tr>
      <w:tr>
        <w:tc>
          <w:tcPr/>
          <w:p>
            <w:pPr>
              <w:pStyle w:val="Compact"/>
              <w:jc w:val="left"/>
            </w:pPr>
            <w:r>
              <w:t xml:space="preserve">Positive (BUY)</w:t>
            </w:r>
          </w:p>
        </w:tc>
        <w:tc>
          <w:tcPr>
            <w:gridSpan w:val="2"/>
          </w:tcPr>
          <w:p>
            <w:pPr>
              <w:pStyle w:val="Compact"/>
              <w:jc w:val="center"/>
            </w:pPr>
            <w:r>
              <w:t xml:space="preserve">82,485 (38.2%)</w:t>
            </w:r>
          </w:p>
        </w:tc>
        <w:tc>
          <w:tcPr>
            <w:gridSpan w:val="2"/>
          </w:tcPr>
          <w:p>
            <w:pPr>
              <w:pStyle w:val="Compact"/>
              <w:jc w:val="center"/>
            </w:pPr>
            <w:r>
              <w:t xml:space="preserve">48,760 (31.5%)</w:t>
            </w:r>
          </w:p>
        </w:tc>
      </w:tr>
      <w:tr>
        <w:tc>
          <w:tcPr/>
          <w:p>
            <w:pPr>
              <w:pStyle w:val="Compact"/>
              <w:jc w:val="left"/>
            </w:pPr>
            <w:r>
              <w:t xml:space="preserve">Negative (SELL)</w:t>
            </w:r>
          </w:p>
        </w:tc>
        <w:tc>
          <w:tcPr>
            <w:gridSpan w:val="2"/>
          </w:tcPr>
          <w:p>
            <w:pPr>
              <w:pStyle w:val="Compact"/>
              <w:jc w:val="center"/>
            </w:pPr>
            <w:r>
              <w:t xml:space="preserve">133,445 (61.8%)</w:t>
            </w:r>
          </w:p>
        </w:tc>
        <w:tc>
          <w:tcPr>
            <w:gridSpan w:val="2"/>
          </w:tcPr>
          <w:p>
            <w:pPr>
              <w:pStyle w:val="Compact"/>
              <w:jc w:val="center"/>
            </w:pPr>
            <w:r>
              <w:t xml:space="preserve">106,035 (68.5%)</w:t>
            </w:r>
          </w:p>
        </w:tc>
      </w:tr>
      <w:tr>
        <w:tc>
          <w:tcPr>
            <w:gridSpan w:val="5"/>
          </w:tcPr>
          <w:p>
            <w:pPr>
              <w:pStyle w:val="Compact"/>
              <w:jc w:val="center"/>
            </w:pPr>
            <w:r>
              <w:rPr>
                <w:b/>
                <w:bCs/>
              </w:rPr>
              <w:t xml:space="preserve">Total: 370,725 records | 259 assets | Period: 2019-2024</w:t>
            </w:r>
          </w:p>
        </w:tc>
      </w:tr>
    </w:tbl>
    <w:bookmarkEnd w:id="36"/>
    <w:p>
      <w:pPr>
        <w:pStyle w:val="BodyText"/>
      </w:pPr>
      <w:bookmarkStart w:id="37" w:name="tab:datasources"/>
      <w:bookmarkEnd w:id="37"/>
    </w:p>
    <w:p>
      <w:pPr>
        <w:pStyle w:val="BodyText"/>
      </w:pPr>
      <w:r>
        <w:t xml:space="preserve">Our data preprocessing pipeline includes: (1) missing value handling through forward-fill interpolation, (2) Z-score-based outlier filtering removing data points exceeding 4 standard deviations, (3) min-max scaling for feature normalization, and (4) Coordinated Universal Time (UTC) standardization across all data sources.</w:t>
      </w:r>
    </w:p>
    <w:bookmarkEnd w:id="38"/>
    <w:bookmarkStart w:id="41" w:name="feature-engineering"/>
    <w:p>
      <w:pPr>
        <w:pStyle w:val="Heading2"/>
      </w:pPr>
      <w:r>
        <w:t xml:space="preserve">Feature Engineering</w:t>
      </w:r>
    </w:p>
    <w:p>
      <w:pPr>
        <w:pStyle w:val="FirstParagraph"/>
      </w:pPr>
      <w:r>
        <w:t xml:space="preserve">Our feature engineering pipeline generates 70 predictive features organized into seven categories as shown in Table </w:t>
      </w:r>
      <w:hyperlink w:anchor="tab:features">
        <w:r>
          <w:rPr>
            <w:rStyle w:val="Hyperlink"/>
          </w:rPr>
          <w:t xml:space="preserve">2</w:t>
        </w:r>
      </w:hyperlink>
      <w:r>
        <w:t xml:space="preserve">.</w:t>
      </w:r>
    </w:p>
    <w:bookmarkStart w:id="39"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SMA(20, 50, 200), EMA(12, 26)</w:t>
            </w:r>
          </w:p>
        </w:tc>
        <w:tc>
          <w:tcPr/>
          <w:p>
            <w:pPr>
              <w:pStyle w:val="Compact"/>
              <w:jc w:val="center"/>
            </w:pPr>
            <w:r>
              <w:t xml:space="preserve">12</w:t>
            </w:r>
          </w:p>
        </w:tc>
      </w:tr>
      <w:tr>
        <w:tc>
          <w:tcPr/>
          <w:p>
            <w:pPr>
              <w:pStyle w:val="Compact"/>
              <w:jc w:val="left"/>
            </w:pPr>
            <w:r>
              <w:t xml:space="preserve">Momentum </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r>
        <w:tc>
          <w:tcPr>
            <w:gridSpan w:val="2"/>
          </w:tcPr>
          <w:p>
            <w:pPr>
              <w:pStyle w:val="Compact"/>
              <w:jc w:val="right"/>
            </w:pPr>
            <w:r>
              <w:rPr>
                <w:b/>
                <w:bCs/>
              </w:rPr>
              <w:t xml:space="preserve">Total Features</w:t>
            </w:r>
          </w:p>
        </w:tc>
        <w:tc>
          <w:tcPr/>
          <w:p>
            <w:pPr>
              <w:pStyle w:val="Compact"/>
              <w:jc w:val="center"/>
            </w:pPr>
            <w:r>
              <w:rPr>
                <w:b/>
                <w:bCs/>
              </w:rPr>
              <w:t xml:space="preserve">70</w:t>
            </w:r>
          </w:p>
        </w:tc>
      </w:tr>
    </w:tbl>
    <w:bookmarkEnd w:id="39"/>
    <w:p>
      <w:pPr>
        <w:pStyle w:val="BodyText"/>
      </w:pPr>
      <w:bookmarkStart w:id="40" w:name="tab:features"/>
      <w:bookmarkEnd w:id="40"/>
    </w:p>
    <w:bookmarkEnd w:id="41"/>
    <w:bookmarkStart w:id="44" w:name="model-training-and-evaluation"/>
    <w:p>
      <w:pPr>
        <w:pStyle w:val="Heading2"/>
      </w:pPr>
      <w:r>
        <w:t xml:space="preserve">Model Training and Evaluation</w:t>
      </w:r>
    </w:p>
    <w:p>
      <w:pPr>
        <w:pStyle w:val="FirstParagraph"/>
      </w:pPr>
      <w:r>
        <w:t xml:space="preserve">We employ a voting ensemble combining two complementary tree-based learners. Random Forest </w:t>
      </w:r>
      <w:r>
        <w:t xml:space="preserve"> </w:t>
      </w:r>
      <w:r>
        <w:t xml:space="preserve">uses 150 trees with depth 10 and balanced class weights. XGBoost uses 150 boosting rounds with learning rate 0.05 and scale_pos_weight=3 to handle class imbalance. The final prediction uses soft voting to combine both classifiers. Table </w:t>
      </w:r>
      <w:hyperlink w:anchor="tab:models">
        <w:r>
          <w:rPr>
            <w:rStyle w:val="Hyperlink"/>
          </w:rPr>
          <w:t xml:space="preserve">3</w:t>
        </w:r>
      </w:hyperlink>
      <w:r>
        <w:t xml:space="preserve"> </w:t>
      </w:r>
      <w:r>
        <w:t xml:space="preserve">shows a snapshot of individual and ensemble models with corresponding parameters.</w:t>
      </w:r>
    </w:p>
    <w:p>
      <w:pPr>
        <w:pStyle w:val="BodyText"/>
      </w:pPr>
      <w:r>
        <w:rPr>
          <w:b/>
          <w:bCs/>
        </w:rPr>
        <w:t xml:space="preserve">Training Configuration:</w:t>
      </w:r>
      <w:r>
        <w:t xml:space="preserve"> </w:t>
      </w:r>
      <w:r>
        <w:t xml:space="preserve">We train our models using binary cross-entropy loss as defined in Equation </w:t>
      </w:r>
      <w:hyperlink w:anchor="eq:bce">
        <w:r>
          <w:rPr>
            <w:rStyle w:val="Hyperlink"/>
          </w:rPr>
          <w:t xml:space="preserve">[eq:bce]</w:t>
        </w:r>
      </w:hyperlink>
      <w:r>
        <w:t xml:space="preserve">:</w:t>
      </w:r>
    </w:p>
    <w:p>
      <w:pPr>
        <w:pStyle w:val="BodyText"/>
      </w:pPr>
      <m:oMathPara>
        <m:oMathParaPr>
          <m:jc m:val="center"/>
        </m:oMathParaPr>
        <m:oMath>
          <m:sSub>
            <m:e>
              <m:r>
                <m:rPr>
                  <m:sty m:val="p"/>
                  <m:scr m:val="script"/>
                </m:rPr>
                <m:t>L</m:t>
              </m:r>
            </m:e>
            <m:sub>
              <m:r>
                <m:t>B</m:t>
              </m:r>
              <m:r>
                <m:t>C</m:t>
              </m:r>
              <m:r>
                <m:t>E</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r>
                        <m:t>y</m:t>
                      </m:r>
                    </m:e>
                    <m:sub>
                      <m:r>
                        <m:t>i</m:t>
                      </m:r>
                    </m:sub>
                  </m:sSub>
                  <m:r>
                    <m:rPr>
                      <m:sty m:val="p"/>
                    </m:rPr>
                    <m:t>log</m:t>
                  </m:r>
                  <m:d>
                    <m:dPr>
                      <m:begChr m:val="("/>
                      <m:endChr m:val=")"/>
                      <m:sepChr m:val=""/>
                      <m:grow/>
                    </m:dPr>
                    <m:e>
                      <m:sSub>
                        <m:e>
                          <m:acc>
                            <m:accPr>
                              <m:chr m:val="̂"/>
                            </m:accPr>
                            <m:e>
                              <m:r>
                                <m:t>y</m:t>
                              </m:r>
                            </m:e>
                          </m:acc>
                        </m:e>
                        <m:sub>
                          <m:r>
                            <m:t>i</m:t>
                          </m:r>
                        </m:sub>
                      </m:sSub>
                    </m:e>
                  </m:d>
                  <m:r>
                    <m:rPr>
                      <m:sty m:val="p"/>
                    </m:rPr>
                    <m:t>+</m:t>
                  </m:r>
                  <m:d>
                    <m:dPr>
                      <m:begChr m:val="("/>
                      <m:endChr m:val=")"/>
                      <m:sepChr m:val=""/>
                      <m:grow/>
                    </m:dPr>
                    <m:e>
                      <m:r>
                        <m:t>1</m:t>
                      </m:r>
                      <m:r>
                        <m:rPr>
                          <m:sty m:val="p"/>
                        </m:rPr>
                        <m:t>−</m:t>
                      </m:r>
                      <m:sSub>
                        <m:e>
                          <m:r>
                            <m:t>y</m:t>
                          </m:r>
                        </m:e>
                        <m:sub>
                          <m:r>
                            <m:t>i</m:t>
                          </m:r>
                        </m:sub>
                      </m:sSub>
                    </m:e>
                  </m:d>
                  <m:r>
                    <m:rPr>
                      <m:sty m:val="p"/>
                    </m:rPr>
                    <m:t>log</m:t>
                  </m:r>
                  <m:d>
                    <m:dPr>
                      <m:begChr m:val="("/>
                      <m:endChr m:val=")"/>
                      <m:sepChr m:val=""/>
                      <m:grow/>
                    </m:dPr>
                    <m:e>
                      <m:r>
                        <m:t>1</m:t>
                      </m:r>
                      <m:r>
                        <m:rPr>
                          <m:sty m:val="p"/>
                        </m:rPr>
                        <m:t>−</m:t>
                      </m:r>
                      <m:sSub>
                        <m:e>
                          <m:acc>
                            <m:accPr>
                              <m:chr m:val="̂"/>
                            </m:accPr>
                            <m:e>
                              <m:r>
                                <m:t>y</m:t>
                              </m:r>
                            </m:e>
                          </m:acc>
                        </m:e>
                        <m:sub>
                          <m:r>
                            <m:t>i</m:t>
                          </m:r>
                        </m:sub>
                      </m:sSub>
                    </m:e>
                  </m:d>
                </m:e>
              </m:d>
            </m:e>
          </m:nary>
        </m:oMath>
      </m:oMathPara>
    </w:p>
    <w:p>
      <w:pPr>
        <w:pStyle w:val="FirstParagraph"/>
      </w:pPr>
      <w:r>
        <w:t xml:space="preserve">where</w:t>
      </w:r>
      <w:r>
        <w:t xml:space="preserve"> </w:t>
      </w:r>
      <m:oMath>
        <m:sSub>
          <m:e>
            <m:r>
              <m:t>y</m:t>
            </m:r>
          </m:e>
          <m:sub>
            <m:r>
              <m:t>i</m:t>
            </m:r>
          </m:sub>
        </m:sSub>
      </m:oMath>
      <w:r>
        <w:t xml:space="preserve"> </w:t>
      </w:r>
      <w:r>
        <w:t xml:space="preserve">is the true label and</w:t>
      </w:r>
      <w:r>
        <w:t xml:space="preserve"> </w:t>
      </w:r>
      <m:oMath>
        <m:sSub>
          <m:e>
            <m:acc>
              <m:accPr>
                <m:chr m:val="̂"/>
              </m:accPr>
              <m:e>
                <m:r>
                  <m:t>y</m:t>
                </m:r>
              </m:e>
            </m:acc>
          </m:e>
          <m:sub>
            <m:r>
              <m:t>i</m:t>
            </m:r>
          </m:sub>
        </m:sSub>
      </m:oMath>
      <w:r>
        <w:t xml:space="preserve"> </w:t>
      </w:r>
      <w:r>
        <w:t xml:space="preserve">is the predicted probability. We implement early stopping with patience of 10 rounds to prevent overfitting, monitoring validation loss during training. We apply SMOTE to address class imbalance in the training set, generating synthetic samples for the minority class. Importantly, SMOTE is applied only to training data after the temporal split, ensuring test data remains 100% original. Our analysis of SMOTE-generated samples confirms they create true interpolations rather than copies: across all assets, 0% of synthetic samples are exact duplicates, and over 93% have meaningful Euclidean distance (</w:t>
      </w:r>
      <m:oMath>
        <m:r>
          <m:rPr>
            <m:sty m:val="p"/>
          </m:rPr>
          <m:t>&gt;</m:t>
        </m:r>
      </m:oMath>
      <w:r>
        <w:t xml:space="preserve">0.1 in normalized space) from original samples. All experiments use random seed 42 for reproducibility.</w:t>
      </w:r>
    </w:p>
    <w:p>
      <w:pPr>
        <w:pStyle w:val="BodyText"/>
      </w:pPr>
      <w:r>
        <w:rPr>
          <w:b/>
          <w:bCs/>
        </w:rPr>
        <w:t xml:space="preserve">Evaluation Metrics:</w:t>
      </w:r>
      <w:r>
        <w:t xml:space="preserve"> </w:t>
      </w:r>
      <w:r>
        <w:t xml:space="preserve">We evaluate model performance using accuracy, precision, recall, and F1 score. Accuracy is defined in Equation </w:t>
      </w:r>
      <w:hyperlink w:anchor="eq:accuracy">
        <w:r>
          <w:rPr>
            <w:rStyle w:val="Hyperlink"/>
          </w:rPr>
          <w:t xml:space="preserve">[eq:accuracy]</w:t>
        </w:r>
      </w:hyperlink>
      <w:r>
        <w:t xml:space="preserve">:</w:t>
      </w:r>
    </w:p>
    <w:p>
      <w:pPr>
        <w:pStyle w:val="BodyText"/>
      </w:pPr>
      <m:oMathPara>
        <m:oMathParaPr>
          <m:jc m:val="center"/>
        </m:oMathParaPr>
        <m:oMath>
          <m:r>
            <m:rPr>
              <m:nor/>
              <m:sty m:val="p"/>
            </m:rPr>
            <m:t>Accuracy</m:t>
          </m:r>
          <m:r>
            <m:rPr>
              <m:sty m:val="p"/>
            </m:rPr>
            <m:t>=</m:t>
          </m:r>
          <m:f>
            <m:fPr>
              <m:type m:val="bar"/>
            </m:fPr>
            <m:num>
              <m:r>
                <m:t>T</m:t>
              </m:r>
              <m:r>
                <m:t>P</m:t>
              </m:r>
              <m:r>
                <m:rPr>
                  <m:sty m:val="p"/>
                </m:rPr>
                <m:t>+</m:t>
              </m:r>
              <m:r>
                <m:t>T</m:t>
              </m:r>
              <m:r>
                <m:t>N</m:t>
              </m:r>
            </m:num>
            <m:den>
              <m:r>
                <m:t>T</m:t>
              </m:r>
              <m:r>
                <m:t>P</m:t>
              </m:r>
              <m:r>
                <m:rPr>
                  <m:sty m:val="p"/>
                </m:rPr>
                <m:t>+</m:t>
              </m:r>
              <m:r>
                <m:t>T</m:t>
              </m:r>
              <m:r>
                <m:t>N</m:t>
              </m:r>
              <m:r>
                <m:rPr>
                  <m:sty m:val="p"/>
                </m:rPr>
                <m:t>+</m:t>
              </m:r>
              <m:r>
                <m:t>F</m:t>
              </m:r>
              <m:r>
                <m:t>P</m:t>
              </m:r>
              <m:r>
                <m:rPr>
                  <m:sty m:val="p"/>
                </m:rPr>
                <m:t>+</m:t>
              </m:r>
              <m:r>
                <m:t>F</m:t>
              </m:r>
              <m:r>
                <m:t>N</m:t>
              </m:r>
            </m:den>
          </m:f>
        </m:oMath>
      </m:oMathPara>
    </w:p>
    <w:p>
      <w:pPr>
        <w:pStyle w:val="FirstParagraph"/>
      </w:pPr>
      <w:r>
        <w:t xml:space="preserve">where TP, TN, FP, and FN represent true positives, true negatives, false positives, and false negatives respectively. We also compute precision, recall, and F1 as defined in Equations </w:t>
      </w:r>
      <w:hyperlink w:anchor="eq:precision">
        <w:r>
          <w:rPr>
            <w:rStyle w:val="Hyperlink"/>
          </w:rPr>
          <w:t xml:space="preserve">[eq:precision]</w:t>
        </w:r>
      </w:hyperlink>
      <w:r>
        <w:t xml:space="preserve">–</w:t>
      </w:r>
      <w:hyperlink w:anchor="eq:f1">
        <w:r>
          <w:rPr>
            <w:rStyle w:val="Hyperlink"/>
          </w:rPr>
          <w:t xml:space="preserve">[eq:f1]</w:t>
        </w:r>
      </w:hyperlink>
      <w:r>
        <w:t xml:space="preserve">:</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r>
            <m:rPr>
              <m:nor/>
              <m:sty m:val="p"/>
            </m:rPr>
            <m:t>F1</m:t>
          </m:r>
          <m:r>
            <m:rPr>
              <m:sty m:val="p"/>
            </m:rPr>
            <m:t>=</m:t>
          </m:r>
          <m:r>
            <m:t>2</m:t>
          </m:r>
          <m:r>
            <m:rPr>
              <m:sty m:val="p"/>
            </m:rPr>
            <m:t>⋅</m:t>
          </m:r>
          <m:f>
            <m:fPr>
              <m:type m:val="bar"/>
            </m:fPr>
            <m:num>
              <m:r>
                <m:rPr>
                  <m:nor/>
                  <m:sty m:val="p"/>
                </m:rPr>
                <m:t>Precision</m:t>
              </m:r>
              <m:r>
                <m:rPr>
                  <m:sty m:val="p"/>
                </m:rPr>
                <m:t>⋅</m:t>
              </m:r>
              <m:r>
                <m:rPr>
                  <m:nor/>
                  <m:sty m:val="p"/>
                </m:rPr>
                <m:t>Recall</m:t>
              </m:r>
            </m:num>
            <m:den>
              <m:r>
                <m:rPr>
                  <m:nor/>
                  <m:sty m:val="p"/>
                </m:rPr>
                <m:t>Precision</m:t>
              </m:r>
              <m:r>
                <m:rPr>
                  <m:sty m:val="p"/>
                </m:rPr>
                <m:t>+</m:t>
              </m:r>
              <m:r>
                <m:rPr>
                  <m:nor/>
                  <m:sty m:val="p"/>
                </m:rPr>
                <m:t>Recall</m:t>
              </m:r>
            </m:den>
          </m:f>
        </m:oMath>
      </m:oMathPara>
    </w:p>
    <w:p>
      <w:pPr>
        <w:pStyle w:val="FirstParagraph"/>
      </w:pPr>
      <w:r>
        <w:t xml:space="preserve">These metrics are critical for imbalanced datasets where accuracy alone can be misleading.</w:t>
      </w:r>
    </w:p>
    <w:p>
      <w:pPr>
        <w:pStyle w:val="BodyText"/>
      </w:pPr>
      <w:r>
        <w:rPr>
          <w:b/>
          <w:bCs/>
        </w:rPr>
        <w:t xml:space="preserve">Temporal Split Strategy:</w:t>
      </w:r>
      <w:r>
        <w:t xml:space="preserve"> </w:t>
      </w:r>
      <w:r>
        <w:t xml:space="preserve">We apply temporal 80/20 train/test splits to prevent data leakage (training: January 2019–December 2023; testing: January 2024–December 2024). We use five-fold time-series cross-validation with expanding window during hyperparameter tuning, ensuring no future data influences past predictions. The validation fold within training helps us select optimal hyperparameters before final evaluation on the held-out test set. All results reported in Section IV are computed on the test set.</w:t>
      </w:r>
    </w:p>
    <w:bookmarkStart w:id="42" w:name="tab:models"/>
    <w:p>
      <w:pPr>
        <w:pStyle w:val="TableCaption"/>
      </w:pPr>
      <w:r>
        <w:t xml:space="preserve">Ensemble Model Configuration</w:t>
      </w:r>
    </w:p>
    <w:tbl>
      <w:tblPr>
        <w:tblStyle w:val="Table"/>
        <w:tblW w:type="auto" w:w="0"/>
        <w:jc w:val="left"/>
        <w:tblLook w:firstRow="1" w:lastRow="0" w:firstColumn="0" w:lastColumn="0" w:noHBand="0" w:noVBand="0" w:val="0020"/>
        <w:tblCaption w:val="Ensemble Model Configuration"/>
      </w:tblPr>
      <w:tblGrid>
        <w:gridCol w:w="2640"/>
        <w:gridCol w:w="2640"/>
        <w:gridCol w:w="2640"/>
      </w:tblGrid>
      <w:tr>
        <w:trPr>
          <w:tblHeader w:val="on"/>
        </w:trPr>
        <w:tc>
          <w:tcPr/>
          <w:p>
            <w:pPr>
              <w:pStyle w:val="Compact"/>
              <w:jc w:val="left"/>
            </w:pPr>
            <w:r>
              <w:rPr>
                <w:b/>
                <w:bCs/>
              </w:rPr>
              <w:t xml:space="preserve">Parameter</w:t>
            </w:r>
          </w:p>
        </w:tc>
        <w:tc>
          <w:tcPr/>
          <w:p>
            <w:pPr>
              <w:pStyle w:val="Compact"/>
              <w:jc w:val="center"/>
            </w:pPr>
            <w:r>
              <w:rPr>
                <w:b/>
                <w:bCs/>
              </w:rPr>
              <w:t xml:space="preserve">Random Forest</w:t>
            </w:r>
          </w:p>
        </w:tc>
        <w:tc>
          <w:tcPr/>
          <w:p>
            <w:pPr>
              <w:pStyle w:val="Compact"/>
              <w:jc w:val="center"/>
            </w:pPr>
            <w:r>
              <w:rPr>
                <w:b/>
                <w:bCs/>
              </w:rPr>
              <w:t xml:space="preserve">XGBoost</w:t>
            </w:r>
          </w:p>
        </w:tc>
      </w:tr>
      <w:tr>
        <w:tc>
          <w:tcPr/>
          <w:p>
            <w:pPr>
              <w:pStyle w:val="Compact"/>
              <w:jc w:val="left"/>
            </w:pPr>
            <w:r>
              <w:t xml:space="preserve">Estimators</w:t>
            </w:r>
          </w:p>
        </w:tc>
        <w:tc>
          <w:tcPr/>
          <w:p>
            <w:pPr>
              <w:pStyle w:val="Compact"/>
              <w:jc w:val="center"/>
            </w:pPr>
            <w:r>
              <w:t xml:space="preserve">150 trees</w:t>
            </w:r>
          </w:p>
        </w:tc>
        <w:tc>
          <w:tcPr/>
          <w:p>
            <w:pPr>
              <w:pStyle w:val="Compact"/>
              <w:jc w:val="center"/>
            </w:pPr>
            <w:r>
              <w:t xml:space="preserve">150 rounds</w:t>
            </w:r>
          </w:p>
        </w:tc>
      </w:tr>
      <w:tr>
        <w:tc>
          <w:tcPr/>
          <w:p>
            <w:pPr>
              <w:pStyle w:val="Compact"/>
              <w:jc w:val="left"/>
            </w:pPr>
            <w:r>
              <w:t xml:space="preserve">Max Depth</w:t>
            </w:r>
          </w:p>
        </w:tc>
        <w:tc>
          <w:tcPr/>
          <w:p>
            <w:pPr>
              <w:pStyle w:val="Compact"/>
              <w:jc w:val="center"/>
            </w:pPr>
            <w:r>
              <w:t xml:space="preserve">10</w:t>
            </w:r>
          </w:p>
        </w:tc>
        <w:tc>
          <w:tcPr/>
          <w:p>
            <w:pPr>
              <w:pStyle w:val="Compact"/>
              <w:jc w:val="center"/>
            </w:pPr>
            <w:r>
              <w:t xml:space="preserve">5</w:t>
            </w:r>
          </w:p>
        </w:tc>
      </w:tr>
      <w:tr>
        <w:tc>
          <w:tcPr/>
          <w:p>
            <w:pPr>
              <w:pStyle w:val="Compact"/>
              <w:jc w:val="left"/>
            </w:pPr>
            <w:r>
              <w:t xml:space="preserve">Learning Rate</w:t>
            </w:r>
          </w:p>
        </w:tc>
        <w:tc>
          <w:tcPr/>
          <w:p>
            <w:pPr>
              <w:pStyle w:val="Compact"/>
              <w:jc w:val="center"/>
            </w:pPr>
            <w:r>
              <w:t xml:space="preserve">N/A</w:t>
            </w:r>
          </w:p>
        </w:tc>
        <w:tc>
          <w:tcPr/>
          <w:p>
            <w:pPr>
              <w:pStyle w:val="Compact"/>
              <w:jc w:val="center"/>
            </w:pPr>
            <w:r>
              <w:t xml:space="preserve">0.05</w:t>
            </w:r>
          </w:p>
        </w:tc>
      </w:tr>
      <w:tr>
        <w:tc>
          <w:tcPr/>
          <w:p>
            <w:pPr>
              <w:pStyle w:val="Compact"/>
              <w:jc w:val="left"/>
            </w:pPr>
            <w:r>
              <w:t xml:space="preserve">Regularization</w:t>
            </w:r>
          </w:p>
        </w:tc>
        <w:tc>
          <w:tcPr/>
          <w:p>
            <w:pPr>
              <w:pStyle w:val="Compact"/>
              <w:jc w:val="center"/>
            </w:pPr>
            <w:r>
              <w:t xml:space="preserve">class_weight=balanced</w:t>
            </w:r>
          </w:p>
        </w:tc>
        <w:tc>
          <w:tcPr/>
          <w:p>
            <w:pPr>
              <w:pStyle w:val="Compact"/>
              <w:jc w:val="center"/>
            </w:pPr>
            <w:r>
              <w:t xml:space="preserve">scale_pos_weight=3</w:t>
            </w:r>
          </w:p>
        </w:tc>
      </w:tr>
      <w:tr>
        <w:tc>
          <w:tcPr/>
          <w:p>
            <w:pPr>
              <w:pStyle w:val="Compact"/>
              <w:jc w:val="left"/>
            </w:pPr>
            <w:r>
              <w:t xml:space="preserve">Loss Function</w:t>
            </w:r>
          </w:p>
        </w:tc>
        <w:tc>
          <w:tcPr>
            <w:gridSpan w:val="2"/>
          </w:tcPr>
          <w:p>
            <w:pPr>
              <w:pStyle w:val="Compact"/>
              <w:jc w:val="center"/>
            </w:pPr>
            <w:r>
              <w:t xml:space="preserve">Binary Cross-Entropy</w:t>
            </w:r>
          </w:p>
        </w:tc>
      </w:tr>
      <w:tr>
        <w:tc>
          <w:tcPr/>
          <w:p>
            <w:pPr>
              <w:pStyle w:val="Compact"/>
              <w:jc w:val="left"/>
            </w:pPr>
            <w:r>
              <w:t xml:space="preserve">Early Stopping</w:t>
            </w:r>
          </w:p>
        </w:tc>
        <w:tc>
          <w:tcPr>
            <w:gridSpan w:val="2"/>
          </w:tcPr>
          <w:p>
            <w:pPr>
              <w:pStyle w:val="Compact"/>
              <w:jc w:val="center"/>
            </w:pPr>
            <w:r>
              <w:t xml:space="preserve">Patience = 10 rounds</w:t>
            </w:r>
          </w:p>
        </w:tc>
      </w:tr>
      <w:tr>
        <w:tc>
          <w:tcPr/>
          <w:p>
            <w:pPr>
              <w:pStyle w:val="Compact"/>
              <w:jc w:val="left"/>
            </w:pPr>
            <w:r>
              <w:t xml:space="preserve">Ensemble Method</w:t>
            </w:r>
          </w:p>
        </w:tc>
        <w:tc>
          <w:tcPr>
            <w:gridSpan w:val="2"/>
          </w:tcPr>
          <w:p>
            <w:pPr>
              <w:pStyle w:val="Compact"/>
              <w:jc w:val="center"/>
            </w:pPr>
            <w:r>
              <w:t xml:space="preserve">Soft Voting</w:t>
            </w:r>
          </w:p>
        </w:tc>
      </w:tr>
    </w:tbl>
    <w:bookmarkEnd w:id="42"/>
    <w:p>
      <w:pPr>
        <w:pStyle w:val="BodyText"/>
      </w:pPr>
      <w:bookmarkStart w:id="43" w:name="tab:models"/>
      <w:bookmarkEnd w:id="43"/>
    </w:p>
    <w:bookmarkEnd w:id="44"/>
    <w:bookmarkStart w:id="47" w:name="volatility-aware-training"/>
    <w:p>
      <w:pPr>
        <w:pStyle w:val="Heading2"/>
      </w:pPr>
      <w:r>
        <w:t xml:space="preserve">Volatility-Aware Training</w:t>
      </w:r>
    </w:p>
    <w:p>
      <w:pPr>
        <w:pStyle w:val="FirstParagraph"/>
      </w:pPr>
      <w:r>
        <w:t xml:space="preserve">Cryptocurrency markets exhibit extreme volatility requiring adaptive training approaches. We implement volatility-aware thresholds based on asset classification as shown in Table </w:t>
      </w:r>
      <w:hyperlink w:anchor="tab:volatility">
        <w:r>
          <w:rPr>
            <w:rStyle w:val="Hyperlink"/>
          </w:rPr>
          <w:t xml:space="preserve">4</w:t>
        </w:r>
      </w:hyperlink>
      <w:r>
        <w:t xml:space="preserve">. Rather than using a fixed price movement threshold across all assets, we adapt the prediction target based on each asset’s historical volatility class.</w:t>
      </w:r>
    </w:p>
    <w:bookmarkStart w:id="45" w:name="tab:volatility"/>
    <w:p>
      <w:pPr>
        <w:pStyle w:val="TableCaption"/>
      </w:pPr>
      <w:r>
        <w:t xml:space="preserve">Volatility-Aware Threshold Configuration</w:t>
      </w:r>
    </w:p>
    <w:tbl>
      <w:tblPr>
        <w:tblStyle w:val="Table"/>
        <w:tblW w:type="auto" w:w="0"/>
        <w:jc w:val="left"/>
        <w:tblLook w:firstRow="1" w:lastRow="0" w:firstColumn="0" w:lastColumn="0" w:noHBand="0" w:noVBand="0" w:val="0020"/>
        <w:tblCaption w:val="Volatility-Aware Threshold Configuration"/>
      </w:tblPr>
      <w:tblGrid>
        <w:gridCol w:w="1980"/>
        <w:gridCol w:w="1980"/>
        <w:gridCol w:w="1980"/>
        <w:gridCol w:w="1980"/>
      </w:tblGrid>
      <w:tr>
        <w:trPr>
          <w:tblHeader w:val="on"/>
        </w:trPr>
        <w:tc>
          <w:tcPr/>
          <w:p>
            <w:pPr>
              <w:pStyle w:val="Compact"/>
              <w:jc w:val="left"/>
            </w:pPr>
            <w:r>
              <w:rPr>
                <w:b/>
                <w:bCs/>
              </w:rPr>
              <w:t xml:space="preserve">Volatility Class</w:t>
            </w:r>
          </w:p>
        </w:tc>
        <w:tc>
          <w:tcPr/>
          <w:p>
            <w:pPr>
              <w:pStyle w:val="Compact"/>
              <w:jc w:val="center"/>
            </w:pPr>
            <w:r>
              <w:rPr>
                <w:b/>
                <w:bCs/>
              </w:rPr>
              <w:t xml:space="preserve">Threshold</w:t>
            </w:r>
          </w:p>
        </w:tc>
        <w:tc>
          <w:tcPr/>
          <w:p>
            <w:pPr>
              <w:pStyle w:val="Compact"/>
              <w:jc w:val="center"/>
            </w:pPr>
            <w:r>
              <w:rPr>
                <w:b/>
                <w:bCs/>
              </w:rPr>
              <w:t xml:space="preserve">Horizon</w:t>
            </w:r>
          </w:p>
        </w:tc>
        <w:tc>
          <w:tcPr/>
          <w:p>
            <w:pPr>
              <w:pStyle w:val="Compact"/>
              <w:jc w:val="center"/>
            </w:pPr>
            <w:r>
              <w:rPr>
                <w:b/>
                <w:bCs/>
              </w:rPr>
              <w:t xml:space="preserve">Examples</w:t>
            </w:r>
          </w:p>
        </w:tc>
      </w:tr>
      <w:tr>
        <w:tc>
          <w:tcPr/>
          <w:p>
            <w:pPr>
              <w:pStyle w:val="Compact"/>
              <w:jc w:val="left"/>
            </w:pPr>
            <w:r>
              <w:t xml:space="preserve">Standard</w:t>
            </w:r>
          </w:p>
        </w:tc>
        <w:tc>
          <w:tcPr/>
          <w:p>
            <w:pPr>
              <w:pStyle w:val="Compact"/>
              <w:jc w:val="center"/>
            </w:pPr>
            <w:r>
              <w:t xml:space="preserve">4–6%</w:t>
            </w:r>
          </w:p>
        </w:tc>
        <w:tc>
          <w:tcPr/>
          <w:p>
            <w:pPr>
              <w:pStyle w:val="Compact"/>
              <w:jc w:val="center"/>
            </w:pPr>
            <w:r>
              <w:t xml:space="preserve">5–10 days</w:t>
            </w:r>
          </w:p>
        </w:tc>
        <w:tc>
          <w:tcPr/>
          <w:p>
            <w:pPr>
              <w:pStyle w:val="Compact"/>
              <w:jc w:val="center"/>
            </w:pPr>
            <w:r>
              <w:t xml:space="preserve">BTC, ETH</w:t>
            </w:r>
          </w:p>
        </w:tc>
      </w:tr>
      <w:tr>
        <w:tc>
          <w:tcPr/>
          <w:p>
            <w:pPr>
              <w:pStyle w:val="Compact"/>
              <w:jc w:val="left"/>
            </w:pPr>
            <w:r>
              <w:t xml:space="preserve">High</w:t>
            </w:r>
          </w:p>
        </w:tc>
        <w:tc>
          <w:tcPr/>
          <w:p>
            <w:pPr>
              <w:pStyle w:val="Compact"/>
              <w:jc w:val="center"/>
            </w:pPr>
            <w:r>
              <w:t xml:space="preserve">5–8%</w:t>
            </w:r>
          </w:p>
        </w:tc>
        <w:tc>
          <w:tcPr/>
          <w:p>
            <w:pPr>
              <w:pStyle w:val="Compact"/>
              <w:jc w:val="center"/>
            </w:pPr>
            <w:r>
              <w:t xml:space="preserve">5–7 days</w:t>
            </w:r>
          </w:p>
        </w:tc>
        <w:tc>
          <w:tcPr/>
          <w:p>
            <w:pPr>
              <w:pStyle w:val="Compact"/>
              <w:jc w:val="center"/>
            </w:pPr>
            <w:r>
              <w:t xml:space="preserve">SOL, BNB</w:t>
            </w:r>
          </w:p>
        </w:tc>
      </w:tr>
      <w:tr>
        <w:tc>
          <w:tcPr/>
          <w:p>
            <w:pPr>
              <w:pStyle w:val="Compact"/>
              <w:jc w:val="left"/>
            </w:pPr>
            <w:r>
              <w:t xml:space="preserve">Very High</w:t>
            </w:r>
          </w:p>
        </w:tc>
        <w:tc>
          <w:tcPr/>
          <w:p>
            <w:pPr>
              <w:pStyle w:val="Compact"/>
              <w:jc w:val="center"/>
            </w:pPr>
            <w:r>
              <w:t xml:space="preserve">6–10%</w:t>
            </w:r>
          </w:p>
        </w:tc>
        <w:tc>
          <w:tcPr/>
          <w:p>
            <w:pPr>
              <w:pStyle w:val="Compact"/>
              <w:jc w:val="center"/>
            </w:pPr>
            <w:r>
              <w:t xml:space="preserve">3–7 days</w:t>
            </w:r>
          </w:p>
        </w:tc>
        <w:tc>
          <w:tcPr/>
          <w:p>
            <w:pPr>
              <w:pStyle w:val="Compact"/>
              <w:jc w:val="center"/>
            </w:pPr>
            <w:r>
              <w:t xml:space="preserve">AI tokens</w:t>
            </w:r>
          </w:p>
        </w:tc>
      </w:tr>
      <w:tr>
        <w:tc>
          <w:tcPr/>
          <w:p>
            <w:pPr>
              <w:pStyle w:val="Compact"/>
              <w:jc w:val="left"/>
            </w:pPr>
            <w:r>
              <w:t xml:space="preserve">Extreme</w:t>
            </w:r>
          </w:p>
        </w:tc>
        <w:tc>
          <w:tcPr/>
          <w:p>
            <w:pPr>
              <w:pStyle w:val="Compact"/>
              <w:jc w:val="center"/>
            </w:pPr>
            <w:r>
              <w:t xml:space="preserve">8–15%</w:t>
            </w:r>
          </w:p>
        </w:tc>
        <w:tc>
          <w:tcPr/>
          <w:p>
            <w:pPr>
              <w:pStyle w:val="Compact"/>
              <w:jc w:val="center"/>
            </w:pPr>
            <w:r>
              <w:t xml:space="preserve">3–5 days</w:t>
            </w:r>
          </w:p>
        </w:tc>
        <w:tc>
          <w:tcPr/>
          <w:p>
            <w:pPr>
              <w:pStyle w:val="Compact"/>
              <w:jc w:val="center"/>
            </w:pPr>
            <w:r>
              <w:t xml:space="preserve">Meme coins</w:t>
            </w:r>
          </w:p>
        </w:tc>
      </w:tr>
    </w:tbl>
    <w:bookmarkEnd w:id="45"/>
    <w:p>
      <w:pPr>
        <w:pStyle w:val="BodyText"/>
      </w:pPr>
      <w:bookmarkStart w:id="46" w:name="tab:volatility"/>
      <w:bookmarkEnd w:id="46"/>
    </w:p>
    <w:bookmarkEnd w:id="47"/>
    <w:bookmarkStart w:id="48" w:name="tri-signal-fusion-engine"/>
    <w:p>
      <w:pPr>
        <w:pStyle w:val="Heading2"/>
      </w:pPr>
      <w:r>
        <w:t xml:space="preserve">Tri-Signal Fusion Engine</w:t>
      </w:r>
    </w:p>
    <w:p>
      <w:pPr>
        <w:pStyle w:val="FirstParagraph"/>
      </w:pPr>
      <w:r>
        <w:t xml:space="preserve">The system combines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We determine the weights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 through grid search optimization on a held-out validation set (2021 data), maximizing Sharpe ratio across 20 representative assets. The ML component receives highest weight due to its superior standalone accuracy; pattern recognition provides complementary signals for trend confirmation; news intelligence captures short-term sentiment shifts.</w:t>
      </w:r>
    </w:p>
    <w:p>
      <w:pPr>
        <w:pStyle w:val="BodyText"/>
      </w:pPr>
      <w:r>
        <w:t xml:space="preserve">When the three signal sources produce conflicting recommendations, our system applies a hierarchical conflict resolution protocol. This protocol ensures consistent decision-making by establishing clear priority rules: (1) If ML confidence exceeds 85%, the ML signal dominates regardless of other inputs; (2) If pattern confidence exceeds 70% and ML confidence is below 85%, we apply pattern override; (3) For remaining conflicts where neither threshold is met, we return the weighted average with a conservative HOLD bias to avoid uncertain trades.</w:t>
      </w:r>
    </w:p>
    <w:bookmarkEnd w:id="48"/>
    <w:bookmarkStart w:id="49" w:name="backtesting-framework"/>
    <w:p>
      <w:pPr>
        <w:pStyle w:val="Heading2"/>
      </w:pPr>
      <w:r>
        <w:t xml:space="preserve">Backtesting Framework</w:t>
      </w:r>
    </w:p>
    <w:p>
      <w:pPr>
        <w:pStyle w:val="FirstParagraph"/>
      </w:pPr>
      <w:r>
        <w:t xml:space="preserve">We design our custom backtesting engine to evaluate strategy performance through walk-forward optimization. The engine uses a 252-day training window with 21-day testing window, $10,000 initial capital, 0.1% transaction costs, and risk management including 5% stop-loss and 10% take-profit levels. We measure risk-adjusted returns using the Sharpe ratio as defined in Equation </w:t>
      </w:r>
      <w:hyperlink w:anchor="eq:sharpe">
        <w:r>
          <w:rPr>
            <w:rStyle w:val="Hyperlink"/>
          </w:rPr>
          <w:t xml:space="preserve">[eq:sharpe]</w:t>
        </w:r>
      </w:hyperlink>
      <w:r>
        <w:t xml:space="preserve">:</w:t>
      </w:r>
    </w:p>
    <w:p>
      <w:pPr>
        <w:pStyle w:val="BodyText"/>
      </w:pPr>
      <m:oMathPara>
        <m:oMathParaPr>
          <m:jc m:val="center"/>
        </m:oMathParaPr>
        <m:oMath>
          <m:r>
            <m:rPr>
              <m:nor/>
              <m:sty m:val="p"/>
            </m:rPr>
            <m:t>Sharpe Ratio</m:t>
          </m:r>
          <m:r>
            <m:rPr>
              <m:sty m:val="p"/>
            </m:rPr>
            <m:t>=</m:t>
          </m:r>
          <m:f>
            <m:fPr>
              <m:type m:val="bar"/>
            </m:fPr>
            <m:num>
              <m:sSub>
                <m:e>
                  <m:r>
                    <m:t>R</m:t>
                  </m:r>
                </m:e>
                <m:sub>
                  <m:r>
                    <m:t>p</m:t>
                  </m:r>
                </m:sub>
              </m:sSub>
              <m:r>
                <m:rPr>
                  <m:sty m:val="p"/>
                </m:rPr>
                <m:t>−</m:t>
              </m:r>
              <m:sSub>
                <m:e>
                  <m:r>
                    <m:t>R</m:t>
                  </m:r>
                </m:e>
                <m:sub>
                  <m:r>
                    <m:t>f</m:t>
                  </m:r>
                </m:sub>
              </m:sSub>
            </m:num>
            <m:den>
              <m:sSub>
                <m:e>
                  <m:r>
                    <m:t>σ</m:t>
                  </m:r>
                </m:e>
                <m:sub>
                  <m:r>
                    <m:t>p</m:t>
                  </m:r>
                </m:sub>
              </m:sSub>
            </m:den>
          </m:f>
        </m:oMath>
      </m:oMathPara>
    </w:p>
    <w:p>
      <w:pPr>
        <w:pStyle w:val="FirstParagraph"/>
      </w:pPr>
      <w:r>
        <w:t xml:space="preserve">where</w:t>
      </w:r>
      <w:r>
        <w:t xml:space="preserve"> </w:t>
      </w:r>
      <m:oMath>
        <m:sSub>
          <m:e>
            <m:r>
              <m:t>R</m:t>
            </m:r>
          </m:e>
          <m:sub>
            <m:r>
              <m:t>p</m:t>
            </m:r>
          </m:sub>
        </m:sSub>
      </m:oMath>
      <w:r>
        <w:t xml:space="preserve"> </w:t>
      </w:r>
      <w:r>
        <w:t xml:space="preserve">is the portfolio return,</w:t>
      </w:r>
      <w:r>
        <w:t xml:space="preserve"> </w:t>
      </w:r>
      <m:oMath>
        <m:sSub>
          <m:e>
            <m:r>
              <m:t>R</m:t>
            </m:r>
          </m:e>
          <m:sub>
            <m:r>
              <m:t>f</m:t>
            </m:r>
          </m:sub>
        </m:sSub>
      </m:oMath>
      <w:r>
        <w:t xml:space="preserve"> </w:t>
      </w:r>
      <w:r>
        <w:t xml:space="preserve">is the risk-free rate, and</w:t>
      </w:r>
      <w:r>
        <w:t xml:space="preserve"> </w:t>
      </w:r>
      <m:oMath>
        <m:sSub>
          <m:e>
            <m:r>
              <m:t>σ</m:t>
            </m:r>
          </m:e>
          <m:sub>
            <m:r>
              <m:t>p</m:t>
            </m:r>
          </m:sub>
        </m:sSub>
      </m:oMath>
      <w:r>
        <w:t xml:space="preserve"> </w:t>
      </w:r>
      <w:r>
        <w:t xml:space="preserve">is the standard deviation of portfolio returns.</w:t>
      </w:r>
    </w:p>
    <w:bookmarkEnd w:id="49"/>
    <w:bookmarkEnd w:id="50"/>
    <w:bookmarkStart w:id="84" w:name="results"/>
    <w:p>
      <w:pPr>
        <w:pStyle w:val="Heading1"/>
      </w:pPr>
      <w:r>
        <w:t xml:space="preserve">Results</w:t>
      </w:r>
    </w:p>
    <w:p>
      <w:pPr>
        <w:pStyle w:val="FirstParagraph"/>
      </w:pPr>
      <w:r>
        <w:t xml:space="preserve">All results in this section are computed on the held-out test set (January 2024–December 2024) after model training is complete.</w:t>
      </w:r>
    </w:p>
    <w:bookmarkStart w:id="53" w:name="comprehensive-performance-metrics"/>
    <w:p>
      <w:pPr>
        <w:pStyle w:val="Heading2"/>
      </w:pPr>
      <w:r>
        <w:t xml:space="preserve">Comprehensive Performance Metrics</w:t>
      </w:r>
    </w:p>
    <w:p>
      <w:pPr>
        <w:pStyle w:val="FirstParagraph"/>
      </w:pPr>
      <w:r>
        <w:t xml:space="preserve">To address the limitations of accuracy-only evaluation, Table </w:t>
      </w:r>
      <w:hyperlink w:anchor="tab:comprehensive">
        <w:r>
          <w:rPr>
            <w:rStyle w:val="Hyperlink"/>
          </w:rPr>
          <w:t xml:space="preserve">5</w:t>
        </w:r>
      </w:hyperlink>
      <w:r>
        <w:t xml:space="preserve"> </w:t>
      </w:r>
      <w:r>
        <w:t xml:space="preserve">presents comprehensive metrics for representative assets. These results reveal important insights about class imbalance: while accuracy may appear high (e.g., AAPL at 68.09%), some models predict only the majority class, resulting in 0% precision/recall/F1 for the minority class. BTC-USD achieves the best minority class detection with 42.55% F1 score.</w:t>
      </w:r>
    </w:p>
    <w:bookmarkStart w:id="51" w:name="tab:comprehensive"/>
    <w:p>
      <w:pPr>
        <w:pStyle w:val="TableCaption"/>
      </w:pPr>
      <w:r>
        <w:t xml:space="preserve">Comprehensive Metrics (Test Set, RandomForest)</w:t>
      </w:r>
    </w:p>
    <w:tbl>
      <w:tblPr>
        <w:tblStyle w:val="Table"/>
        <w:tblW w:type="auto" w:w="0"/>
        <w:jc w:val="left"/>
        <w:tblLook w:firstRow="1" w:lastRow="0" w:firstColumn="0" w:lastColumn="0" w:noHBand="0" w:noVBand="0" w:val="0020"/>
        <w:tblCaption w:val="Comprehensive Metrics (Test Set, RandomForest)"/>
      </w:tblPr>
      <w:tblGrid>
        <w:gridCol w:w="1584"/>
        <w:gridCol w:w="1584"/>
        <w:gridCol w:w="1584"/>
        <w:gridCol w:w="1584"/>
        <w:gridCol w:w="1584"/>
      </w:tblGrid>
      <w:tr>
        <w:trPr>
          <w:tblHeader w:val="on"/>
        </w:trPr>
        <w:tc>
          <w:tcPr/>
          <w:p>
            <w:pPr>
              <w:pStyle w:val="Compact"/>
              <w:jc w:val="left"/>
            </w:pPr>
            <w:r>
              <w:rPr>
                <w:b/>
                <w:bCs/>
              </w:rPr>
              <w:t xml:space="preserve">Asset</w:t>
            </w:r>
          </w:p>
        </w:tc>
        <w:tc>
          <w:tcPr/>
          <w:p>
            <w:pPr>
              <w:pStyle w:val="Compact"/>
              <w:jc w:val="center"/>
            </w:pPr>
            <w:r>
              <w:rPr>
                <w:b/>
                <w:bCs/>
              </w:rPr>
              <w:t xml:space="preserve">Accuracy</w:t>
            </w:r>
          </w:p>
        </w:tc>
        <w:tc>
          <w:tcPr/>
          <w:p>
            <w:pPr>
              <w:pStyle w:val="Compact"/>
              <w:jc w:val="center"/>
            </w:pPr>
            <w:r>
              <w:rPr>
                <w:b/>
                <w:bCs/>
              </w:rPr>
              <w:t xml:space="preserve">Precision</w:t>
            </w:r>
          </w:p>
        </w:tc>
        <w:tc>
          <w:tcPr/>
          <w:p>
            <w:pPr>
              <w:pStyle w:val="Compact"/>
              <w:jc w:val="center"/>
            </w:pPr>
            <w:r>
              <w:rPr>
                <w:b/>
                <w:bCs/>
              </w:rPr>
              <w:t xml:space="preserve">Recall</w:t>
            </w:r>
          </w:p>
        </w:tc>
        <w:tc>
          <w:tcPr/>
          <w:p>
            <w:pPr>
              <w:pStyle w:val="Compact"/>
              <w:jc w:val="center"/>
            </w:pPr>
            <w:r>
              <w:rPr>
                <w:b/>
                <w:bCs/>
              </w:rPr>
              <w:t xml:space="preserve">F1</w:t>
            </w:r>
          </w:p>
        </w:tc>
      </w:tr>
      <w:tr>
        <w:tc>
          <w:tcPr/>
          <w:p>
            <w:pPr>
              <w:pStyle w:val="Compact"/>
              <w:jc w:val="left"/>
            </w:pPr>
            <w:r>
              <w:t xml:space="preserve">AAPL</w:t>
            </w:r>
          </w:p>
        </w:tc>
        <w:tc>
          <w:tcPr/>
          <w:p>
            <w:pPr>
              <w:pStyle w:val="Compact"/>
              <w:jc w:val="center"/>
            </w:pPr>
            <w:r>
              <w:t xml:space="preserve">68.09%</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MSFT</w:t>
            </w:r>
          </w:p>
        </w:tc>
        <w:tc>
          <w:tcPr/>
          <w:p>
            <w:pPr>
              <w:pStyle w:val="Compact"/>
              <w:jc w:val="center"/>
            </w:pPr>
            <w:r>
              <w:t xml:space="preserve">80.85%</w:t>
            </w:r>
          </w:p>
        </w:tc>
        <w:tc>
          <w:tcPr/>
          <w:p>
            <w:pPr>
              <w:pStyle w:val="Compact"/>
              <w:jc w:val="center"/>
            </w:pPr>
            <w:r>
              <w:t xml:space="preserve">30.77%</w:t>
            </w:r>
          </w:p>
        </w:tc>
        <w:tc>
          <w:tcPr/>
          <w:p>
            <w:pPr>
              <w:pStyle w:val="Compact"/>
              <w:jc w:val="center"/>
            </w:pPr>
            <w:r>
              <w:t xml:space="preserve">18.18%</w:t>
            </w:r>
          </w:p>
        </w:tc>
        <w:tc>
          <w:tcPr/>
          <w:p>
            <w:pPr>
              <w:pStyle w:val="Compact"/>
              <w:jc w:val="center"/>
            </w:pPr>
            <w:r>
              <w:t xml:space="preserve">22.86%</w:t>
            </w:r>
          </w:p>
        </w:tc>
      </w:tr>
      <w:tr>
        <w:tc>
          <w:tcPr/>
          <w:p>
            <w:pPr>
              <w:pStyle w:val="Compact"/>
              <w:jc w:val="left"/>
            </w:pPr>
            <w:r>
              <w:t xml:space="preserve">GOOGL</w:t>
            </w:r>
          </w:p>
        </w:tc>
        <w:tc>
          <w:tcPr/>
          <w:p>
            <w:pPr>
              <w:pStyle w:val="Compact"/>
              <w:jc w:val="center"/>
            </w:pPr>
            <w:r>
              <w:t xml:space="preserve">47.52%</w:t>
            </w:r>
          </w:p>
        </w:tc>
        <w:tc>
          <w:tcPr/>
          <w:p>
            <w:pPr>
              <w:pStyle w:val="Compact"/>
              <w:jc w:val="center"/>
            </w:pPr>
            <w:r>
              <w:t xml:space="preserve">47.06%</w:t>
            </w:r>
          </w:p>
        </w:tc>
        <w:tc>
          <w:tcPr/>
          <w:p>
            <w:pPr>
              <w:pStyle w:val="Compact"/>
              <w:jc w:val="center"/>
            </w:pPr>
            <w:r>
              <w:t xml:space="preserve">10.96%</w:t>
            </w:r>
          </w:p>
        </w:tc>
        <w:tc>
          <w:tcPr/>
          <w:p>
            <w:pPr>
              <w:pStyle w:val="Compact"/>
              <w:jc w:val="center"/>
            </w:pPr>
            <w:r>
              <w:t xml:space="preserve">17.78%</w:t>
            </w:r>
          </w:p>
        </w:tc>
      </w:tr>
      <w:tr>
        <w:tc>
          <w:tcPr/>
          <w:p>
            <w:pPr>
              <w:pStyle w:val="Compact"/>
              <w:jc w:val="left"/>
            </w:pPr>
            <w:r>
              <w:t xml:space="preserve">BTC-USD</w:t>
            </w:r>
          </w:p>
        </w:tc>
        <w:tc>
          <w:tcPr/>
          <w:p>
            <w:pPr>
              <w:pStyle w:val="Compact"/>
              <w:jc w:val="center"/>
            </w:pPr>
            <w:r>
              <w:t xml:space="preserve">74.29%</w:t>
            </w:r>
          </w:p>
        </w:tc>
        <w:tc>
          <w:tcPr/>
          <w:p>
            <w:pPr>
              <w:pStyle w:val="Compact"/>
              <w:jc w:val="center"/>
            </w:pPr>
            <w:r>
              <w:t xml:space="preserve">55.56%</w:t>
            </w:r>
          </w:p>
        </w:tc>
        <w:tc>
          <w:tcPr/>
          <w:p>
            <w:pPr>
              <w:pStyle w:val="Compact"/>
              <w:jc w:val="center"/>
            </w:pPr>
            <w:r>
              <w:t xml:space="preserve">34.48%</w:t>
            </w:r>
          </w:p>
        </w:tc>
        <w:tc>
          <w:tcPr/>
          <w:p>
            <w:pPr>
              <w:pStyle w:val="Compact"/>
              <w:jc w:val="center"/>
            </w:pPr>
            <w:r>
              <w:t xml:space="preserve">42.55%</w:t>
            </w:r>
          </w:p>
        </w:tc>
      </w:tr>
      <w:tr>
        <w:tc>
          <w:tcPr/>
          <w:p>
            <w:pPr>
              <w:pStyle w:val="Compact"/>
              <w:jc w:val="left"/>
            </w:pPr>
            <w:r>
              <w:t xml:space="preserve">ETH-USD</w:t>
            </w:r>
          </w:p>
        </w:tc>
        <w:tc>
          <w:tcPr/>
          <w:p>
            <w:pPr>
              <w:pStyle w:val="Compact"/>
              <w:jc w:val="center"/>
            </w:pPr>
            <w:r>
              <w:t xml:space="preserve">61.90%</w:t>
            </w:r>
          </w:p>
        </w:tc>
        <w:tc>
          <w:tcPr/>
          <w:p>
            <w:pPr>
              <w:pStyle w:val="Compact"/>
              <w:jc w:val="center"/>
            </w:pPr>
            <w:r>
              <w:t xml:space="preserve">55.00%</w:t>
            </w:r>
          </w:p>
        </w:tc>
        <w:tc>
          <w:tcPr/>
          <w:p>
            <w:pPr>
              <w:pStyle w:val="Compact"/>
              <w:jc w:val="center"/>
            </w:pPr>
            <w:r>
              <w:t xml:space="preserve">26.19%</w:t>
            </w:r>
          </w:p>
        </w:tc>
        <w:tc>
          <w:tcPr/>
          <w:p>
            <w:pPr>
              <w:pStyle w:val="Compact"/>
              <w:jc w:val="center"/>
            </w:pPr>
            <w:r>
              <w:t xml:space="preserve">35.48%</w:t>
            </w:r>
          </w:p>
        </w:tc>
      </w:tr>
    </w:tbl>
    <w:bookmarkEnd w:id="51"/>
    <w:p>
      <w:pPr>
        <w:pStyle w:val="BodyText"/>
      </w:pPr>
      <w:bookmarkStart w:id="52" w:name="tab:comprehensive"/>
      <w:bookmarkEnd w:id="52"/>
    </w:p>
    <w:bookmarkEnd w:id="53"/>
    <w:bookmarkStart w:id="56" w:name="smote-impact-analysis"/>
    <w:p>
      <w:pPr>
        <w:pStyle w:val="Heading2"/>
      </w:pPr>
      <w:r>
        <w:t xml:space="preserve">SMOTE Impact Analysis</w:t>
      </w:r>
    </w:p>
    <w:p>
      <w:pPr>
        <w:pStyle w:val="FirstParagraph"/>
      </w:pPr>
      <w:r>
        <w:t xml:space="preserve">We trained models with and without SMOTE to quantify its effect. Table </w:t>
      </w:r>
      <w:hyperlink w:anchor="tab:smote">
        <w:r>
          <w:rPr>
            <w:rStyle w:val="Hyperlink"/>
          </w:rPr>
          <w:t xml:space="preserve">6</w:t>
        </w:r>
      </w:hyperlink>
      <w:r>
        <w:t xml:space="preserve"> </w:t>
      </w:r>
      <w:r>
        <w:t xml:space="preserve">shows that SMOTE provides mixed, asset-dependent results: it generally improves F1 score (+5–7%) by increasing recall, but may slightly reduce accuracy (</w:t>
      </w:r>
      <m:oMath>
        <m:r>
          <m:rPr>
            <m:sty m:val="p"/>
          </m:rPr>
          <m:t>−</m:t>
        </m:r>
      </m:oMath>
      <w:r>
        <w:t xml:space="preserve">2 to</w:t>
      </w:r>
      <w:r>
        <w:t xml:space="preserve"> </w:t>
      </w:r>
      <m:oMath>
        <m:r>
          <m:rPr>
            <m:sty m:val="p"/>
          </m:rPr>
          <m:t>−</m:t>
        </m:r>
      </m:oMath>
      <w:r>
        <w:t xml:space="preserve">4%) due to increased false positives.</w:t>
      </w:r>
    </w:p>
    <w:bookmarkStart w:id="54" w:name="tab:smote"/>
    <w:p>
      <w:pPr>
        <w:pStyle w:val="TableCaption"/>
      </w:pPr>
      <w:r>
        <w:t xml:space="preserve">SMOTE Impact on Performance (Average Across Models)</w:t>
      </w:r>
    </w:p>
    <w:tbl>
      <w:tblPr>
        <w:tblStyle w:val="Table"/>
        <w:tblW w:type="auto" w:w="0"/>
        <w:jc w:val="left"/>
        <w:tblLook w:firstRow="1" w:lastRow="0" w:firstColumn="0" w:lastColumn="0" w:noHBand="0" w:noVBand="0" w:val="0020"/>
        <w:tblCaption w:val="SMOTE Impact on Performance (Average Across Models)"/>
      </w:tblPr>
      <w:tblGrid>
        <w:gridCol w:w="1584"/>
        <w:gridCol w:w="1584"/>
        <w:gridCol w:w="1584"/>
        <w:gridCol w:w="1584"/>
        <w:gridCol w:w="1584"/>
      </w:tblGrid>
      <w:tr>
        <w:trPr>
          <w:tblHeader w:val="on"/>
        </w:trPr>
        <w:tc>
          <w:tcPr/>
          <w:p>
            <w:pPr>
              <w:pStyle w:val="Compact"/>
              <w:jc w:val="left"/>
            </w:pPr>
            <w:r>
              <w:rPr>
                <w:b/>
                <w:bCs/>
              </w:rPr>
              <w:t xml:space="preserve">Asset</w:t>
            </w:r>
          </w:p>
        </w:tc>
        <w:tc>
          <w:tcPr/>
          <w:p>
            <w:pPr>
              <w:pStyle w:val="Compact"/>
              <w:jc w:val="center"/>
            </w:pPr>
            <m:oMath>
              <m:r>
                <m:t>Δ</m:t>
              </m:r>
            </m:oMath>
            <w:r>
              <w:rPr>
                <w:b/>
                <w:bCs/>
              </w:rPr>
              <w:t xml:space="preserve">Acc</w:t>
            </w:r>
          </w:p>
        </w:tc>
        <w:tc>
          <w:tcPr/>
          <w:p>
            <w:pPr>
              <w:pStyle w:val="Compact"/>
              <w:jc w:val="center"/>
            </w:pPr>
            <m:oMath>
              <m:r>
                <m:t>Δ</m:t>
              </m:r>
            </m:oMath>
            <w:r>
              <w:rPr>
                <w:b/>
                <w:bCs/>
              </w:rPr>
              <w:t xml:space="preserve">Prec</w:t>
            </w:r>
          </w:p>
        </w:tc>
        <w:tc>
          <w:tcPr/>
          <w:p>
            <w:pPr>
              <w:pStyle w:val="Compact"/>
              <w:jc w:val="center"/>
            </w:pPr>
            <m:oMath>
              <m:r>
                <m:t>Δ</m:t>
              </m:r>
            </m:oMath>
            <w:r>
              <w:rPr>
                <w:b/>
                <w:bCs/>
              </w:rPr>
              <w:t xml:space="preserve">Recall</w:t>
            </w:r>
          </w:p>
        </w:tc>
        <w:tc>
          <w:tcPr/>
          <w:p>
            <w:pPr>
              <w:pStyle w:val="Compact"/>
              <w:jc w:val="center"/>
            </w:pPr>
            <m:oMath>
              <m:r>
                <m:t>Δ</m:t>
              </m:r>
            </m:oMath>
            <w:r>
              <w:rPr>
                <w:b/>
                <w:bCs/>
              </w:rPr>
              <w:t xml:space="preserve">F1</w:t>
            </w:r>
          </w:p>
        </w:tc>
      </w:tr>
      <w:tr>
        <w:tc>
          <w:tcPr/>
          <w:p>
            <w:pPr>
              <w:pStyle w:val="Compact"/>
              <w:jc w:val="left"/>
            </w:pPr>
            <w:r>
              <w:t xml:space="preserve">AAPL</w:t>
            </w:r>
          </w:p>
        </w:tc>
        <w:tc>
          <w:tcPr/>
          <w:p>
            <w:pPr>
              <w:pStyle w:val="Compact"/>
              <w:jc w:val="center"/>
            </w:pPr>
            <w:r>
              <w:t xml:space="preserve">+0.95%</w:t>
            </w:r>
          </w:p>
        </w:tc>
        <w:tc>
          <w:tcPr/>
          <w:p>
            <w:pPr>
              <w:pStyle w:val="Compact"/>
              <w:jc w:val="center"/>
            </w:pPr>
            <m:oMath>
              <m:r>
                <m:rPr>
                  <m:sty m:val="p"/>
                </m:rPr>
                <m:t>−</m:t>
              </m:r>
            </m:oMath>
            <w:r>
              <w:t xml:space="preserve">2.78%</w:t>
            </w:r>
          </w:p>
        </w:tc>
        <w:tc>
          <w:tcPr/>
          <w:p>
            <w:pPr>
              <w:pStyle w:val="Compact"/>
              <w:jc w:val="center"/>
            </w:pPr>
            <w:r>
              <w:t xml:space="preserve">+2.96%</w:t>
            </w:r>
          </w:p>
        </w:tc>
        <w:tc>
          <w:tcPr/>
          <w:p>
            <w:pPr>
              <w:pStyle w:val="Compact"/>
              <w:jc w:val="center"/>
            </w:pPr>
            <w:r>
              <w:t xml:space="preserve">+5.14%</w:t>
            </w:r>
          </w:p>
        </w:tc>
      </w:tr>
      <w:tr>
        <w:tc>
          <w:tcPr/>
          <w:p>
            <w:pPr>
              <w:pStyle w:val="Compact"/>
              <w:jc w:val="left"/>
            </w:pPr>
            <w:r>
              <w:t xml:space="preserve">GOOGL</w:t>
            </w:r>
          </w:p>
        </w:tc>
        <w:tc>
          <w:tcPr/>
          <w:p>
            <w:pPr>
              <w:pStyle w:val="Compact"/>
              <w:jc w:val="center"/>
            </w:pPr>
            <m:oMath>
              <m:r>
                <m:rPr>
                  <m:sty m:val="p"/>
                </m:rPr>
                <m:t>−</m:t>
              </m:r>
            </m:oMath>
            <w:r>
              <w:t xml:space="preserve">1.89%</w:t>
            </w:r>
          </w:p>
        </w:tc>
        <w:tc>
          <w:tcPr/>
          <w:p>
            <w:pPr>
              <w:pStyle w:val="Compact"/>
              <w:jc w:val="center"/>
            </w:pPr>
            <m:oMath>
              <m:r>
                <m:rPr>
                  <m:sty m:val="p"/>
                </m:rPr>
                <m:t>−</m:t>
              </m:r>
            </m:oMath>
            <w:r>
              <w:t xml:space="preserve">25.97%</w:t>
            </w:r>
          </w:p>
        </w:tc>
        <w:tc>
          <w:tcPr/>
          <w:p>
            <w:pPr>
              <w:pStyle w:val="Compact"/>
              <w:jc w:val="center"/>
            </w:pPr>
            <w:r>
              <w:t xml:space="preserve">+5.94%</w:t>
            </w:r>
          </w:p>
        </w:tc>
        <w:tc>
          <w:tcPr/>
          <w:p>
            <w:pPr>
              <w:pStyle w:val="Compact"/>
              <w:jc w:val="center"/>
            </w:pPr>
            <w:r>
              <w:t xml:space="preserve">+6.79%</w:t>
            </w:r>
          </w:p>
        </w:tc>
      </w:tr>
      <w:tr>
        <w:tc>
          <w:tcPr/>
          <w:p>
            <w:pPr>
              <w:pStyle w:val="Compact"/>
              <w:jc w:val="left"/>
            </w:pPr>
            <w:r>
              <w:t xml:space="preserve">MSFT</w:t>
            </w:r>
          </w:p>
        </w:tc>
        <w:tc>
          <w:tcPr/>
          <w:p>
            <w:pPr>
              <w:pStyle w:val="Compact"/>
              <w:jc w:val="center"/>
            </w:pPr>
            <w:r>
              <w:t xml:space="preserve">+3.07%</w:t>
            </w:r>
          </w:p>
        </w:tc>
        <w:tc>
          <w:tcPr/>
          <w:p>
            <w:pPr>
              <w:pStyle w:val="Compact"/>
              <w:jc w:val="center"/>
            </w:pPr>
            <m:oMath>
              <m:r>
                <m:rPr>
                  <m:sty m:val="p"/>
                </m:rPr>
                <m:t>−</m:t>
              </m:r>
            </m:oMath>
            <w:r>
              <w:t xml:space="preserve">0.92%</w:t>
            </w:r>
          </w:p>
        </w:tc>
        <w:tc>
          <w:tcPr/>
          <w:p>
            <w:pPr>
              <w:pStyle w:val="Compact"/>
              <w:jc w:val="center"/>
            </w:pPr>
            <m:oMath>
              <m:r>
                <m:rPr>
                  <m:sty m:val="p"/>
                </m:rPr>
                <m:t>−</m:t>
              </m:r>
            </m:oMath>
            <w:r>
              <w:t xml:space="preserve">7.58%</w:t>
            </w:r>
          </w:p>
        </w:tc>
        <w:tc>
          <w:tcPr/>
          <w:p>
            <w:pPr>
              <w:pStyle w:val="Compact"/>
              <w:jc w:val="center"/>
            </w:pPr>
            <m:oMath>
              <m:r>
                <m:rPr>
                  <m:sty m:val="p"/>
                </m:rPr>
                <m:t>−</m:t>
              </m:r>
            </m:oMath>
            <w:r>
              <w:t xml:space="preserve">1.39%</w:t>
            </w:r>
          </w:p>
        </w:tc>
      </w:tr>
      <w:tr>
        <w:tc>
          <w:tcPr/>
          <w:p>
            <w:pPr>
              <w:pStyle w:val="Compact"/>
              <w:jc w:val="left"/>
            </w:pPr>
            <w:r>
              <w:t xml:space="preserve">BTC-USD</w:t>
            </w:r>
          </w:p>
        </w:tc>
        <w:tc>
          <w:tcPr/>
          <w:p>
            <w:pPr>
              <w:pStyle w:val="Compact"/>
              <w:jc w:val="center"/>
            </w:pPr>
            <m:oMath>
              <m:r>
                <m:rPr>
                  <m:sty m:val="p"/>
                </m:rPr>
                <m:t>−</m:t>
              </m:r>
            </m:oMath>
            <w:r>
              <w:t xml:space="preserve">3.81%</w:t>
            </w:r>
          </w:p>
        </w:tc>
        <w:tc>
          <w:tcPr/>
          <w:p>
            <w:pPr>
              <w:pStyle w:val="Compact"/>
              <w:jc w:val="center"/>
            </w:pPr>
            <m:oMath>
              <m:r>
                <m:rPr>
                  <m:sty m:val="p"/>
                </m:rPr>
                <m:t>−</m:t>
              </m:r>
            </m:oMath>
            <w:r>
              <w:t xml:space="preserve">4.94%</w:t>
            </w:r>
          </w:p>
        </w:tc>
        <w:tc>
          <w:tcPr/>
          <w:p>
            <w:pPr>
              <w:pStyle w:val="Compact"/>
              <w:jc w:val="center"/>
            </w:pPr>
            <w:r>
              <w:t xml:space="preserve">+9.77%</w:t>
            </w:r>
          </w:p>
        </w:tc>
        <w:tc>
          <w:tcPr/>
          <w:p>
            <w:pPr>
              <w:pStyle w:val="Compact"/>
              <w:jc w:val="center"/>
            </w:pPr>
            <w:r>
              <w:t xml:space="preserve">+5.65%</w:t>
            </w:r>
          </w:p>
        </w:tc>
      </w:tr>
      <w:tr>
        <w:tc>
          <w:tcPr/>
          <w:p>
            <w:pPr>
              <w:pStyle w:val="Compact"/>
              <w:jc w:val="left"/>
            </w:pPr>
            <w:r>
              <w:t xml:space="preserve">ETH-USD</w:t>
            </w:r>
          </w:p>
        </w:tc>
        <w:tc>
          <w:tcPr/>
          <w:p>
            <w:pPr>
              <w:pStyle w:val="Compact"/>
              <w:jc w:val="center"/>
            </w:pPr>
            <m:oMath>
              <m:r>
                <m:rPr>
                  <m:sty m:val="p"/>
                </m:rPr>
                <m:t>−</m:t>
              </m:r>
            </m:oMath>
            <w:r>
              <w:t xml:space="preserve">1.59%</w:t>
            </w:r>
          </w:p>
        </w:tc>
        <w:tc>
          <w:tcPr/>
          <w:p>
            <w:pPr>
              <w:pStyle w:val="Compact"/>
              <w:jc w:val="center"/>
            </w:pPr>
            <m:oMath>
              <m:r>
                <m:rPr>
                  <m:sty m:val="p"/>
                </m:rPr>
                <m:t>−</m:t>
              </m:r>
            </m:oMath>
            <w:r>
              <w:t xml:space="preserve">5.24%</w:t>
            </w:r>
          </w:p>
        </w:tc>
        <w:tc>
          <w:tcPr/>
          <w:p>
            <w:pPr>
              <w:pStyle w:val="Compact"/>
              <w:jc w:val="center"/>
            </w:pPr>
            <w:r>
              <w:t xml:space="preserve">+5.56%</w:t>
            </w:r>
          </w:p>
        </w:tc>
        <w:tc>
          <w:tcPr/>
          <w:p>
            <w:pPr>
              <w:pStyle w:val="Compact"/>
              <w:jc w:val="center"/>
            </w:pPr>
            <w:r>
              <w:t xml:space="preserve">+5.03%</w:t>
            </w:r>
          </w:p>
        </w:tc>
      </w:tr>
    </w:tbl>
    <w:bookmarkEnd w:id="54"/>
    <w:p>
      <w:pPr>
        <w:pStyle w:val="BodyText"/>
      </w:pPr>
      <w:bookmarkStart w:id="55" w:name="tab:smote"/>
      <w:bookmarkEnd w:id="55"/>
    </w:p>
    <w:bookmarkEnd w:id="56"/>
    <w:bookmarkStart w:id="62" w:name="test-set-performance-on-stocks-and-etfs"/>
    <w:p>
      <w:pPr>
        <w:pStyle w:val="Heading2"/>
      </w:pPr>
      <w:r>
        <w:t xml:space="preserve">Test Set Performance on Stocks and ETFs</w:t>
      </w:r>
    </w:p>
    <w:p>
      <w:pPr>
        <w:pStyle w:val="FirstParagraph"/>
      </w:pPr>
      <w:r>
        <w:t xml:space="preserve">Fig. </w:t>
      </w:r>
      <w:hyperlink w:anchor="fig:loss">
        <w:r>
          <w:rPr>
            <w:rStyle w:val="Hyperlink"/>
          </w:rPr>
          <w:t xml:space="preserve">2</w:t>
        </w:r>
      </w:hyperlink>
      <w:r>
        <w:t xml:space="preserve"> </w:t>
      </w:r>
      <w:r>
        <w:t xml:space="preserve">presents the accuracy distribution for our ensemble models across asset classes. Random Forest achieved stable performance with minimal overfitting due to ensemble averaging. XGBoost demonstrated controlled convergence through early stopping.</w:t>
      </w:r>
    </w:p>
    <w:p>
      <w:pPr>
        <w:pStyle w:val="CaptionedFigure"/>
      </w:pPr>
      <w:r>
        <w:drawing>
          <wp:inline>
            <wp:extent cx="5334000" cy="1843262"/>
            <wp:effectExtent b="0" l="0" r="0" t="0"/>
            <wp:docPr descr="" title="" id="58" name="Picture"/>
            <a:graphic>
              <a:graphicData uri="http://schemas.openxmlformats.org/drawingml/2006/picture">
                <pic:pic>
                  <pic:nvPicPr>
                    <pic:cNvPr descr="fig2.png" id="59" name="Picture"/>
                    <pic:cNvPicPr>
                      <a:picLocks noChangeArrowheads="1" noChangeAspect="1"/>
                    </pic:cNvPicPr>
                  </pic:nvPicPr>
                  <pic:blipFill>
                    <a:blip r:embed="rId57"/>
                    <a:stretch>
                      <a:fillRect/>
                    </a:stretch>
                  </pic:blipFill>
                  <pic:spPr bwMode="auto">
                    <a:xfrm>
                      <a:off x="0" y="0"/>
                      <a:ext cx="5334000" cy="1843262"/>
                    </a:xfrm>
                    <a:prstGeom prst="rect">
                      <a:avLst/>
                    </a:prstGeom>
                    <a:noFill/>
                    <a:ln w="9525">
                      <a:noFill/>
                      <a:headEnd/>
                      <a:tailEnd/>
                    </a:ln>
                  </pic:spPr>
                </pic:pic>
              </a:graphicData>
            </a:graphic>
          </wp:inline>
        </w:drawing>
      </w:r>
    </w:p>
    <w:p>
      <w:pPr>
        <w:pStyle w:val="ImageCaption"/>
      </w:pPr>
      <w:r>
        <w:t xml:space="preserve">Model performance comparison showing accuracy distribution across cryptocurrency and stock assets for each ensemble component.</w:t>
      </w:r>
    </w:p>
    <w:p>
      <w:pPr>
        <w:pStyle w:val="BodyText"/>
      </w:pPr>
      <w:r>
        <w:t xml:space="preserve">Table </w:t>
      </w:r>
      <w:hyperlink w:anchor="tab:performance">
        <w:r>
          <w:rPr>
            <w:rStyle w:val="Hyperlink"/>
          </w:rPr>
          <w:t xml:space="preserve">7</w:t>
        </w:r>
      </w:hyperlink>
      <w:r>
        <w:t xml:space="preserve"> </w:t>
      </w:r>
      <w:r>
        <w:t xml:space="preserve">presents test set accuracy across 118 traditional assets (108 stocks, 10 ETFs). Our ensemble achieves strong performance with stocks averaging 85.2% accuracy and ETFs achieving 96.3%. The higher ETF accuracy is attributable to their diversified composition, which reduces individual stock volatility and produces more predictable price patterns.</w:t>
      </w:r>
    </w:p>
    <w:bookmarkStart w:id="60" w:name="tab:performance"/>
    <w:p>
      <w:pPr>
        <w:pStyle w:val="TableCaption"/>
      </w:pPr>
      <w:r>
        <w:t xml:space="preserve">Test Set Accuracy: Stocks and ETFs</w:t>
      </w:r>
    </w:p>
    <w:tbl>
      <w:tblPr>
        <w:tblStyle w:val="Table"/>
        <w:tblW w:type="auto" w:w="0"/>
        <w:jc w:val="left"/>
        <w:tblLook w:firstRow="1" w:lastRow="0" w:firstColumn="0" w:lastColumn="0" w:noHBand="0" w:noVBand="0" w:val="0020"/>
        <w:tblCaption w:val="Test Set Accuracy: Stocks and ETFs"/>
      </w:tblPr>
      <w:tblGrid>
        <w:gridCol w:w="1980"/>
        <w:gridCol w:w="1980"/>
        <w:gridCol w:w="1980"/>
        <w:gridCol w:w="1980"/>
      </w:tblGrid>
      <w:tr>
        <w:trPr>
          <w:tblHeader w:val="on"/>
        </w:trPr>
        <w:tc>
          <w:tcPr/>
          <w:p>
            <w:pPr>
              <w:pStyle w:val="Compact"/>
              <w:jc w:val="left"/>
            </w:pPr>
            <w:r>
              <w:rPr>
                <w:b/>
                <w:bCs/>
              </w:rPr>
              <w:t xml:space="preserve">Asset Class</w:t>
            </w:r>
          </w:p>
        </w:tc>
        <w:tc>
          <w:tcPr/>
          <w:p>
            <w:pPr>
              <w:pStyle w:val="Compact"/>
              <w:jc w:val="center"/>
            </w:pPr>
            <w:r>
              <w:rPr>
                <w:b/>
                <w:bCs/>
              </w:rPr>
              <w:t xml:space="preserve">Count</w:t>
            </w:r>
          </w:p>
        </w:tc>
        <w:tc>
          <w:tcPr/>
          <w:p>
            <w:pPr>
              <w:pStyle w:val="Compact"/>
              <w:jc w:val="center"/>
            </w:pPr>
            <w:r>
              <w:rPr>
                <w:b/>
                <w:bCs/>
              </w:rPr>
              <w:t xml:space="preserve">Average</w:t>
            </w:r>
          </w:p>
        </w:tc>
        <w:tc>
          <w:tcPr/>
          <w:p>
            <w:pPr>
              <w:pStyle w:val="Compact"/>
              <w:jc w:val="center"/>
            </w:pPr>
            <m:oMath>
              <m:r>
                <m:rPr>
                  <m:sty m:val="p"/>
                </m:rPr>
                <m:t>≥</m:t>
              </m:r>
            </m:oMath>
            <w:r>
              <w:rPr>
                <w:b/>
                <w:bCs/>
              </w:rPr>
              <w:t xml:space="preserve"> </w:t>
            </w:r>
            <w:r>
              <w:rPr>
                <w:b/>
                <w:bCs/>
              </w:rPr>
              <w:t xml:space="preserve">70%</w:t>
            </w:r>
          </w:p>
        </w:tc>
      </w:tr>
      <w:tr>
        <w:tc>
          <w:tcPr/>
          <w:p>
            <w:pPr>
              <w:pStyle w:val="Compact"/>
              <w:jc w:val="left"/>
            </w:pPr>
            <w:r>
              <w:t xml:space="preserve">Stocks</w:t>
            </w:r>
          </w:p>
        </w:tc>
        <w:tc>
          <w:tcPr/>
          <w:p>
            <w:pPr>
              <w:pStyle w:val="Compact"/>
              <w:jc w:val="center"/>
            </w:pPr>
            <w:r>
              <w:t xml:space="preserve">108</w:t>
            </w:r>
          </w:p>
        </w:tc>
        <w:tc>
          <w:tcPr/>
          <w:p>
            <w:pPr>
              <w:pStyle w:val="Compact"/>
              <w:jc w:val="center"/>
            </w:pPr>
            <w:r>
              <w:t xml:space="preserve">85.2%</w:t>
            </w:r>
          </w:p>
        </w:tc>
        <w:tc>
          <w:tcPr/>
          <w:p>
            <w:pPr>
              <w:pStyle w:val="Compact"/>
              <w:jc w:val="center"/>
            </w:pPr>
            <w:r>
              <w:t xml:space="preserve">98 (91%)</w:t>
            </w:r>
          </w:p>
        </w:tc>
      </w:tr>
      <w:tr>
        <w:tc>
          <w:tcPr/>
          <w:p>
            <w:pPr>
              <w:pStyle w:val="Compact"/>
              <w:jc w:val="left"/>
            </w:pPr>
            <w:r>
              <w:t xml:space="preserve">ETFs</w:t>
            </w:r>
          </w:p>
        </w:tc>
        <w:tc>
          <w:tcPr/>
          <w:p>
            <w:pPr>
              <w:pStyle w:val="Compact"/>
              <w:jc w:val="center"/>
            </w:pPr>
            <w:r>
              <w:t xml:space="preserve">10</w:t>
            </w:r>
          </w:p>
        </w:tc>
        <w:tc>
          <w:tcPr/>
          <w:p>
            <w:pPr>
              <w:pStyle w:val="Compact"/>
              <w:jc w:val="center"/>
            </w:pPr>
            <w:r>
              <w:t xml:space="preserve">96.3%</w:t>
            </w:r>
          </w:p>
        </w:tc>
        <w:tc>
          <w:tcPr/>
          <w:p>
            <w:pPr>
              <w:pStyle w:val="Compact"/>
              <w:jc w:val="center"/>
            </w:pPr>
            <w:r>
              <w:t xml:space="preserve">10 (100%)</w:t>
            </w:r>
          </w:p>
        </w:tc>
      </w:tr>
    </w:tbl>
    <w:bookmarkEnd w:id="60"/>
    <w:p>
      <w:pPr>
        <w:pStyle w:val="BodyText"/>
      </w:pPr>
      <w:bookmarkStart w:id="61" w:name="tab:performance"/>
      <w:bookmarkEnd w:id="61"/>
    </w:p>
    <w:bookmarkEnd w:id="62"/>
    <w:bookmarkStart w:id="65" w:name="test-set-performance-on-cryptocurrencies"/>
    <w:p>
      <w:pPr>
        <w:pStyle w:val="Heading2"/>
      </w:pPr>
      <w:r>
        <w:t xml:space="preserve">Test Set Performance on Cryptocurrencies</w:t>
      </w:r>
    </w:p>
    <w:p>
      <w:pPr>
        <w:pStyle w:val="FirstParagraph"/>
      </w:pPr>
      <w:r>
        <w:t xml:space="preserve">Table </w:t>
      </w:r>
      <w:hyperlink w:anchor="tab:crypto">
        <w:r>
          <w:rPr>
            <w:rStyle w:val="Hyperlink"/>
          </w:rPr>
          <w:t xml:space="preserve">8</w:t>
        </w:r>
      </w:hyperlink>
      <w:r>
        <w:t xml:space="preserve"> </w:t>
      </w:r>
      <w:r>
        <w:t xml:space="preserve">presents volatility-aware training results for the top 10 cryptocurrencies by market capitalization on the test set. Our volatility-aware approach improved cryptocurrency prediction accuracy from a 54.7% baseline (using fixed 5% threshold) to 72.9% average—a 33% relative improvement. Bitcoin achieved the highest accuracy at 92.4%, benefiting from its relatively stable price behavior compared to altcoins. The adaptive thresholds allow our model to target larger price movements for volatile assets, improving signal quality by reducing noise from minor fluctuations.</w:t>
      </w:r>
    </w:p>
    <w:bookmarkStart w:id="63" w:name="tab:crypto"/>
    <w:p>
      <w:pPr>
        <w:pStyle w:val="TableCaption"/>
      </w:pPr>
      <w:r>
        <w:t xml:space="preserve">Top 10 Cryptocurrency Test Accuracy (Volatility-Aware)</w:t>
      </w:r>
    </w:p>
    <w:tbl>
      <w:tblPr>
        <w:tblStyle w:val="Table"/>
        <w:tblW w:type="auto" w:w="0"/>
        <w:jc w:val="left"/>
        <w:tblLook w:firstRow="1" w:lastRow="0" w:firstColumn="0" w:lastColumn="0" w:noHBand="0" w:noVBand="0" w:val="0020"/>
        <w:tblCaption w:val="Top 10 Cryptocurrency Test Accuracy (Volatility-Aware)"/>
      </w:tblPr>
      <w:tblGrid>
        <w:gridCol w:w="1584"/>
        <w:gridCol w:w="1584"/>
        <w:gridCol w:w="1584"/>
        <w:gridCol w:w="1584"/>
        <w:gridCol w:w="1584"/>
      </w:tblGrid>
      <w:tr>
        <w:trPr>
          <w:tblHeader w:val="on"/>
        </w:trPr>
        <w:tc>
          <w:tcPr/>
          <w:p>
            <w:pPr>
              <w:pStyle w:val="Compact"/>
              <w:jc w:val="left"/>
            </w:pPr>
            <w:r>
              <w:rPr>
                <w:b/>
                <w:bCs/>
              </w:rPr>
              <w:t xml:space="preserve">Coin</w:t>
            </w:r>
          </w:p>
        </w:tc>
        <w:tc>
          <w:tcPr/>
          <w:p>
            <w:pPr>
              <w:pStyle w:val="Compact"/>
              <w:jc w:val="center"/>
            </w:pPr>
            <w:r>
              <w:rPr>
                <w:b/>
                <w:bCs/>
              </w:rPr>
              <w:t xml:space="preserve">Accuracy</w:t>
            </w:r>
          </w:p>
        </w:tc>
        <w:tc>
          <w:tcPr/>
          <w:p>
            <w:pPr>
              <w:pStyle w:val="Compact"/>
              <w:jc w:val="center"/>
            </w:pPr>
            <w:r>
              <w:rPr>
                <w:b/>
                <w:bCs/>
              </w:rPr>
              <w:t xml:space="preserve">Threshold</w:t>
            </w:r>
          </w:p>
        </w:tc>
        <w:tc>
          <w:tcPr/>
          <w:p>
            <w:pPr>
              <w:pStyle w:val="Compact"/>
              <w:jc w:val="center"/>
            </w:pPr>
            <w:r>
              <w:rPr>
                <w:b/>
                <w:bCs/>
              </w:rPr>
              <w:t xml:space="preserve">Horizon</w:t>
            </w:r>
          </w:p>
        </w:tc>
        <w:tc>
          <w:tcPr/>
          <w:p>
            <w:pPr>
              <w:pStyle w:val="Compact"/>
              <w:jc w:val="center"/>
            </w:pPr>
            <w:r>
              <w:rPr>
                <w:b/>
                <w:bCs/>
              </w:rPr>
              <w:t xml:space="preserve">Status</w:t>
            </w:r>
          </w:p>
        </w:tc>
      </w:tr>
      <w:tr>
        <w:tc>
          <w:tcPr/>
          <w:p>
            <w:pPr>
              <w:pStyle w:val="Compact"/>
              <w:jc w:val="left"/>
            </w:pPr>
            <w:r>
              <w:t xml:space="preserve">BTC</w:t>
            </w:r>
          </w:p>
        </w:tc>
        <w:tc>
          <w:tcPr/>
          <w:p>
            <w:pPr>
              <w:pStyle w:val="Compact"/>
              <w:jc w:val="center"/>
            </w:pPr>
            <w:r>
              <w:t xml:space="preserve">92.4%</w:t>
            </w:r>
          </w:p>
        </w:tc>
        <w:tc>
          <w:tcPr/>
          <w:p>
            <w:pPr>
              <w:pStyle w:val="Compact"/>
              <w:jc w:val="center"/>
            </w:pPr>
            <w:r>
              <w:t xml:space="preserve">6%</w:t>
            </w:r>
          </w:p>
        </w:tc>
        <w:tc>
          <w:tcPr/>
          <w:p>
            <w:pPr>
              <w:pStyle w:val="Compact"/>
              <w:jc w:val="center"/>
            </w:pPr>
            <w:r>
              <w:t xml:space="preserve">7 days</w:t>
            </w:r>
          </w:p>
        </w:tc>
        <w:tc>
          <w:tcPr/>
          <w:p>
            <w:pPr>
              <w:pStyle w:val="Compact"/>
              <w:jc w:val="center"/>
            </w:pPr>
            <m:oMath>
              <m:r>
                <m:rPr>
                  <m:sty m:val="p"/>
                </m:rPr>
                <m:t>≥</m:t>
              </m:r>
            </m:oMath>
            <w:r>
              <w:t xml:space="preserve">70%</w:t>
            </w:r>
          </w:p>
        </w:tc>
      </w:tr>
      <w:tr>
        <w:tc>
          <w:tcPr/>
          <w:p>
            <w:pPr>
              <w:pStyle w:val="Compact"/>
              <w:jc w:val="left"/>
            </w:pPr>
            <w:r>
              <w:t xml:space="preserve">XRP</w:t>
            </w:r>
          </w:p>
        </w:tc>
        <w:tc>
          <w:tcPr/>
          <w:p>
            <w:pPr>
              <w:pStyle w:val="Compact"/>
              <w:jc w:val="center"/>
            </w:pPr>
            <w:r>
              <w:t xml:space="preserve">88.1%</w:t>
            </w:r>
          </w:p>
        </w:tc>
        <w:tc>
          <w:tcPr/>
          <w:p>
            <w:pPr>
              <w:pStyle w:val="Compact"/>
              <w:jc w:val="center"/>
            </w:pPr>
            <w:r>
              <w:t xml:space="preserve">6%</w:t>
            </w:r>
          </w:p>
        </w:tc>
        <w:tc>
          <w:tcPr/>
          <w:p>
            <w:pPr>
              <w:pStyle w:val="Compact"/>
              <w:jc w:val="center"/>
            </w:pPr>
            <w:r>
              <w:t xml:space="preserve">5 days</w:t>
            </w:r>
          </w:p>
        </w:tc>
        <w:tc>
          <w:tcPr/>
          <w:p>
            <w:pPr>
              <w:pStyle w:val="Compact"/>
              <w:jc w:val="center"/>
            </w:pPr>
            <m:oMath>
              <m:r>
                <m:rPr>
                  <m:sty m:val="p"/>
                </m:rPr>
                <m:t>≥</m:t>
              </m:r>
            </m:oMath>
            <w:r>
              <w:t xml:space="preserve">70%</w:t>
            </w:r>
          </w:p>
        </w:tc>
      </w:tr>
      <w:tr>
        <w:tc>
          <w:tcPr/>
          <w:p>
            <w:pPr>
              <w:pStyle w:val="Compact"/>
              <w:jc w:val="left"/>
            </w:pPr>
            <w:r>
              <w:t xml:space="preserve">DOGE</w:t>
            </w:r>
          </w:p>
        </w:tc>
        <w:tc>
          <w:tcPr/>
          <w:p>
            <w:pPr>
              <w:pStyle w:val="Compact"/>
              <w:jc w:val="center"/>
            </w:pPr>
            <w:r>
              <w:t xml:space="preserve">76.7%</w:t>
            </w:r>
          </w:p>
        </w:tc>
        <w:tc>
          <w:tcPr/>
          <w:p>
            <w:pPr>
              <w:pStyle w:val="Compact"/>
              <w:jc w:val="center"/>
            </w:pPr>
            <w:r>
              <w:t xml:space="preserve">8%</w:t>
            </w:r>
          </w:p>
        </w:tc>
        <w:tc>
          <w:tcPr/>
          <w:p>
            <w:pPr>
              <w:pStyle w:val="Compact"/>
              <w:jc w:val="center"/>
            </w:pPr>
            <w:r>
              <w:t xml:space="preserve">5 days</w:t>
            </w:r>
          </w:p>
        </w:tc>
        <w:tc>
          <w:tcPr/>
          <w:p>
            <w:pPr>
              <w:pStyle w:val="Compact"/>
              <w:jc w:val="center"/>
            </w:pPr>
            <m:oMath>
              <m:r>
                <m:rPr>
                  <m:sty m:val="p"/>
                </m:rPr>
                <m:t>≥</m:t>
              </m:r>
            </m:oMath>
            <w:r>
              <w:t xml:space="preserve">70%</w:t>
            </w:r>
          </w:p>
        </w:tc>
      </w:tr>
      <w:tr>
        <w:tc>
          <w:tcPr/>
          <w:p>
            <w:pPr>
              <w:pStyle w:val="Compact"/>
              <w:jc w:val="left"/>
            </w:pPr>
            <w:r>
              <w:t xml:space="preserve">ETH</w:t>
            </w:r>
          </w:p>
        </w:tc>
        <w:tc>
          <w:tcPr/>
          <w:p>
            <w:pPr>
              <w:pStyle w:val="Compact"/>
              <w:jc w:val="center"/>
            </w:pPr>
            <w:r>
              <w:t xml:space="preserve">71.4%</w:t>
            </w:r>
          </w:p>
        </w:tc>
        <w:tc>
          <w:tcPr/>
          <w:p>
            <w:pPr>
              <w:pStyle w:val="Compact"/>
              <w:jc w:val="center"/>
            </w:pPr>
            <w:r>
              <w:t xml:space="preserve">6%</w:t>
            </w:r>
          </w:p>
        </w:tc>
        <w:tc>
          <w:tcPr/>
          <w:p>
            <w:pPr>
              <w:pStyle w:val="Compact"/>
              <w:jc w:val="center"/>
            </w:pPr>
            <w:r>
              <w:t xml:space="preserve">7 days</w:t>
            </w:r>
          </w:p>
        </w:tc>
        <w:tc>
          <w:tcPr/>
          <w:p>
            <w:pPr>
              <w:pStyle w:val="Compact"/>
              <w:jc w:val="center"/>
            </w:pPr>
            <m:oMath>
              <m:r>
                <m:rPr>
                  <m:sty m:val="p"/>
                </m:rPr>
                <m:t>≥</m:t>
              </m:r>
            </m:oMath>
            <w:r>
              <w:t xml:space="preserve">70%</w:t>
            </w:r>
          </w:p>
        </w:tc>
      </w:tr>
      <w:tr>
        <w:tc>
          <w:tcPr/>
          <w:p>
            <w:pPr>
              <w:pStyle w:val="Compact"/>
              <w:jc w:val="left"/>
            </w:pPr>
            <w:r>
              <w:t xml:space="preserve">SOL</w:t>
            </w:r>
          </w:p>
        </w:tc>
        <w:tc>
          <w:tcPr/>
          <w:p>
            <w:pPr>
              <w:pStyle w:val="Compact"/>
              <w:jc w:val="center"/>
            </w:pPr>
            <w:r>
              <w:t xml:space="preserve">71.0%</w:t>
            </w:r>
          </w:p>
        </w:tc>
        <w:tc>
          <w:tcPr/>
          <w:p>
            <w:pPr>
              <w:pStyle w:val="Compact"/>
              <w:jc w:val="center"/>
            </w:pPr>
            <w:r>
              <w:t xml:space="preserve">8%</w:t>
            </w:r>
          </w:p>
        </w:tc>
        <w:tc>
          <w:tcPr/>
          <w:p>
            <w:pPr>
              <w:pStyle w:val="Compact"/>
              <w:jc w:val="center"/>
            </w:pPr>
            <w:r>
              <w:t xml:space="preserve">5 days</w:t>
            </w:r>
          </w:p>
        </w:tc>
        <w:tc>
          <w:tcPr/>
          <w:p>
            <w:pPr>
              <w:pStyle w:val="Compact"/>
              <w:jc w:val="center"/>
            </w:pPr>
            <m:oMath>
              <m:r>
                <m:rPr>
                  <m:sty m:val="p"/>
                </m:rPr>
                <m:t>≥</m:t>
              </m:r>
            </m:oMath>
            <w:r>
              <w:t xml:space="preserve">70%</w:t>
            </w:r>
          </w:p>
        </w:tc>
      </w:tr>
      <w:tr>
        <w:tc>
          <w:tcPr/>
          <w:p>
            <w:pPr>
              <w:pStyle w:val="Compact"/>
              <w:jc w:val="left"/>
            </w:pPr>
            <w:r>
              <w:t xml:space="preserve">TRX</w:t>
            </w:r>
          </w:p>
        </w:tc>
        <w:tc>
          <w:tcPr/>
          <w:p>
            <w:pPr>
              <w:pStyle w:val="Compact"/>
              <w:jc w:val="center"/>
            </w:pPr>
            <w:r>
              <w:t xml:space="preserve">69.5%</w:t>
            </w:r>
          </w:p>
        </w:tc>
        <w:tc>
          <w:tcPr/>
          <w:p>
            <w:pPr>
              <w:pStyle w:val="Compact"/>
              <w:jc w:val="center"/>
            </w:pPr>
            <w:r>
              <w:t xml:space="preserve">5%</w:t>
            </w:r>
          </w:p>
        </w:tc>
        <w:tc>
          <w:tcPr/>
          <w:p>
            <w:pPr>
              <w:pStyle w:val="Compact"/>
              <w:jc w:val="center"/>
            </w:pPr>
            <w:r>
              <w:t xml:space="preserve">7 days</w:t>
            </w:r>
          </w:p>
        </w:tc>
        <w:tc>
          <w:tcPr/>
          <w:p>
            <w:pPr>
              <w:pStyle w:val="Compact"/>
              <w:jc w:val="center"/>
            </w:pPr>
            <w:r>
              <w:t xml:space="preserve">–</w:t>
            </w:r>
          </w:p>
        </w:tc>
      </w:tr>
      <w:tr>
        <w:tc>
          <w:tcPr/>
          <w:p>
            <w:pPr>
              <w:pStyle w:val="Compact"/>
              <w:jc w:val="left"/>
            </w:pPr>
            <w:r>
              <w:t xml:space="preserve">BNB</w:t>
            </w:r>
          </w:p>
        </w:tc>
        <w:tc>
          <w:tcPr/>
          <w:p>
            <w:pPr>
              <w:pStyle w:val="Compact"/>
              <w:jc w:val="center"/>
            </w:pPr>
            <w:r>
              <w:t xml:space="preserve">68.6%</w:t>
            </w:r>
          </w:p>
        </w:tc>
        <w:tc>
          <w:tcPr/>
          <w:p>
            <w:pPr>
              <w:pStyle w:val="Compact"/>
              <w:jc w:val="center"/>
            </w:pPr>
            <w:r>
              <w:t xml:space="preserve">6%</w:t>
            </w:r>
          </w:p>
        </w:tc>
        <w:tc>
          <w:tcPr/>
          <w:p>
            <w:pPr>
              <w:pStyle w:val="Compact"/>
              <w:jc w:val="center"/>
            </w:pPr>
            <w:r>
              <w:t xml:space="preserve">7 days</w:t>
            </w:r>
          </w:p>
        </w:tc>
        <w:tc>
          <w:tcPr/>
          <w:p>
            <w:pPr>
              <w:pStyle w:val="Compact"/>
              <w:jc w:val="center"/>
            </w:pPr>
            <w:r>
              <w:t xml:space="preserve">–</w:t>
            </w:r>
          </w:p>
        </w:tc>
      </w:tr>
      <w:tr>
        <w:tc>
          <w:tcPr/>
          <w:p>
            <w:pPr>
              <w:pStyle w:val="Compact"/>
              <w:jc w:val="left"/>
            </w:pPr>
            <w:r>
              <w:t xml:space="preserve">ADA</w:t>
            </w:r>
          </w:p>
        </w:tc>
        <w:tc>
          <w:tcPr/>
          <w:p>
            <w:pPr>
              <w:pStyle w:val="Compact"/>
              <w:jc w:val="center"/>
            </w:pPr>
            <w:r>
              <w:t xml:space="preserve">67.1%</w:t>
            </w:r>
          </w:p>
        </w:tc>
        <w:tc>
          <w:tcPr/>
          <w:p>
            <w:pPr>
              <w:pStyle w:val="Compact"/>
              <w:jc w:val="center"/>
            </w:pPr>
            <w:r>
              <w:t xml:space="preserve">8%</w:t>
            </w:r>
          </w:p>
        </w:tc>
        <w:tc>
          <w:tcPr/>
          <w:p>
            <w:pPr>
              <w:pStyle w:val="Compact"/>
              <w:jc w:val="center"/>
            </w:pPr>
            <w:r>
              <w:t xml:space="preserve">7 days</w:t>
            </w:r>
          </w:p>
        </w:tc>
        <w:tc>
          <w:tcPr/>
          <w:p>
            <w:pPr>
              <w:pStyle w:val="Compact"/>
              <w:jc w:val="center"/>
            </w:pPr>
            <w:r>
              <w:t xml:space="preserve">–</w:t>
            </w:r>
          </w:p>
        </w:tc>
      </w:tr>
      <w:tr>
        <w:tc>
          <w:tcPr/>
          <w:p>
            <w:pPr>
              <w:pStyle w:val="Compact"/>
              <w:jc w:val="left"/>
            </w:pPr>
            <w:r>
              <w:t xml:space="preserve">SHIB</w:t>
            </w:r>
          </w:p>
        </w:tc>
        <w:tc>
          <w:tcPr/>
          <w:p>
            <w:pPr>
              <w:pStyle w:val="Compact"/>
              <w:jc w:val="center"/>
            </w:pPr>
            <w:r>
              <w:t xml:space="preserve">63.8%</w:t>
            </w:r>
          </w:p>
        </w:tc>
        <w:tc>
          <w:tcPr/>
          <w:p>
            <w:pPr>
              <w:pStyle w:val="Compact"/>
              <w:jc w:val="center"/>
            </w:pPr>
            <w:r>
              <w:t xml:space="preserve">8%</w:t>
            </w:r>
          </w:p>
        </w:tc>
        <w:tc>
          <w:tcPr/>
          <w:p>
            <w:pPr>
              <w:pStyle w:val="Compact"/>
              <w:jc w:val="center"/>
            </w:pPr>
            <w:r>
              <w:t xml:space="preserve">5 days</w:t>
            </w:r>
          </w:p>
        </w:tc>
        <w:tc>
          <w:tcPr/>
          <w:p>
            <w:pPr>
              <w:pStyle w:val="Compact"/>
              <w:jc w:val="center"/>
            </w:pPr>
            <w:r>
              <w:t xml:space="preserve">–</w:t>
            </w:r>
          </w:p>
        </w:tc>
      </w:tr>
      <w:tr>
        <w:tc>
          <w:tcPr/>
          <w:p>
            <w:pPr>
              <w:pStyle w:val="Compact"/>
              <w:jc w:val="left"/>
            </w:pPr>
            <w:r>
              <w:t xml:space="preserve">AVAX</w:t>
            </w:r>
          </w:p>
        </w:tc>
        <w:tc>
          <w:tcPr/>
          <w:p>
            <w:pPr>
              <w:pStyle w:val="Compact"/>
              <w:jc w:val="center"/>
            </w:pPr>
            <w:r>
              <w:t xml:space="preserve">60.5%</w:t>
            </w:r>
          </w:p>
        </w:tc>
        <w:tc>
          <w:tcPr/>
          <w:p>
            <w:pPr>
              <w:pStyle w:val="Compact"/>
              <w:jc w:val="center"/>
            </w:pPr>
            <w:r>
              <w:t xml:space="preserve">8%</w:t>
            </w:r>
          </w:p>
        </w:tc>
        <w:tc>
          <w:tcPr/>
          <w:p>
            <w:pPr>
              <w:pStyle w:val="Compact"/>
              <w:jc w:val="center"/>
            </w:pPr>
            <w:r>
              <w:t xml:space="preserve">5 days</w:t>
            </w:r>
          </w:p>
        </w:tc>
        <w:tc>
          <w:tcPr/>
          <w:p>
            <w:pPr>
              <w:pStyle w:val="Compact"/>
              <w:jc w:val="center"/>
            </w:pPr>
            <w:r>
              <w:t xml:space="preserve">–</w:t>
            </w:r>
          </w:p>
        </w:tc>
      </w:tr>
      <w:tr>
        <w:tc>
          <w:tcPr>
            <w:gridSpan w:val="5"/>
          </w:tcPr>
          <w:p>
            <w:pPr>
              <w:pStyle w:val="Compact"/>
              <w:jc w:val="center"/>
            </w:pPr>
            <w:r>
              <w:rPr>
                <w:b/>
                <w:bCs/>
              </w:rPr>
              <w:t xml:space="preserve">Average: 72.9% |</w:t>
            </w:r>
            <w:r>
              <w:rPr>
                <w:b/>
                <w:bCs/>
              </w:rPr>
              <w:t xml:space="preserve"> </w:t>
            </w:r>
            <m:oMath>
              <m:r>
                <m:rPr>
                  <m:sty m:val="p"/>
                </m:rPr>
                <m:t>≥</m:t>
              </m:r>
            </m:oMath>
            <w:r>
              <w:rPr>
                <w:b/>
                <w:bCs/>
              </w:rPr>
              <w:t xml:space="preserve">70%: 5/10 (50%)</w:t>
            </w:r>
          </w:p>
        </w:tc>
      </w:tr>
    </w:tbl>
    <w:bookmarkEnd w:id="63"/>
    <w:p>
      <w:pPr>
        <w:pStyle w:val="BodyText"/>
      </w:pPr>
      <w:bookmarkStart w:id="64" w:name="tab:crypto"/>
      <w:bookmarkEnd w:id="64"/>
    </w:p>
    <w:bookmarkEnd w:id="65"/>
    <w:bookmarkStart w:id="68" w:name="comparison-with-baseline-models"/>
    <w:p>
      <w:pPr>
        <w:pStyle w:val="Heading2"/>
      </w:pPr>
      <w:r>
        <w:t xml:space="preserve">Comparison with Baseline Models</w:t>
      </w:r>
    </w:p>
    <w:p>
      <w:pPr>
        <w:pStyle w:val="FirstParagraph"/>
      </w:pPr>
      <w:r>
        <w:t xml:space="preserve">Table </w:t>
      </w:r>
      <w:hyperlink w:anchor="tab:baseline">
        <w:r>
          <w:rPr>
            <w:rStyle w:val="Hyperlink"/>
          </w:rPr>
          <w:t xml:space="preserve">9</w:t>
        </w:r>
      </w:hyperlink>
      <w:r>
        <w:t xml:space="preserve"> </w:t>
      </w:r>
      <w:r>
        <w:t xml:space="preserve">compares our tri-signal fusion approach against standard trading strategies and single-model baselines. We evaluate all methods on the same test set to ensure fair comparison. The</w:t>
      </w:r>
      <w:r>
        <w:t xml:space="preserve"> </w:t>
      </w:r>
      <w:r>
        <w:t xml:space="preserve">“</w:t>
      </w:r>
      <w:r>
        <w:t xml:space="preserve">pp</w:t>
      </w:r>
      <w:r>
        <w:t xml:space="preserve">”</w:t>
      </w:r>
      <w:r>
        <w:t xml:space="preserve"> </w:t>
      </w:r>
      <w:r>
        <w:t xml:space="preserve">column indicates percentage point improvement over the baseline Buy-and-Hold strategy.</w:t>
      </w:r>
    </w:p>
    <w:p>
      <w:pPr>
        <w:pStyle w:val="BodyText"/>
      </w:pPr>
      <w:r>
        <w:t xml:space="preserve">Our tri-signal fusion achieves 85.2% accuracy, outperforming the ML-only approach by 2.3 percentage points (pp). This improvement demonstrates the value of combining multiple signal sources. The Buy-and-Hold baseline achieves 52.1% accuracy (essentially random), while technical analysis alone reaches 61.8%. The XGBoost-only model achieves 79.8%, but adding pattern recognition and news signals through our fusion architecture provides the additional 5.4 pp gain.</w:t>
      </w:r>
    </w:p>
    <w:bookmarkStart w:id="66" w:name="tab:baseline"/>
    <w:p>
      <w:pPr>
        <w:pStyle w:val="TableCaption"/>
      </w:pPr>
      <w:r>
        <w:t xml:space="preserve">Comparison with Baseline Models (Test Set)</w:t>
      </w:r>
    </w:p>
    <w:tbl>
      <w:tblPr>
        <w:tblStyle w:val="Table"/>
        <w:tblW w:type="auto" w:w="0"/>
        <w:jc w:val="left"/>
        <w:tblLook w:firstRow="1" w:lastRow="0" w:firstColumn="0" w:lastColumn="0" w:noHBand="0" w:noVBand="0" w:val="0020"/>
        <w:tblCaption w:val="Comparison with Baseline Models (Test Set)"/>
      </w:tblPr>
      <w:tblGrid>
        <w:gridCol w:w="2640"/>
        <w:gridCol w:w="2640"/>
        <w:gridCol w:w="2640"/>
      </w:tblGrid>
      <w:tr>
        <w:trPr>
          <w:tblHeader w:val="on"/>
        </w:trPr>
        <w:tc>
          <w:tcPr/>
          <w:p>
            <w:pPr>
              <w:pStyle w:val="Compact"/>
              <w:jc w:val="left"/>
            </w:pPr>
            <w:r>
              <w:rPr>
                <w:b/>
                <w:bCs/>
              </w:rPr>
              <w:t xml:space="preserve">Strategy</w:t>
            </w:r>
          </w:p>
        </w:tc>
        <w:tc>
          <w:tcPr/>
          <w:p>
            <w:pPr>
              <w:pStyle w:val="Compact"/>
              <w:jc w:val="center"/>
            </w:pPr>
            <w:r>
              <w:rPr>
                <w:b/>
                <w:bCs/>
              </w:rPr>
              <w:t xml:space="preserve">Accuracy</w:t>
            </w:r>
          </w:p>
        </w:tc>
        <w:tc>
          <w:tcPr/>
          <w:p>
            <w:pPr>
              <w:pStyle w:val="Compact"/>
              <w:jc w:val="center"/>
            </w:pPr>
            <w:r>
              <w:rPr>
                <w:b/>
                <w:bCs/>
              </w:rPr>
              <w:t xml:space="preserve">vs. Baseline (pp)</w:t>
            </w:r>
          </w:p>
        </w:tc>
      </w:tr>
      <w:tr>
        <w:tc>
          <w:tcPr/>
          <w:p>
            <w:pPr>
              <w:pStyle w:val="Compact"/>
              <w:jc w:val="left"/>
            </w:pPr>
            <w:r>
              <w:t xml:space="preserve">Buy-and-Hold</w:t>
            </w:r>
          </w:p>
        </w:tc>
        <w:tc>
          <w:tcPr/>
          <w:p>
            <w:pPr>
              <w:pStyle w:val="Compact"/>
              <w:jc w:val="center"/>
            </w:pPr>
            <w:r>
              <w:t xml:space="preserve">52.1%</w:t>
            </w:r>
          </w:p>
        </w:tc>
        <w:tc>
          <w:tcPr/>
          <w:p>
            <w:pPr>
              <w:pStyle w:val="Compact"/>
              <w:jc w:val="center"/>
            </w:pPr>
            <w:r>
              <w:t xml:space="preserve">–</w:t>
            </w:r>
          </w:p>
        </w:tc>
      </w:tr>
      <w:tr>
        <w:tc>
          <w:tcPr/>
          <w:p>
            <w:pPr>
              <w:pStyle w:val="Compact"/>
              <w:jc w:val="left"/>
            </w:pPr>
            <w:r>
              <w:t xml:space="preserve">Technical Analysis Only</w:t>
            </w:r>
          </w:p>
        </w:tc>
        <w:tc>
          <w:tcPr/>
          <w:p>
            <w:pPr>
              <w:pStyle w:val="Compact"/>
              <w:jc w:val="center"/>
            </w:pPr>
            <w:r>
              <w:t xml:space="preserve">61.8%</w:t>
            </w:r>
          </w:p>
        </w:tc>
        <w:tc>
          <w:tcPr/>
          <w:p>
            <w:pPr>
              <w:pStyle w:val="Compact"/>
              <w:jc w:val="center"/>
            </w:pPr>
            <w:r>
              <w:t xml:space="preserve">+9.7</w:t>
            </w:r>
          </w:p>
        </w:tc>
      </w:tr>
      <w:tr>
        <w:tc>
          <w:tcPr/>
          <w:p>
            <w:pPr>
              <w:pStyle w:val="Compact"/>
              <w:jc w:val="left"/>
            </w:pPr>
            <w:r>
              <w:t xml:space="preserve">Random Forest Only</w:t>
            </w:r>
          </w:p>
        </w:tc>
        <w:tc>
          <w:tcPr/>
          <w:p>
            <w:pPr>
              <w:pStyle w:val="Compact"/>
              <w:jc w:val="center"/>
            </w:pPr>
            <w:r>
              <w:t xml:space="preserve">78.4%</w:t>
            </w:r>
          </w:p>
        </w:tc>
        <w:tc>
          <w:tcPr/>
          <w:p>
            <w:pPr>
              <w:pStyle w:val="Compact"/>
              <w:jc w:val="center"/>
            </w:pPr>
            <w:r>
              <w:t xml:space="preserve">+26.3</w:t>
            </w:r>
          </w:p>
        </w:tc>
      </w:tr>
      <w:tr>
        <w:tc>
          <w:tcPr/>
          <w:p>
            <w:pPr>
              <w:pStyle w:val="Compact"/>
              <w:jc w:val="left"/>
            </w:pPr>
            <w:r>
              <w:t xml:space="preserve">XGBoost Only</w:t>
            </w:r>
          </w:p>
        </w:tc>
        <w:tc>
          <w:tcPr/>
          <w:p>
            <w:pPr>
              <w:pStyle w:val="Compact"/>
              <w:jc w:val="center"/>
            </w:pPr>
            <w:r>
              <w:t xml:space="preserve">79.8%</w:t>
            </w:r>
          </w:p>
        </w:tc>
        <w:tc>
          <w:tcPr/>
          <w:p>
            <w:pPr>
              <w:pStyle w:val="Compact"/>
              <w:jc w:val="center"/>
            </w:pPr>
            <w:r>
              <w:t xml:space="preserve">+27.7</w:t>
            </w:r>
          </w:p>
        </w:tc>
      </w:tr>
      <w:tr>
        <w:tc>
          <w:tcPr/>
          <w:p>
            <w:pPr>
              <w:pStyle w:val="Compact"/>
              <w:jc w:val="left"/>
            </w:pPr>
            <w:r>
              <w:t xml:space="preserve">ML Ensemble (RF+XGB)</w:t>
            </w:r>
          </w:p>
        </w:tc>
        <w:tc>
          <w:tcPr/>
          <w:p>
            <w:pPr>
              <w:pStyle w:val="Compact"/>
              <w:jc w:val="center"/>
            </w:pPr>
            <w:r>
              <w:t xml:space="preserve">82.9%</w:t>
            </w:r>
          </w:p>
        </w:tc>
        <w:tc>
          <w:tcPr/>
          <w:p>
            <w:pPr>
              <w:pStyle w:val="Compact"/>
              <w:jc w:val="center"/>
            </w:pPr>
            <w:r>
              <w:t xml:space="preserve">+30.8</w:t>
            </w:r>
          </w:p>
        </w:tc>
      </w:tr>
      <w:tr>
        <w:tc>
          <w:tcPr/>
          <w:p>
            <w:pPr>
              <w:pStyle w:val="Compact"/>
              <w:jc w:val="left"/>
            </w:pPr>
            <w:r>
              <w:rPr>
                <w:b/>
                <w:bCs/>
              </w:rPr>
              <w:t xml:space="preserve">Tri-Signal Fusion (Ours)</w:t>
            </w:r>
          </w:p>
        </w:tc>
        <w:tc>
          <w:tcPr/>
          <w:p>
            <w:pPr>
              <w:pStyle w:val="Compact"/>
              <w:jc w:val="center"/>
            </w:pPr>
            <w:r>
              <w:rPr>
                <w:b/>
                <w:bCs/>
              </w:rPr>
              <w:t xml:space="preserve">85.2%</w:t>
            </w:r>
          </w:p>
        </w:tc>
        <w:tc>
          <w:tcPr/>
          <w:p>
            <w:pPr>
              <w:pStyle w:val="Compact"/>
              <w:jc w:val="center"/>
            </w:pPr>
            <w:r>
              <w:rPr>
                <w:b/>
                <w:bCs/>
              </w:rPr>
              <w:t xml:space="preserve">+33.1</w:t>
            </w:r>
          </w:p>
        </w:tc>
      </w:tr>
    </w:tbl>
    <w:bookmarkEnd w:id="66"/>
    <w:p>
      <w:pPr>
        <w:pStyle w:val="BodyText"/>
      </w:pPr>
      <w:bookmarkStart w:id="67" w:name="tab:baseline"/>
      <w:bookmarkEnd w:id="67"/>
    </w:p>
    <w:bookmarkEnd w:id="68"/>
    <w:bookmarkStart w:id="74" w:name="backtesting-performance"/>
    <w:p>
      <w:pPr>
        <w:pStyle w:val="Heading2"/>
      </w:pPr>
      <w:r>
        <w:t xml:space="preserve">Backtesting Performance</w:t>
      </w:r>
    </w:p>
    <w:p>
      <w:pPr>
        <w:pStyle w:val="FirstParagraph"/>
      </w:pPr>
      <w:r>
        <w:t xml:space="preserve">We evaluate our trading strategy through walk-forward backtesting over 2 years (2022–2024), simulating realistic trading conditions with transaction costs and slippage. Fig. </w:t>
      </w:r>
      <w:hyperlink w:anchor="fig:backtest">
        <w:r>
          <w:rPr>
            <w:rStyle w:val="Hyperlink"/>
          </w:rPr>
          <w:t xml:space="preserve">3</w:t>
        </w:r>
      </w:hyperlink>
      <w:r>
        <w:t xml:space="preserve"> </w:t>
      </w:r>
      <w:r>
        <w:t xml:space="preserve">shows the cumulative returns comparison.</w:t>
      </w:r>
    </w:p>
    <w:p>
      <w:pPr>
        <w:pStyle w:val="CaptionedFigure"/>
      </w:pPr>
      <w:r>
        <w:drawing>
          <wp:inline>
            <wp:extent cx="5334000" cy="2641600"/>
            <wp:effectExtent b="0" l="0" r="0" t="0"/>
            <wp:docPr descr="" title="" id="70" name="Picture"/>
            <a:graphic>
              <a:graphicData uri="http://schemas.openxmlformats.org/drawingml/2006/picture">
                <pic:pic>
                  <pic:nvPicPr>
                    <pic:cNvPr descr="fig3.png" id="71" name="Picture"/>
                    <pic:cNvPicPr>
                      <a:picLocks noChangeArrowheads="1" noChangeAspect="1"/>
                    </pic:cNvPicPr>
                  </pic:nvPicPr>
                  <pic:blipFill>
                    <a:blip r:embed="rId69"/>
                    <a:stretch>
                      <a:fillRect/>
                    </a:stretch>
                  </pic:blipFill>
                  <pic:spPr bwMode="auto">
                    <a:xfrm>
                      <a:off x="0" y="0"/>
                      <a:ext cx="5334000" cy="2641600"/>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p>
      <w:pPr>
        <w:pStyle w:val="BodyText"/>
      </w:pPr>
      <w:r>
        <w:t xml:space="preserve">Table </w:t>
      </w:r>
      <w:hyperlink w:anchor="tab:backtest">
        <w:r>
          <w:rPr>
            <w:rStyle w:val="Hyperlink"/>
          </w:rPr>
          <w:t xml:space="preserve">10</w:t>
        </w:r>
      </w:hyperlink>
      <w:r>
        <w:t xml:space="preserve"> </w:t>
      </w:r>
      <w:r>
        <w:t xml:space="preserve">presents the backtesting performance metrics. Our combined strategy achieves 42.8% total return with a Sharpe ratio of 1.74, indicating strong risk-adjusted performance. The cryptocurrency portfolio shows higher total return (47.3%) but also higher maximum drawdown (-18.2%), reflecting the asset class’s inherent volatility. The stock portfolio demonstrates more consistent returns with a higher Sharpe ratio (1.82), suitable for risk-averse investors. The win rate of 59.8% and profit factor of 1.49 indicate that our strategy generates more profitable trades than losing ones, with average wins exceeding average losses.</w:t>
      </w:r>
    </w:p>
    <w:bookmarkStart w:id="72" w:name="tab:backtest"/>
    <w:p>
      <w:pPr>
        <w:pStyle w:val="TableCaption"/>
      </w:pPr>
      <w:r>
        <w:t xml:space="preserve">Backtesting Performance Summary (2022-2024)</w:t>
      </w:r>
    </w:p>
    <w:tbl>
      <w:tblPr>
        <w:tblStyle w:val="Table"/>
        <w:tblW w:type="auto" w:w="0"/>
        <w:jc w:val="left"/>
        <w:tblLook w:firstRow="1" w:lastRow="0" w:firstColumn="0" w:lastColumn="0" w:noHBand="0" w:noVBand="0" w:val="0020"/>
        <w:tblCaption w:val="Backtesting Performance Summary (2022-2024)"/>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72"/>
    <w:p>
      <w:pPr>
        <w:pStyle w:val="BodyText"/>
      </w:pPr>
      <w:bookmarkStart w:id="73" w:name="tab:backtest"/>
      <w:bookmarkEnd w:id="73"/>
    </w:p>
    <w:bookmarkEnd w:id="74"/>
    <w:bookmarkStart w:id="77" w:name="statistical-significance-testing"/>
    <w:p>
      <w:pPr>
        <w:pStyle w:val="Heading2"/>
      </w:pPr>
      <w:r>
        <w:t xml:space="preserve">Statistical Significance Testing</w:t>
      </w:r>
    </w:p>
    <w:p>
      <w:pPr>
        <w:pStyle w:val="FirstParagraph"/>
      </w:pPr>
      <w:r>
        <w:t xml:space="preserve">To validate that our results are not due to random chance, we perform paired t-tests comparing our tri-signal fusion against baseline models. The t-statistic is computed using Equation </w:t>
      </w:r>
      <w:hyperlink w:anchor="eq:ttest">
        <w:r>
          <w:rPr>
            <w:rStyle w:val="Hyperlink"/>
          </w:rPr>
          <w:t xml:space="preserve">[eq:ttest]</w:t>
        </w:r>
      </w:hyperlink>
      <w:r>
        <w:t xml:space="preserve">:</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mean difference in accuracy between methods,</w:t>
      </w:r>
      <w:r>
        <w:t xml:space="preserve"> </w:t>
      </w:r>
      <m:oMath>
        <m:sSub>
          <m:e>
            <m:r>
              <m:t>s</m:t>
            </m:r>
          </m:e>
          <m:sub>
            <m:r>
              <m:t>d</m:t>
            </m:r>
          </m:sub>
        </m:sSub>
      </m:oMath>
      <w:r>
        <w:t xml:space="preserve"> </w:t>
      </w:r>
      <w:r>
        <w:t xml:space="preserve">is the standard deviation of differences, and</w:t>
      </w:r>
      <w:r>
        <w:t xml:space="preserve"> </w:t>
      </w:r>
      <m:oMath>
        <m:r>
          <m:t>n</m:t>
        </m:r>
      </m:oMath>
      <w:r>
        <w:t xml:space="preserve"> </w:t>
      </w:r>
      <w:r>
        <w:t xml:space="preserve">is the number of paired observations (259 assets). Table </w:t>
      </w:r>
      <w:hyperlink w:anchor="tab:significance">
        <w:r>
          <w:rPr>
            <w:rStyle w:val="Hyperlink"/>
          </w:rPr>
          <w:t xml:space="preserve">11</w:t>
        </w:r>
      </w:hyperlink>
      <w:r>
        <w:t xml:space="preserve"> </w:t>
      </w:r>
      <w:r>
        <w:t xml:space="preserve">presents the statistical significance results. We test the null hypothesis that there is no difference in accuracy between our method and each baseline. A p-value below 0.05 indicates statistically significant improvement at the 95% confidence level.</w:t>
      </w:r>
    </w:p>
    <w:p>
      <w:pPr>
        <w:pStyle w:val="BodyText"/>
      </w:pPr>
      <w:r>
        <w:t xml:space="preserve">Our tri-signal fusion significantly outperforms all baselines with p-values well below 0.01. The comparison against ML Ensemble alone (p=0.008) confirms that adding pattern recognition and news signals provides statistically meaningful improvement beyond what the ML models achieve independently.</w:t>
      </w:r>
    </w:p>
    <w:bookmarkStart w:id="75" w:name="tab:significance"/>
    <w:p>
      <w:pPr>
        <w:pStyle w:val="TableCaption"/>
      </w:pPr>
      <w:r>
        <w:t xml:space="preserve">Statistical Significance Testing (Paired t-test)</w:t>
      </w:r>
    </w:p>
    <w:tbl>
      <w:tblPr>
        <w:tblStyle w:val="Table"/>
        <w:tblW w:type="auto" w:w="0"/>
        <w:jc w:val="left"/>
        <w:tblLook w:firstRow="1" w:lastRow="0" w:firstColumn="0" w:lastColumn="0" w:noHBand="0" w:noVBand="0" w:val="0020"/>
        <w:tblCaption w:val="Statistical Significance Testing (Paired t-test)"/>
      </w:tblPr>
      <w:tblGrid>
        <w:gridCol w:w="1980"/>
        <w:gridCol w:w="1980"/>
        <w:gridCol w:w="1980"/>
        <w:gridCol w:w="1980"/>
      </w:tblGrid>
      <w:tr>
        <w:trPr>
          <w:tblHeader w:val="on"/>
        </w:trPr>
        <w:tc>
          <w:tcPr/>
          <w:p>
            <w:pPr>
              <w:pStyle w:val="Compact"/>
              <w:jc w:val="left"/>
            </w:pPr>
            <w:r>
              <w:rPr>
                <w:b/>
                <w:bCs/>
              </w:rPr>
              <w:t xml:space="preserve">Comparison</w:t>
            </w:r>
          </w:p>
        </w:tc>
        <w:tc>
          <w:tcPr/>
          <w:p>
            <w:pPr>
              <w:pStyle w:val="Compact"/>
              <w:jc w:val="center"/>
            </w:pPr>
            <w:r>
              <w:rPr>
                <w:b/>
                <w:bCs/>
              </w:rPr>
              <w:t xml:space="preserve">t-statistic</w:t>
            </w:r>
          </w:p>
        </w:tc>
        <w:tc>
          <w:tcPr/>
          <w:p>
            <w:pPr>
              <w:pStyle w:val="Compact"/>
              <w:jc w:val="center"/>
            </w:pPr>
            <w:r>
              <w:rPr>
                <w:b/>
                <w:bCs/>
              </w:rPr>
              <w:t xml:space="preserve">p-value</w:t>
            </w:r>
          </w:p>
        </w:tc>
        <w:tc>
          <w:tcPr/>
          <w:p>
            <w:pPr>
              <w:pStyle w:val="Compact"/>
              <w:jc w:val="center"/>
            </w:pPr>
            <w:r>
              <w:rPr>
                <w:b/>
                <w:bCs/>
              </w:rPr>
              <w:t xml:space="preserve">Significant?</w:t>
            </w:r>
          </w:p>
        </w:tc>
      </w:tr>
      <w:tr>
        <w:tc>
          <w:tcPr/>
          <w:p>
            <w:pPr>
              <w:pStyle w:val="Compact"/>
              <w:jc w:val="left"/>
            </w:pPr>
            <w:r>
              <w:t xml:space="preserve">Fusion vs. Buy-Hold</w:t>
            </w:r>
          </w:p>
        </w:tc>
        <w:tc>
          <w:tcPr/>
          <w:p>
            <w:pPr>
              <w:pStyle w:val="Compact"/>
              <w:jc w:val="center"/>
            </w:pPr>
            <w:r>
              <w:t xml:space="preserve">12.47</w:t>
            </w:r>
          </w:p>
        </w:tc>
        <w:tc>
          <w:tcPr/>
          <w:p>
            <w:pPr>
              <w:pStyle w:val="Compact"/>
              <w:jc w:val="center"/>
            </w:pPr>
            <m:oMath>
              <m:r>
                <m:rPr>
                  <m:sty m:val="p"/>
                </m:rPr>
                <m:t>&lt;</m:t>
              </m:r>
            </m:oMath>
            <w:r>
              <w:t xml:space="preserve">0.001</w:t>
            </w:r>
          </w:p>
        </w:tc>
        <w:tc>
          <w:tcPr/>
          <w:p>
            <w:pPr>
              <w:pStyle w:val="Compact"/>
              <w:jc w:val="center"/>
            </w:pPr>
            <w:r>
              <w:t xml:space="preserve">Yes</w:t>
            </w:r>
          </w:p>
        </w:tc>
      </w:tr>
      <w:tr>
        <w:tc>
          <w:tcPr/>
          <w:p>
            <w:pPr>
              <w:pStyle w:val="Compact"/>
              <w:jc w:val="left"/>
            </w:pPr>
            <w:r>
              <w:t xml:space="preserve">Fusion vs. Tech. Analysis</w:t>
            </w:r>
          </w:p>
        </w:tc>
        <w:tc>
          <w:tcPr/>
          <w:p>
            <w:pPr>
              <w:pStyle w:val="Compact"/>
              <w:jc w:val="center"/>
            </w:pPr>
            <w:r>
              <w:t xml:space="preserve">8.92</w:t>
            </w:r>
          </w:p>
        </w:tc>
        <w:tc>
          <w:tcPr/>
          <w:p>
            <w:pPr>
              <w:pStyle w:val="Compact"/>
              <w:jc w:val="center"/>
            </w:pPr>
            <m:oMath>
              <m:r>
                <m:rPr>
                  <m:sty m:val="p"/>
                </m:rPr>
                <m:t>&lt;</m:t>
              </m:r>
            </m:oMath>
            <w:r>
              <w:t xml:space="preserve">0.001</w:t>
            </w:r>
          </w:p>
        </w:tc>
        <w:tc>
          <w:tcPr/>
          <w:p>
            <w:pPr>
              <w:pStyle w:val="Compact"/>
              <w:jc w:val="center"/>
            </w:pPr>
            <w:r>
              <w:t xml:space="preserve">Yes</w:t>
            </w:r>
          </w:p>
        </w:tc>
      </w:tr>
      <w:tr>
        <w:tc>
          <w:tcPr/>
          <w:p>
            <w:pPr>
              <w:pStyle w:val="Compact"/>
              <w:jc w:val="left"/>
            </w:pPr>
            <w:r>
              <w:t xml:space="preserve">Fusion vs. RF Only</w:t>
            </w:r>
          </w:p>
        </w:tc>
        <w:tc>
          <w:tcPr/>
          <w:p>
            <w:pPr>
              <w:pStyle w:val="Compact"/>
              <w:jc w:val="center"/>
            </w:pPr>
            <w:r>
              <w:t xml:space="preserve">4.31</w:t>
            </w:r>
          </w:p>
        </w:tc>
        <w:tc>
          <w:tcPr/>
          <w:p>
            <w:pPr>
              <w:pStyle w:val="Compact"/>
              <w:jc w:val="center"/>
            </w:pPr>
            <m:oMath>
              <m:r>
                <m:rPr>
                  <m:sty m:val="p"/>
                </m:rPr>
                <m:t>&lt;</m:t>
              </m:r>
            </m:oMath>
            <w:r>
              <w:t xml:space="preserve">0.001</w:t>
            </w:r>
          </w:p>
        </w:tc>
        <w:tc>
          <w:tcPr/>
          <w:p>
            <w:pPr>
              <w:pStyle w:val="Compact"/>
              <w:jc w:val="center"/>
            </w:pPr>
            <w:r>
              <w:t xml:space="preserve">Yes</w:t>
            </w:r>
          </w:p>
        </w:tc>
      </w:tr>
      <w:tr>
        <w:tc>
          <w:tcPr/>
          <w:p>
            <w:pPr>
              <w:pStyle w:val="Compact"/>
              <w:jc w:val="left"/>
            </w:pPr>
            <w:r>
              <w:t xml:space="preserve">Fusion vs. XGB Only</w:t>
            </w:r>
          </w:p>
        </w:tc>
        <w:tc>
          <w:tcPr/>
          <w:p>
            <w:pPr>
              <w:pStyle w:val="Compact"/>
              <w:jc w:val="center"/>
            </w:pPr>
            <w:r>
              <w:t xml:space="preserve">3.86</w:t>
            </w:r>
          </w:p>
        </w:tc>
        <w:tc>
          <w:tcPr/>
          <w:p>
            <w:pPr>
              <w:pStyle w:val="Compact"/>
              <w:jc w:val="center"/>
            </w:pPr>
            <m:oMath>
              <m:r>
                <m:rPr>
                  <m:sty m:val="p"/>
                </m:rPr>
                <m:t>&lt;</m:t>
              </m:r>
            </m:oMath>
            <w:r>
              <w:t xml:space="preserve">0.001</w:t>
            </w:r>
          </w:p>
        </w:tc>
        <w:tc>
          <w:tcPr/>
          <w:p>
            <w:pPr>
              <w:pStyle w:val="Compact"/>
              <w:jc w:val="center"/>
            </w:pPr>
            <w:r>
              <w:t xml:space="preserve">Yes</w:t>
            </w:r>
          </w:p>
        </w:tc>
      </w:tr>
      <w:tr>
        <w:tc>
          <w:tcPr/>
          <w:p>
            <w:pPr>
              <w:pStyle w:val="Compact"/>
              <w:jc w:val="left"/>
            </w:pPr>
            <w:r>
              <w:t xml:space="preserve">Fusion vs. ML Ensemble</w:t>
            </w:r>
          </w:p>
        </w:tc>
        <w:tc>
          <w:tcPr/>
          <w:p>
            <w:pPr>
              <w:pStyle w:val="Compact"/>
              <w:jc w:val="center"/>
            </w:pPr>
            <w:r>
              <w:t xml:space="preserve">2.71</w:t>
            </w:r>
          </w:p>
        </w:tc>
        <w:tc>
          <w:tcPr/>
          <w:p>
            <w:pPr>
              <w:pStyle w:val="Compact"/>
              <w:jc w:val="center"/>
            </w:pPr>
            <w:r>
              <w:t xml:space="preserve">0.008</w:t>
            </w:r>
          </w:p>
        </w:tc>
        <w:tc>
          <w:tcPr/>
          <w:p>
            <w:pPr>
              <w:pStyle w:val="Compact"/>
              <w:jc w:val="center"/>
            </w:pPr>
            <w:r>
              <w:t xml:space="preserve">Yes</w:t>
            </w:r>
          </w:p>
        </w:tc>
      </w:tr>
    </w:tbl>
    <w:bookmarkEnd w:id="75"/>
    <w:p>
      <w:pPr>
        <w:pStyle w:val="BodyText"/>
      </w:pPr>
      <w:bookmarkStart w:id="76" w:name="tab:significance"/>
      <w:bookmarkEnd w:id="76"/>
    </w:p>
    <w:bookmarkEnd w:id="77"/>
    <w:bookmarkStart w:id="83" w:name="X7ea872a10fc63786227dde8e2173dbe5708e0e3"/>
    <w:p>
      <w:pPr>
        <w:pStyle w:val="Heading2"/>
      </w:pPr>
      <w:r>
        <w:t xml:space="preserve">Ablation Study: Model and Feature Analysis</w:t>
      </w:r>
    </w:p>
    <w:p>
      <w:pPr>
        <w:pStyle w:val="FirstParagraph"/>
      </w:pPr>
      <w:r>
        <w:t xml:space="preserve">We conduct ablation experiments on the test set to understand the contribution of each system component. Fig. </w:t>
      </w:r>
      <w:hyperlink w:anchor="fig:ablation">
        <w:r>
          <w:rPr>
            <w:rStyle w:val="Hyperlink"/>
          </w:rPr>
          <w:t xml:space="preserve">4</w:t>
        </w:r>
      </w:hyperlink>
      <w:r>
        <w:t xml:space="preserve"> </w:t>
      </w:r>
      <w:r>
        <w:t xml:space="preserve">presents our ablation study results in two parts: (a) network ablation showing the impact of removing each signal source, and (b) feature ablation showing the contribution of each feature category based on SHAP analysis.</w:t>
      </w:r>
    </w:p>
    <w:p>
      <w:pPr>
        <w:pStyle w:val="CaptionedFigure"/>
      </w:pPr>
      <w:r>
        <w:drawing>
          <wp:inline>
            <wp:extent cx="5334000" cy="2191070"/>
            <wp:effectExtent b="0" l="0" r="0" t="0"/>
            <wp:docPr descr="" title="" id="79" name="Picture"/>
            <a:graphic>
              <a:graphicData uri="http://schemas.openxmlformats.org/drawingml/2006/picture">
                <pic:pic>
                  <pic:nvPicPr>
                    <pic:cNvPr descr="fig5.png" id="80" name="Picture"/>
                    <pic:cNvPicPr>
                      <a:picLocks noChangeArrowheads="1" noChangeAspect="1"/>
                    </pic:cNvPicPr>
                  </pic:nvPicPr>
                  <pic:blipFill>
                    <a:blip r:embed="rId78"/>
                    <a:stretch>
                      <a:fillRect/>
                    </a:stretch>
                  </pic:blipFill>
                  <pic:spPr bwMode="auto">
                    <a:xfrm>
                      <a:off x="0" y="0"/>
                      <a:ext cx="5334000" cy="2191070"/>
                    </a:xfrm>
                    <a:prstGeom prst="rect">
                      <a:avLst/>
                    </a:prstGeom>
                    <a:noFill/>
                    <a:ln w="9525">
                      <a:noFill/>
                      <a:headEnd/>
                      <a:tailEnd/>
                    </a:ln>
                  </pic:spPr>
                </pic:pic>
              </a:graphicData>
            </a:graphic>
          </wp:inline>
        </w:drawing>
      </w:r>
    </w:p>
    <w:p>
      <w:pPr>
        <w:pStyle w:val="ImageCaption"/>
      </w:pPr>
      <w:r>
        <w:t xml:space="preserve">Ablation study results on the test set. (a) Network ablation: accuracy when removing each signal component from the tri-signal fusion. (b) Feature ablation: mean SHAP values indicating each feature category’s contribution to predictions.</w:t>
      </w:r>
    </w:p>
    <w:p>
      <w:pPr>
        <w:pStyle w:val="BodyText"/>
      </w:pPr>
      <w:r>
        <w:rPr>
          <w:b/>
          <w:bCs/>
        </w:rPr>
        <w:t xml:space="preserve">Network Ablation:</w:t>
      </w:r>
      <w:r>
        <w:t xml:space="preserve"> </w:t>
      </w:r>
      <w:r>
        <w:t xml:space="preserve">Removing the ML signal causes the largest accuracy drop (from 85.2% to 68.4%), confirming ML as the primary contributor. Removing pattern recognition reduces accuracy to 79.1%, while removing news signals results in 82.8% accuracy. These results validate our weight assignments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w:t>
      </w:r>
    </w:p>
    <w:p>
      <w:pPr>
        <w:pStyle w:val="BodyText"/>
      </w:pPr>
      <w:r>
        <w:rPr>
          <w:b/>
          <w:bCs/>
        </w:rPr>
        <w:t xml:space="preserve">Feature Ablation:</w:t>
      </w:r>
      <w:r>
        <w:t xml:space="preserve"> </w:t>
      </w:r>
      <w:r>
        <w:t xml:space="preserve">We compute SHAP values across all test set predictions to identify the most influential features. RSI (14-period) shows the highest mean SHAP value (0.142), followed by MACD Histogram (0.128), Volume Change % (0.115), 50-day SMA Cross (0.098), and Bollinger %B (0.087). Momentum indicators contribute most significantly, aligning with financial literature on technical analysis effectiveness for short-term prediction.</w:t>
      </w:r>
    </w:p>
    <w:p>
      <w:pPr>
        <w:pStyle w:val="BodyText"/>
      </w:pPr>
      <w:r>
        <w:t xml:space="preserve">Table </w:t>
      </w:r>
      <w:hyperlink w:anchor="tab:feature_ablation">
        <w:r>
          <w:rPr>
            <w:rStyle w:val="Hyperlink"/>
          </w:rPr>
          <w:t xml:space="preserve">12</w:t>
        </w:r>
      </w:hyperlink>
      <w:r>
        <w:t xml:space="preserve"> </w:t>
      </w:r>
      <w:r>
        <w:t xml:space="preserve">presents asset-specific feature ablation results, showing that feature importance varies by asset type. MSFT shows the strongest dependence on momentum features (+7.09% accuracy drop when removed), while ETH-USD depends more on trend features (+1.43% drop). These findings suggest that optimal feature selection should be asset-specific.</w:t>
      </w:r>
    </w:p>
    <w:bookmarkStart w:id="81" w:name="tab:feature_ablation"/>
    <w:p>
      <w:pPr>
        <w:pStyle w:val="TableCaption"/>
      </w:pPr>
      <w:r>
        <w:t xml:space="preserve">Feature Ablation: Accuracy Drop When Removing Feature Groups</w:t>
      </w:r>
    </w:p>
    <w:tbl>
      <w:tblPr>
        <w:tblStyle w:val="Table"/>
        <w:tblW w:type="auto" w:w="0"/>
        <w:jc w:val="left"/>
        <w:tblLook w:firstRow="1" w:lastRow="0" w:firstColumn="0" w:lastColumn="0" w:noHBand="0" w:noVBand="0" w:val="0020"/>
        <w:tblCaption w:val="Feature Ablation: Accuracy Drop When Removing Feature Groups"/>
      </w:tblPr>
      <w:tblGrid>
        <w:gridCol w:w="1584"/>
        <w:gridCol w:w="1584"/>
        <w:gridCol w:w="1584"/>
        <w:gridCol w:w="1584"/>
        <w:gridCol w:w="1584"/>
      </w:tblGrid>
      <w:tr>
        <w:trPr>
          <w:tblHeader w:val="on"/>
        </w:trPr>
        <w:tc>
          <w:tcPr/>
          <w:p>
            <w:pPr>
              <w:pStyle w:val="Compact"/>
              <w:jc w:val="left"/>
            </w:pPr>
            <w:r>
              <w:rPr>
                <w:b/>
                <w:bCs/>
              </w:rPr>
              <w:t xml:space="preserve">Asset</w:t>
            </w:r>
          </w:p>
        </w:tc>
        <w:tc>
          <w:tcPr/>
          <w:p>
            <w:pPr>
              <w:pStyle w:val="Compact"/>
              <w:jc w:val="center"/>
            </w:pPr>
            <w:r>
              <w:rPr>
                <w:b/>
                <w:bCs/>
              </w:rPr>
              <w:t xml:space="preserve">w/o Mom.</w:t>
            </w:r>
          </w:p>
        </w:tc>
        <w:tc>
          <w:tcPr/>
          <w:p>
            <w:pPr>
              <w:pStyle w:val="Compact"/>
              <w:jc w:val="center"/>
            </w:pPr>
            <w:r>
              <w:rPr>
                <w:b/>
                <w:bCs/>
              </w:rPr>
              <w:t xml:space="preserve">w/o Trend</w:t>
            </w:r>
          </w:p>
        </w:tc>
        <w:tc>
          <w:tcPr/>
          <w:p>
            <w:pPr>
              <w:pStyle w:val="Compact"/>
              <w:jc w:val="center"/>
            </w:pPr>
            <w:r>
              <w:rPr>
                <w:b/>
                <w:bCs/>
              </w:rPr>
              <w:t xml:space="preserve">w/o Vol.</w:t>
            </w:r>
          </w:p>
        </w:tc>
        <w:tc>
          <w:tcPr/>
          <w:p>
            <w:pPr>
              <w:pStyle w:val="Compact"/>
              <w:jc w:val="center"/>
            </w:pPr>
            <w:r>
              <w:rPr>
                <w:b/>
                <w:bCs/>
              </w:rPr>
              <w:t xml:space="preserve">w/o Volume</w:t>
            </w:r>
          </w:p>
        </w:tc>
      </w:tr>
      <w:tr>
        <w:tc>
          <w:tcPr/>
          <w:p>
            <w:pPr>
              <w:pStyle w:val="Compact"/>
              <w:jc w:val="left"/>
            </w:pPr>
            <w:r>
              <w:t xml:space="preserve">AAPL</w:t>
            </w:r>
          </w:p>
        </w:tc>
        <w:tc>
          <w:tcPr/>
          <w:p>
            <w:pPr>
              <w:pStyle w:val="Compact"/>
              <w:jc w:val="center"/>
            </w:pPr>
            <w:r>
              <w:t xml:space="preserve">0.00%</w:t>
            </w:r>
          </w:p>
        </w:tc>
        <w:tc>
          <w:tcPr/>
          <w:p>
            <w:pPr>
              <w:pStyle w:val="Compact"/>
              <w:jc w:val="center"/>
            </w:pPr>
            <m:oMath>
              <m:r>
                <m:rPr>
                  <m:sty m:val="p"/>
                </m:rPr>
                <m:t>−</m:t>
              </m:r>
            </m:oMath>
            <w:r>
              <w:t xml:space="preserve">0.71%</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MSFT</w:t>
            </w:r>
          </w:p>
        </w:tc>
        <w:tc>
          <w:tcPr/>
          <w:p>
            <w:pPr>
              <w:pStyle w:val="Compact"/>
              <w:jc w:val="center"/>
            </w:pPr>
            <w:r>
              <w:rPr>
                <w:b/>
                <w:bCs/>
              </w:rPr>
              <w:t xml:space="preserve">+7.09%</w:t>
            </w:r>
          </w:p>
        </w:tc>
        <w:tc>
          <w:tcPr/>
          <w:p>
            <w:pPr>
              <w:pStyle w:val="Compact"/>
              <w:jc w:val="center"/>
            </w:pPr>
            <m:oMath>
              <m:r>
                <m:rPr>
                  <m:sty m:val="p"/>
                </m:rPr>
                <m:t>−</m:t>
              </m:r>
            </m:oMath>
            <w:r>
              <w:t xml:space="preserve">2.84%</w:t>
            </w:r>
          </w:p>
        </w:tc>
        <w:tc>
          <w:tcPr/>
          <w:p>
            <w:pPr>
              <w:pStyle w:val="Compact"/>
              <w:jc w:val="center"/>
            </w:pPr>
            <m:oMath>
              <m:r>
                <m:rPr>
                  <m:sty m:val="p"/>
                </m:rPr>
                <m:t>−</m:t>
              </m:r>
            </m:oMath>
            <w:r>
              <w:t xml:space="preserve">0.71%</w:t>
            </w:r>
          </w:p>
        </w:tc>
        <w:tc>
          <w:tcPr/>
          <w:p>
            <w:pPr>
              <w:pStyle w:val="Compact"/>
              <w:jc w:val="center"/>
            </w:pPr>
            <w:r>
              <w:t xml:space="preserve">0.00%</w:t>
            </w:r>
          </w:p>
        </w:tc>
      </w:tr>
      <w:tr>
        <w:tc>
          <w:tcPr/>
          <w:p>
            <w:pPr>
              <w:pStyle w:val="Compact"/>
              <w:jc w:val="left"/>
            </w:pPr>
            <w:r>
              <w:t xml:space="preserve">BTC-USD</w:t>
            </w:r>
          </w:p>
        </w:tc>
        <w:tc>
          <w:tcPr/>
          <w:p>
            <w:pPr>
              <w:pStyle w:val="Compact"/>
              <w:jc w:val="center"/>
            </w:pPr>
            <w:r>
              <w:t xml:space="preserve">+0.95%</w:t>
            </w:r>
          </w:p>
        </w:tc>
        <w:tc>
          <w:tcPr/>
          <w:p>
            <w:pPr>
              <w:pStyle w:val="Compact"/>
              <w:jc w:val="center"/>
            </w:pPr>
            <w:r>
              <w:t xml:space="preserve">+0.95%</w:t>
            </w:r>
          </w:p>
        </w:tc>
        <w:tc>
          <w:tcPr/>
          <w:p>
            <w:pPr>
              <w:pStyle w:val="Compact"/>
              <w:jc w:val="center"/>
            </w:pPr>
            <w:r>
              <w:t xml:space="preserve">+0.95%</w:t>
            </w:r>
          </w:p>
        </w:tc>
        <w:tc>
          <w:tcPr/>
          <w:p>
            <w:pPr>
              <w:pStyle w:val="Compact"/>
              <w:jc w:val="center"/>
            </w:pPr>
            <m:oMath>
              <m:r>
                <m:rPr>
                  <m:sty m:val="p"/>
                </m:rPr>
                <m:t>−</m:t>
              </m:r>
            </m:oMath>
            <w:r>
              <w:t xml:space="preserve">2.38%</w:t>
            </w:r>
          </w:p>
        </w:tc>
      </w:tr>
      <w:tr>
        <w:tc>
          <w:tcPr/>
          <w:p>
            <w:pPr>
              <w:pStyle w:val="Compact"/>
              <w:jc w:val="left"/>
            </w:pPr>
            <w:r>
              <w:t xml:space="preserve">ETH-USD</w:t>
            </w:r>
          </w:p>
        </w:tc>
        <w:tc>
          <w:tcPr/>
          <w:p>
            <w:pPr>
              <w:pStyle w:val="Compact"/>
              <w:jc w:val="center"/>
            </w:pPr>
            <w:r>
              <w:t xml:space="preserve">+0.48%</w:t>
            </w:r>
          </w:p>
        </w:tc>
        <w:tc>
          <w:tcPr/>
          <w:p>
            <w:pPr>
              <w:pStyle w:val="Compact"/>
              <w:jc w:val="center"/>
            </w:pPr>
            <w:r>
              <w:rPr>
                <w:b/>
                <w:bCs/>
              </w:rPr>
              <w:t xml:space="preserve">+1.43%</w:t>
            </w:r>
          </w:p>
        </w:tc>
        <w:tc>
          <w:tcPr/>
          <w:p>
            <w:pPr>
              <w:pStyle w:val="Compact"/>
              <w:jc w:val="center"/>
            </w:pPr>
            <m:oMath>
              <m:r>
                <m:rPr>
                  <m:sty m:val="p"/>
                </m:rPr>
                <m:t>−</m:t>
              </m:r>
            </m:oMath>
            <w:r>
              <w:t xml:space="preserve">0.95%</w:t>
            </w:r>
          </w:p>
        </w:tc>
        <w:tc>
          <w:tcPr/>
          <w:p>
            <w:pPr>
              <w:pStyle w:val="Compact"/>
              <w:jc w:val="center"/>
            </w:pPr>
            <w:r>
              <w:t xml:space="preserve">0.00%</w:t>
            </w:r>
          </w:p>
        </w:tc>
      </w:tr>
    </w:tbl>
    <w:bookmarkEnd w:id="81"/>
    <w:p>
      <w:pPr>
        <w:pStyle w:val="BodyText"/>
      </w:pPr>
      <w:bookmarkStart w:id="82" w:name="tab:feature_ablation"/>
      <w:bookmarkEnd w:id="82"/>
    </w:p>
    <w:bookmarkEnd w:id="83"/>
    <w:bookmarkEnd w:id="84"/>
    <w:bookmarkStart w:id="91" w:name="system-features"/>
    <w:p>
      <w:pPr>
        <w:pStyle w:val="Heading1"/>
      </w:pPr>
      <w:r>
        <w:t xml:space="preserve">System Features</w:t>
      </w:r>
    </w:p>
    <w:bookmarkStart w:id="88" w:name="interactive-dashboard"/>
    <w:p>
      <w:pPr>
        <w:pStyle w:val="Heading2"/>
      </w:pPr>
      <w:r>
        <w:t xml:space="preserve">Interactive Dashboard</w:t>
      </w:r>
    </w:p>
    <w:p>
      <w:pPr>
        <w:pStyle w:val="FirstParagraph"/>
      </w:pPr>
      <w:r>
        <w:t xml:space="preserve">Our IntelliTradeAI dashboard provides a comprehensive trading interface built with Streamlit, as shown in Fig. </w:t>
      </w:r>
      <w:hyperlink w:anchor="fig:dashboard">
        <w:r>
          <w:rPr>
            <w:rStyle w:val="Hyperlink"/>
          </w:rPr>
          <w:t xml:space="preserve">5</w:t>
        </w:r>
      </w:hyperlink>
      <w:r>
        <w:t xml:space="preserve">. The main trading view displays real-time BUY/SELL/HOLD signals with confidence scores, interactive candlestick charts with technical indicator overlays, and SHAP-based explanations for each prediction.</w:t>
      </w:r>
    </w:p>
    <w:p>
      <w:pPr>
        <w:pStyle w:val="CaptionedFigure"/>
      </w:pPr>
      <w:r>
        <w:drawing>
          <wp:inline>
            <wp:extent cx="5334000" cy="3403581"/>
            <wp:effectExtent b="0" l="0" r="0" t="0"/>
            <wp:docPr descr="" title="" id="86" name="Picture"/>
            <a:graphic>
              <a:graphicData uri="http://schemas.openxmlformats.org/drawingml/2006/picture">
                <pic:pic>
                  <pic:nvPicPr>
                    <pic:cNvPr descr="fig4.png" id="87" name="Picture"/>
                    <pic:cNvPicPr>
                      <a:picLocks noChangeArrowheads="1" noChangeAspect="1"/>
                    </pic:cNvPicPr>
                  </pic:nvPicPr>
                  <pic:blipFill>
                    <a:blip r:embed="rId85"/>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AI-powered predictions.</w:t>
      </w:r>
    </w:p>
    <w:bookmarkEnd w:id="88"/>
    <w:bookmarkStart w:id="89" w:name="personalized-trading-plans"/>
    <w:p>
      <w:pPr>
        <w:pStyle w:val="Heading2"/>
      </w:pPr>
      <w:r>
        <w:t xml:space="preserve">Personalized Trading Plans</w:t>
      </w:r>
    </w:p>
    <w:p>
      <w:pPr>
        <w:pStyle w:val="FirstParagraph"/>
      </w:pPr>
      <w:r>
        <w:t xml:space="preserve">We implement five risk tolerance tiers: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89"/>
    <w:bookmarkStart w:id="90" w:name="sec-compliance-and-legal-disclosures"/>
    <w:p>
      <w:pPr>
        <w:pStyle w:val="Heading2"/>
      </w:pPr>
      <w:r>
        <w:t xml:space="preserve">SEC Compliance and Legal Disclosures</w:t>
      </w:r>
    </w:p>
    <w:p>
      <w:pPr>
        <w:pStyle w:val="FirstParagraph"/>
      </w:pPr>
      <w:r>
        <w:t xml:space="preserve">Our system includes comprehensive SEC/FINRA-compliant risk disclosures, e-signature authorization for automated trading, suitability questionnaire aligned with SEC Rule 17a-4, and real-time trade logging with audit trail.</w:t>
      </w:r>
    </w:p>
    <w:bookmarkEnd w:id="90"/>
    <w:bookmarkEnd w:id="91"/>
    <w:bookmarkStart w:id="95" w:name="discussion"/>
    <w:p>
      <w:pPr>
        <w:pStyle w:val="Heading1"/>
      </w:pPr>
      <w:r>
        <w:t xml:space="preserve">Discussion</w:t>
      </w:r>
    </w:p>
    <w:bookmarkStart w:id="92" w:name="key-findings"/>
    <w:p>
      <w:pPr>
        <w:pStyle w:val="Heading2"/>
      </w:pPr>
      <w:r>
        <w:t xml:space="preserve">Key Findings</w:t>
      </w:r>
    </w:p>
    <w:p>
      <w:pPr>
        <w:pStyle w:val="FirstParagraph"/>
      </w:pPr>
      <w:r>
        <w:t xml:space="preserve">Our tri-signal fusion approach demonstrates that combining multiple signal sources improves prediction reliability compared to single-source methods. Stock prediction significantly outperforms cryptocurrency prediction, attributable to lower volatility and longer trading history. Our volatility-aware training approach substantially improved cryptocurrency accuracy, with Bitcoin achieving performance comparable to top-performing stocks.</w:t>
      </w:r>
    </w:p>
    <w:p>
      <w:pPr>
        <w:pStyle w:val="BodyText"/>
      </w:pPr>
      <w:r>
        <w:t xml:space="preserve">Regarding SMOTE, our with/without analysis reveals asset-dependent effects: while SMOTE generally improves recall and F1 (+5–7%) by better detecting minority class signals, it may reduce precision and accuracy for some assets (e.g., MSFT shows</w:t>
      </w:r>
      <w:r>
        <w:t xml:space="preserve"> </w:t>
      </w:r>
      <m:oMath>
        <m:r>
          <m:rPr>
            <m:sty m:val="p"/>
          </m:rPr>
          <m:t>−</m:t>
        </m:r>
      </m:oMath>
      <w:r>
        <w:t xml:space="preserve">1.39% F1 with SMOTE). This suggests SMOTE benefits should be evaluated per-asset rather than applied uniformly.</w:t>
      </w:r>
    </w:p>
    <w:bookmarkEnd w:id="92"/>
    <w:bookmarkStart w:id="93" w:name="limitations"/>
    <w:p>
      <w:pPr>
        <w:pStyle w:val="Heading2"/>
      </w:pPr>
      <w:r>
        <w:t xml:space="preserve">Limitations</w:t>
      </w:r>
    </w:p>
    <w:p>
      <w:pPr>
        <w:pStyle w:val="FirstParagraph"/>
      </w:pPr>
      <w:r>
        <w:t xml:space="preserve">Our system faces several limitations: (1) Cryptocurrency prediction accuracy varies significantly by asset volatility class; (2) News sentiment analysis depends on available Really Simple Syndication (RSS) feeds and may miss private information; (3) Pattern recognition requires sufficient historical data for reliable detection; (4) Our 259-asset coverage, while comprehensive, excludes many smaller cryptocurrencies.</w:t>
      </w:r>
    </w:p>
    <w:bookmarkEnd w:id="93"/>
    <w:bookmarkStart w:id="94" w:name="future-work"/>
    <w:p>
      <w:pPr>
        <w:pStyle w:val="Heading2"/>
      </w:pPr>
      <w:r>
        <w:t xml:space="preserve">Future Work</w:t>
      </w:r>
    </w:p>
    <w:p>
      <w:pPr>
        <w:pStyle w:val="FirstParagraph"/>
      </w:pPr>
      <w:r>
        <w:t xml:space="preserve">We plan to integrate alternative data sources including satellite imagery and web traffic data. We also plan to implement deep learning models (Transformer, LSTM) for sequence prediction and incorporate real-time social media sentiment from Twitter/Reddit APIs. Additionally, we aim to develop a mobile application and expand cryptocurrency coverage with on-chain metrics.</w:t>
      </w:r>
    </w:p>
    <w:bookmarkEnd w:id="94"/>
    <w:bookmarkEnd w:id="95"/>
    <w:bookmarkStart w:id="99" w:name="conclusion"/>
    <w:p>
      <w:pPr>
        <w:pStyle w:val="Heading1"/>
      </w:pPr>
      <w:r>
        <w:t xml:space="preserve">Conclusion</w:t>
      </w:r>
    </w:p>
    <w:p>
      <w:pPr>
        <w:pStyle w:val="FirstParagraph"/>
      </w:pPr>
      <w:r>
        <w:t xml:space="preserve">This paper presented IntelliTradeAI, a comprehensive AI-powered trading agent combining ML ensemble methods, pattern recognition, and news intelligence through tri-signal fusion. Our key contributions include the weighted voting fusion mechanism, SHAP-based explainability, volatility-aware adaptive thresholds, personalized risk-based trading plans, and SEC-compliant disclosures. The tri-signal fusion approach demonstrates statistically significant improvement over single-model baselines, and our ablation study confirms the value of each system component. Our system’s comprehensive asset coverage makes it one of the most extensive open-source trading agents available.</w:t>
      </w:r>
    </w:p>
    <w:p>
      <w:pPr>
        <w:pStyle w:val="BodyText"/>
      </w:pPr>
      <w:r>
        <w:t xml:space="preserve">00</w:t>
      </w:r>
      <w:r>
        <w:t xml:space="preserve"> </w:t>
      </w:r>
      <w:r>
        <w:t xml:space="preserve">M. O’Hara,</w:t>
      </w:r>
      <w:r>
        <w:t xml:space="preserve"> </w:t>
      </w:r>
      <w:r>
        <w:t xml:space="preserve">“</w:t>
      </w:r>
      <w:r>
        <w:t xml:space="preserve">High frequency market microstructure,</w:t>
      </w:r>
      <w:r>
        <w:t xml:space="preserve">”</w:t>
      </w:r>
      <w:r>
        <w:t xml:space="preserve"> </w:t>
      </w:r>
      <w:r>
        <w:rPr>
          <w:i/>
          <w:iCs/>
        </w:rPr>
        <w:t xml:space="preserve">Journal of Financial Economics</w:t>
      </w:r>
      <w:r>
        <w:t xml:space="preserve">, vol. 116, no. 2, pp. 257–270, May 2015.</w:t>
      </w:r>
      <w:r>
        <w:t xml:space="preserve"> </w:t>
      </w:r>
      <w:r>
        <w:t xml:space="preserve">T. Hendershott, C. M. Jones, and A. J. Menkveld,</w:t>
      </w:r>
      <w:r>
        <w:t xml:space="preserve"> </w:t>
      </w:r>
      <w:r>
        <w:t xml:space="preserve">“</w:t>
      </w:r>
      <w:r>
        <w:t xml:space="preserve">Does algorithmic trading improve liquidity?,</w:t>
      </w:r>
      <w:r>
        <w:t xml:space="preserve">”</w:t>
      </w:r>
      <w:r>
        <w:t xml:space="preserve"> </w:t>
      </w:r>
      <w:r>
        <w:rPr>
          <w:i/>
          <w:iCs/>
        </w:rPr>
        <w:t xml:space="preserve">The Journal of Finance</w:t>
      </w:r>
      <w:r>
        <w:t xml:space="preserve">, vol. 66, no. 1, pp. 1–33, Feb. 2011.</w:t>
      </w:r>
      <w:r>
        <w:t xml:space="preserve"> </w:t>
      </w:r>
      <w:r>
        <w:t xml:space="preserve">CoinMarketCap,</w:t>
      </w:r>
      <w:r>
        <w:t xml:space="preserve"> </w:t>
      </w:r>
      <w:r>
        <w:t xml:space="preserve">“</w:t>
      </w:r>
      <w:r>
        <w:t xml:space="preserve">Bitcoin Market Capitalization,</w:t>
      </w:r>
      <w:r>
        <w:t xml:space="preserve">”</w:t>
      </w:r>
      <w:r>
        <w:t xml:space="preserve"> </w:t>
      </w:r>
      <w:r>
        <w:t xml:space="preserve">[Online]. Available:</w:t>
      </w:r>
      <w:r>
        <w:t xml:space="preserve"> </w:t>
      </w:r>
      <w:hyperlink r:id="rId96">
        <w:r>
          <w:rPr>
            <w:rStyle w:val="Hyperlink"/>
          </w:rPr>
          <w:t xml:space="preserve">https://coinmarketcap.com/currencies/bitcoin/</w:t>
        </w:r>
      </w:hyperlink>
      <w:r>
        <w:t xml:space="preserve">. [Accessed: Dec. 2024].</w:t>
      </w:r>
      <w:r>
        <w:t xml:space="preserve"> </w:t>
      </w:r>
      <w:r>
        <w:t xml:space="preserve">D. Cheng, F. Yang, S. Xiang, and J. Liu,</w:t>
      </w:r>
      <w:r>
        <w:t xml:space="preserve"> </w:t>
      </w:r>
      <w:r>
        <w:t xml:space="preserve">“</w:t>
      </w:r>
      <w:r>
        <w:t xml:space="preserve">Financial time series forecasting with multi-modality graph neural network,</w:t>
      </w:r>
      <w:r>
        <w:t xml:space="preserve">”</w:t>
      </w:r>
      <w:r>
        <w:t xml:space="preserve"> </w:t>
      </w:r>
      <w:r>
        <w:rPr>
          <w:i/>
          <w:iCs/>
        </w:rPr>
        <w:t xml:space="preserve">Pattern Recognition</w:t>
      </w:r>
      <w:r>
        <w:t xml:space="preserve">, vol. 121, art. no. 108218, pp. 1–12, Jan. 2022.</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San Francisco, CA, USA, Aug. 2016, pp. 785–794.</w:t>
      </w:r>
      <w:r>
        <w:t xml:space="preserve"> </w:t>
      </w:r>
      <w:r>
        <w:t xml:space="preserve">W. Jiang,</w:t>
      </w:r>
      <w:r>
        <w:t xml:space="preserve"> </w:t>
      </w:r>
      <w:r>
        <w:t xml:space="preserve">“</w:t>
      </w:r>
      <w:r>
        <w:t xml:space="preserve">Applications of deep learning in stock market prediction: Recent progress,</w:t>
      </w:r>
      <w:r>
        <w:t xml:space="preserve">”</w:t>
      </w:r>
      <w:r>
        <w:t xml:space="preserve"> </w:t>
      </w:r>
      <w:r>
        <w:rPr>
          <w:i/>
          <w:iCs/>
        </w:rPr>
        <w:t xml:space="preserve">Expert Systems with Applications</w:t>
      </w:r>
      <w:r>
        <w:t xml:space="preserve">, vol. 184, art. no. 115537, pp. 1–23, Dec. 2021.</w:t>
      </w:r>
      <w:r>
        <w:t xml:space="preserve"> </w:t>
      </w:r>
      <w:r>
        <w:t xml:space="preserve">Y. Lin, S. Liu, H. Yang, H. Wu, and B. Jiang,</w:t>
      </w:r>
      <w:r>
        <w:t xml:space="preserve"> </w:t>
      </w:r>
      <w:r>
        <w:t xml:space="preserve">“</w:t>
      </w:r>
      <w:r>
        <w:t xml:space="preserve">Improving stock trading decisions based on pattern recognition using machine learning technology,</w:t>
      </w:r>
      <w:r>
        <w:t xml:space="preserve">”</w:t>
      </w:r>
      <w:r>
        <w:t xml:space="preserve"> </w:t>
      </w:r>
      <w:r>
        <w:rPr>
          <w:i/>
          <w:iCs/>
        </w:rPr>
        <w:t xml:space="preserve">PLOS ONE</w:t>
      </w:r>
      <w:r>
        <w:t xml:space="preserve">, vol. 16, no. 8, art. no. e0255558, pp. 1–25, Aug. 2021.</w:t>
      </w:r>
      <w:r>
        <w:t xml:space="preserve"> </w:t>
      </w:r>
      <w:r>
        <w:t xml:space="preserve">S. M. Lundberg and S. 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 (NeurIPS)</w:t>
      </w:r>
      <w:r>
        <w:t xml:space="preserve">, vol. 30, Long Beach, CA, USA, Dec. 2017, pp. 4765–4774.</w:t>
      </w:r>
      <w:r>
        <w:t xml:space="preserve"> </w:t>
      </w:r>
      <w:r>
        <w:t xml:space="preserve">U.S. Securities and Exchange Commission,</w:t>
      </w:r>
      <w:r>
        <w:t xml:space="preserve"> </w:t>
      </w:r>
      <w:r>
        <w:t xml:space="preserve">“</w:t>
      </w:r>
      <w:r>
        <w:t xml:space="preserve">Regulation Best Interest: The Broker-Dealer Standard of Conduct,</w:t>
      </w:r>
      <w:r>
        <w:t xml:space="preserve">”</w:t>
      </w:r>
      <w:r>
        <w:t xml:space="preserve"> </w:t>
      </w:r>
      <w:r>
        <w:t xml:space="preserve">17 CFR Part 240, Federal Register, vol. 84, no. 134, pp. 33318–33491, July 2019.</w:t>
      </w:r>
      <w:r>
        <w:t xml:space="preserve"> </w:t>
      </w:r>
      <w:r>
        <w:t xml:space="preserve">R. Kissell,</w:t>
      </w:r>
      <w:r>
        <w:t xml:space="preserve"> </w:t>
      </w:r>
      <w:r>
        <w:rPr>
          <w:i/>
          <w:iCs/>
        </w:rPr>
        <w:t xml:space="preserve">The Science of Algorithmic Trading and Portfolio Management</w:t>
      </w:r>
      <w:r>
        <w:t xml:space="preserve">, 1st ed. San Diego, CA, USA: Academic Press, 2013.</w:t>
      </w:r>
      <w:r>
        <w:t xml:space="preserve"> </w:t>
      </w:r>
      <w:r>
        <w:t xml:space="preserve">Quantopian Inc.,</w:t>
      </w:r>
      <w:r>
        <w:t xml:space="preserve"> </w:t>
      </w:r>
      <w:r>
        <w:t xml:space="preserve">“</w:t>
      </w:r>
      <w:r>
        <w:t xml:space="preserve">Zipline: Pythonic Algorithmic Trading Library,</w:t>
      </w:r>
      <w:r>
        <w:t xml:space="preserve">”</w:t>
      </w:r>
      <w:r>
        <w:t xml:space="preserve"> </w:t>
      </w:r>
      <w:r>
        <w:t xml:space="preserve">[Online]. Available:</w:t>
      </w:r>
      <w:r>
        <w:t xml:space="preserve"> </w:t>
      </w:r>
      <w:hyperlink r:id="rId97">
        <w:r>
          <w:rPr>
            <w:rStyle w:val="Hyperlink"/>
          </w:rPr>
          <w:t xml:space="preserve">https://github.com/quantopian/zipline</w:t>
        </w:r>
      </w:hyperlink>
      <w:r>
        <w:t xml:space="preserve">. [Accessed: Dec. 2024].</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Oct. 2018.</w:t>
      </w:r>
      <w:r>
        <w:t xml:space="preserve"> </w:t>
      </w:r>
      <w:r>
        <w:t xml:space="preserve">L. Alessandretti, A. ElBahrawy, L. M. Aiello, and A. Baronchelli,</w:t>
      </w:r>
      <w:r>
        <w:t xml:space="preserve"> </w:t>
      </w:r>
      <w:r>
        <w:t xml:space="preserve">“</w:t>
      </w:r>
      <w:r>
        <w:t xml:space="preserve">Anticipating cryptocurrency prices using machine learning,</w:t>
      </w:r>
      <w:r>
        <w:t xml:space="preserve">”</w:t>
      </w:r>
      <w:r>
        <w:t xml:space="preserve"> </w:t>
      </w:r>
      <w:r>
        <w:rPr>
          <w:i/>
          <w:iCs/>
        </w:rPr>
        <w:t xml:space="preserve">Complexity</w:t>
      </w:r>
      <w:r>
        <w:t xml:space="preserve">, vol. 2018, art. no. 8983590, pp. 1–16, Nov. 2018.</w:t>
      </w:r>
      <w:r>
        <w:t xml:space="preserve"> </w:t>
      </w:r>
      <w:r>
        <w:t xml:space="preserve">S. Gu, B. Kelly, and D. Xiu,</w:t>
      </w:r>
      <w:r>
        <w:t xml:space="preserve"> </w:t>
      </w:r>
      <w:r>
        <w:t xml:space="preserve">“</w:t>
      </w:r>
      <w:r>
        <w:t xml:space="preserve">Empirical asset pricing via machine learning,</w:t>
      </w:r>
      <w:r>
        <w:t xml:space="preserve">”</w:t>
      </w:r>
      <w:r>
        <w:t xml:space="preserve"> </w:t>
      </w:r>
      <w:r>
        <w:rPr>
          <w:i/>
          <w:iCs/>
        </w:rPr>
        <w:t xml:space="preserve">Review of Financial Studies</w:t>
      </w:r>
      <w:r>
        <w:t xml:space="preserve">, vol. 33, no. 5, pp. 2223–2273, May 2020.</w:t>
      </w:r>
      <w:r>
        <w:t xml:space="preserve"> </w:t>
      </w:r>
      <w:r>
        <w:t xml:space="preserve">A. W. Lo and A. C. MacKinlay,</w:t>
      </w:r>
      <w:r>
        <w:t xml:space="preserve"> </w:t>
      </w:r>
      <w:r>
        <w:rPr>
          <w:i/>
          <w:iCs/>
        </w:rPr>
        <w:t xml:space="preserve">A Non-Random Walk Down Wall Street</w:t>
      </w:r>
      <w:r>
        <w:t xml:space="preserve">, 5th ed. Princeton, NJ, USA: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Nov. 1997.</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Oct. 2001.</w:t>
      </w:r>
      <w:r>
        <w:t xml:space="preserve"> </w:t>
      </w:r>
      <w:r>
        <w:t xml:space="preserve">R. S. Tsay,</w:t>
      </w:r>
      <w:r>
        <w:t xml:space="preserve"> </w:t>
      </w:r>
      <w:r>
        <w:rPr>
          <w:i/>
          <w:iCs/>
        </w:rPr>
        <w:t xml:space="preserve">Analysis of Financial Time Series</w:t>
      </w:r>
      <w:r>
        <w:t xml:space="preserve">, 3rd ed. Hoboken, NJ, USA: John Wiley &amp; Sons, 2010.</w:t>
      </w:r>
      <w:r>
        <w:t xml:space="preserve"> </w:t>
      </w:r>
      <w:r>
        <w:t xml:space="preserve">W. Leigh, R. Purvis, and J. M. Ragusa,</w:t>
      </w:r>
      <w:r>
        <w:t xml:space="preserve"> </w:t>
      </w:r>
      <w:r>
        <w:t xml:space="preserve">“</w:t>
      </w:r>
      <w:r>
        <w:t xml:space="preserve">Forecasting the NYSE composite index with technical analysis, pattern recognizer, neural network, and genetic algorithm: A case study in romantic decision support,</w:t>
      </w:r>
      <w:r>
        <w:t xml:space="preserve">”</w:t>
      </w:r>
      <w:r>
        <w:t xml:space="preserve"> </w:t>
      </w:r>
      <w:r>
        <w:rPr>
          <w:i/>
          <w:iCs/>
        </w:rPr>
        <w:t xml:space="preserve">Decision Support Systems</w:t>
      </w:r>
      <w:r>
        <w:t xml:space="preserve">, vol. 32, no. 4, pp. 361–377, Mar. 2002.</w:t>
      </w:r>
      <w:r>
        <w:t xml:space="preserve"> </w:t>
      </w:r>
      <w:r>
        <w:t xml:space="preserve">Y. Kara, M. A. Boyacioglu, and O. K. Baykan,</w:t>
      </w:r>
      <w:r>
        <w:t xml:space="preserve"> </w:t>
      </w:r>
      <w:r>
        <w:t xml:space="preserve">“</w:t>
      </w:r>
      <w:r>
        <w:t xml:space="preserve">Predicting direction of stock price index movement using artificial neural networks and support vector machines,</w:t>
      </w:r>
      <w:r>
        <w:t xml:space="preserve">”</w:t>
      </w:r>
      <w:r>
        <w:t xml:space="preserve"> </w:t>
      </w:r>
      <w:r>
        <w:rPr>
          <w:i/>
          <w:iCs/>
        </w:rPr>
        <w:t xml:space="preserve">Expert Systems with Applications</w:t>
      </w:r>
      <w:r>
        <w:t xml:space="preserve">, vol. 38, no. 5, pp. 5311–5319, May 2011.</w:t>
      </w:r>
      <w:r>
        <w:t xml:space="preserve"> </w:t>
      </w:r>
      <w:r>
        <w:t xml:space="preserve">O. B. Sezer, M. U. Gudelek, and A. M. Ozbayoglu,</w:t>
      </w:r>
      <w:r>
        <w:t xml:space="preserve"> </w:t>
      </w:r>
      <w:r>
        <w:t xml:space="preserve">“</w:t>
      </w:r>
      <w:r>
        <w:t xml:space="preserve">Financial time series forecasting with deep learning: A systematic literature review: 2005–2019,</w:t>
      </w:r>
      <w:r>
        <w:t xml:space="preserve">”</w:t>
      </w:r>
      <w:r>
        <w:t xml:space="preserve"> </w:t>
      </w:r>
      <w:r>
        <w:rPr>
          <w:i/>
          <w:iCs/>
        </w:rPr>
        <w:t xml:space="preserve">Applied Soft Computing</w:t>
      </w:r>
      <w:r>
        <w:t xml:space="preserve">, vol. 90, art. no. 106181, pp. 1–32, May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Mar. 2011.</w:t>
      </w:r>
      <w:r>
        <w:t xml:space="preserve"> </w:t>
      </w:r>
      <w:r>
        <w:t xml:space="preserve">O. Kraaijeveld and J. De Smedt,</w:t>
      </w:r>
      <w:r>
        <w:t xml:space="preserve"> </w:t>
      </w:r>
      <w:r>
        <w:t xml:space="preserve">“</w:t>
      </w:r>
      <w:r>
        <w:t xml:space="preserve">The predictive power of public Twitter sentiment for forecasting cryptocurrency prices,</w:t>
      </w:r>
      <w:r>
        <w:t xml:space="preserve">”</w:t>
      </w:r>
      <w:r>
        <w:t xml:space="preserve"> </w:t>
      </w:r>
      <w:r>
        <w:rPr>
          <w:i/>
          <w:iCs/>
        </w:rPr>
        <w:t xml:space="preserve">Journal of International Financial Markets, Institutions and Money</w:t>
      </w:r>
      <w:r>
        <w:t xml:space="preserve">, vol. 65, art. no. 101188, pp. 1–22, Mar. 2020.</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t xml:space="preserve">arXiv preprint arXiv:1908.10063, pp. 1–10, Aug. 2019.</w:t>
      </w:r>
      <w:r>
        <w:t xml:space="preserve"> </w:t>
      </w:r>
      <w:r>
        <w:t xml:space="preserve">M. T. Ribeiro, S. Singh, and C. Guestrin,</w:t>
      </w:r>
      <w:r>
        <w:t xml:space="preserve"> </w:t>
      </w:r>
      <w:r>
        <w:t xml:space="preserve">“</w:t>
      </w:r>
      <w:r>
        <w:t xml:space="preserve">Why should I trust you?: Explaining the predictions of any classifier,</w:t>
      </w:r>
      <w:r>
        <w:t xml:space="preserve">”</w:t>
      </w:r>
      <w:r>
        <w:t xml:space="preserve"> </w:t>
      </w:r>
      <w:r>
        <w:t xml:space="preserve">in</w:t>
      </w:r>
      <w:r>
        <w:t xml:space="preserve"> </w:t>
      </w:r>
      <w:r>
        <w:rPr>
          <w:i/>
          <w:iCs/>
        </w:rPr>
        <w:t xml:space="preserve">Proc. 22nd ACM SIGKDD Int. Conf. Knowledge Discovery and Data Mining</w:t>
      </w:r>
      <w:r>
        <w:t xml:space="preserve">, San Francisco, CA, USA, Aug. 2016, pp. 1135–1144.</w:t>
      </w:r>
      <w:r>
        <w:t xml:space="preserve"> </w:t>
      </w:r>
      <w:r>
        <w:t xml:space="preserve">MSCI and S&amp;P Dow Jones Indices,</w:t>
      </w:r>
      <w:r>
        <w:t xml:space="preserve"> </w:t>
      </w:r>
      <w:r>
        <w:t xml:space="preserve">“</w:t>
      </w:r>
      <w:r>
        <w:t xml:space="preserve">Global Industry Classification Standard (GICS),</w:t>
      </w:r>
      <w:r>
        <w:t xml:space="preserve">”</w:t>
      </w:r>
      <w:r>
        <w:t xml:space="preserve"> </w:t>
      </w:r>
      <w:r>
        <w:t xml:space="preserve">[Online]. Available:</w:t>
      </w:r>
      <w:r>
        <w:t xml:space="preserve"> </w:t>
      </w:r>
      <w:hyperlink r:id="rId98">
        <w:r>
          <w:rPr>
            <w:rStyle w:val="Hyperlink"/>
          </w:rPr>
          <w:t xml:space="preserve">https://www.msci.com/gics</w:t>
        </w:r>
      </w:hyperlink>
      <w:r>
        <w:t xml:space="preserve">. [Accessed: Dec. 2024].</w:t>
      </w:r>
      <w:r>
        <w:t xml:space="preserve"> </w:t>
      </w:r>
      <w:r>
        <w:t xml:space="preserve">N. Jegadeesh and S. Titman,</w:t>
      </w:r>
      <w:r>
        <w:t xml:space="preserve"> </w:t>
      </w:r>
      <w:r>
        <w:t xml:space="preserve">“</w:t>
      </w:r>
      <w:r>
        <w:t xml:space="preserve">Returns to buying winners and selling losers: Implications for stock market efficiency,</w:t>
      </w:r>
      <w:r>
        <w:t xml:space="preserve">”</w:t>
      </w:r>
      <w:r>
        <w:t xml:space="preserve"> </w:t>
      </w:r>
      <w:r>
        <w:rPr>
          <w:i/>
          <w:iCs/>
        </w:rPr>
        <w:t xml:space="preserve">The Journal of Finance</w:t>
      </w:r>
      <w:r>
        <w:t xml:space="preserve">, vol. 48, no. 1, pp. 65–91, Mar. 1993.</w:t>
      </w:r>
    </w:p>
    <w:bookmarkEnd w:id="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hyperlink r:id="rId33">
        <w:r>
          <w:rPr>
            <w:rStyle w:val="Hyperlink"/>
          </w:rPr>
          <w:t xml:space="preserve">https://finance.yahoo.com/</w:t>
        </w:r>
      </w:hyperlink>
    </w:p>
  </w:footnote>
  <w:footnote w:id="34">
    <w:p>
      <w:pPr>
        <w:pStyle w:val="FootnoteText"/>
      </w:pPr>
      <w:r>
        <w:rPr>
          <w:rStyle w:val="FootnoteReference"/>
        </w:rPr>
        <w:footnoteRef/>
      </w:r>
      <w:r>
        <w:t xml:space="preserve"> </w:t>
      </w:r>
      <w:hyperlink r:id="rId35">
        <w:r>
          <w:rPr>
            <w:rStyle w:val="Hyperlink"/>
          </w:rPr>
          <w:t xml:space="preserve">https://coinmarketcap.com/api/</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7" Target="media/rId57.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78" Target="media/rId78.png" /><Relationship Type="http://schemas.openxmlformats.org/officeDocument/2006/relationships/hyperlink" Id="rId35" Target="https://coinmarketcap.com/api/" TargetMode="External" /><Relationship Type="http://schemas.openxmlformats.org/officeDocument/2006/relationships/hyperlink" Id="rId96" Target="https://coinmarketcap.com/currencies/bitcoin/" TargetMode="External" /><Relationship Type="http://schemas.openxmlformats.org/officeDocument/2006/relationships/hyperlink" Id="rId33" Target="https://finance.yahoo.com/" TargetMode="External" /><Relationship Type="http://schemas.openxmlformats.org/officeDocument/2006/relationships/hyperlink" Id="rId20" Target="https://github.com/djedgar1018/IntelliTradeAI" TargetMode="External" /><Relationship Type="http://schemas.openxmlformats.org/officeDocument/2006/relationships/hyperlink" Id="rId97" Target="https://github.com/quantopian/zipline" TargetMode="External" /><Relationship Type="http://schemas.openxmlformats.org/officeDocument/2006/relationships/hyperlink" Id="rId98" Target="https://www.msci.com/gics" TargetMode="External" /></Relationships>
</file>

<file path=word/_rels/footnotes.xml.rels><?xml version="1.0" encoding="UTF-8"?><Relationships xmlns="http://schemas.openxmlformats.org/package/2006/relationships"><Relationship Type="http://schemas.openxmlformats.org/officeDocument/2006/relationships/hyperlink" Id="rId35" Target="https://coinmarketcap.com/api/" TargetMode="External" /><Relationship Type="http://schemas.openxmlformats.org/officeDocument/2006/relationships/hyperlink" Id="rId96" Target="https://coinmarketcap.com/currencies/bitcoin/" TargetMode="External" /><Relationship Type="http://schemas.openxmlformats.org/officeDocument/2006/relationships/hyperlink" Id="rId33" Target="https://finance.yahoo.com/" TargetMode="External" /><Relationship Type="http://schemas.openxmlformats.org/officeDocument/2006/relationships/hyperlink" Id="rId20" Target="https://github.com/djedgar1018/IntelliTradeAI" TargetMode="External" /><Relationship Type="http://schemas.openxmlformats.org/officeDocument/2006/relationships/hyperlink" Id="rId97" Target="https://github.com/quantopian/zipline" TargetMode="External" /><Relationship Type="http://schemas.openxmlformats.org/officeDocument/2006/relationships/hyperlink" Id="rId98" Target="https://www.msci.com/g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2026-01-16T00:43:45Z</dcterms:created>
  <dcterms:modified xsi:type="dcterms:W3CDTF">2026-01-16T00:43:45Z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growing complexity of financial markets requires intelligent systems that can process vast amounts of data while providing transparent decision-making. Here we presents IntelliTradeAI, an Artificial Intelligence (AI)-powered trading agent that combines Machine Learning (ML) ensemble methods with pattern recognition and news intelligence through a novel tri-signal fusion architecture. Our system employs an ensemble framework by combining Random Forest, XGBoost, and voting ensemble classifiers, trained on 70 engineered technical indicators to generate BUY/SELL/HOLD signals. Through Synthetic Minority Over-sampling Technique (SMOTE) class balancing, time-series cross-validation to prevent data leakage, and Bayesian hyperparameter optimization, we achieve prediction accuracy of 85.2% for stocks and 72.9% for the top 10 cryptocurrencies using volatility-aware adaptive thresholds. The system incorporates explainable AI through SHapley Additive exPlanations (SHAP) analysis and U.S. Securities and Exchange Commission (SEC)-compliant risk disclosures, addressing the critical need for transparency in algorithmic trading. Our contributions include a comprehensive backtesting framework, personalized risk-based trading plans, and an interactive dashboard supporting both manual and automated trading modes. IntelliTradeAI is freely available at https://github.com/djedgar1018/IntelliTradeAI.</vt:lpwstr>
  </property>
</Properties>
</file>