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ensemble combining Random Forest, XGBoost, RandomForest + XGBoost, and voting ensemble classifiers,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85.2% for cryptocurrency markets and 52.4% for stock markets, with the tri-signal fusion approach improving standalone ML accuracy by 5.4 percentage points (9.9%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w:t>
      </w:r>
    </w:p>
    <w:p>
      <w:pPr>
        <w:pStyle w:val="FirstParagraph"/>
      </w:pPr>
      <w:r>
        <w:t xml:space="preserve">Signal Fusion, Explainable AI, Cryptocurrency, Stock Prediction, Ensemble Learning</w:t>
      </w:r>
    </w:p>
    <w:bookmarkStart w:id="23"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0" w:name="current-trends-in-ai-powered-trading"/>
    <w:p>
      <w:pPr>
        <w:pStyle w:val="Heading2"/>
      </w:pPr>
      <w:r>
        <w:t xml:space="preserve">Current Trends in AI-Powered Trading</w:t>
      </w:r>
    </w:p>
    <w:p>
      <w:pPr>
        <w:pStyle w:val="FirstParagraph"/>
      </w:pPr>
      <w:r>
        <w:t>Machine learning applications in finance have evolved significantly from simple rule-based systems to sophisticated deep learning architectures. Chen et al. demonstrated that ensemble methods combining multiple classifiers achieve superior performance in stock prediction tasks, with Random Forest models showing particular strength in handling noisy financial data . The application of RandomForest + XGBoost techniques, specifically XGBoost, has become prevalent due to its regularization capabilities and handling of missing values common in financial datasets .</w:t>
      </w:r>
    </w:p>
    <w:p>
      <w:pPr>
        <w:pStyle w:val="BodyText"/>
      </w:pPr>
      <w:r>
        <w:t xml:space="preserve">Recent literature emphasizes the importance of multi-source signal integration. Jiang and Liang proposed fusion architectures that combine technical indicators with sentiment analysis, achieving 12% improvement over single-source models</w:t>
      </w:r>
      <w:r>
        <w:t xml:space="preserve"> </w:t>
      </w:r>
      <w:r>
        <w:t xml:space="preserve">. Similarly, Patterson and Koller showed that pattern recognition algorithms, when combined with machine learning predictions, reduce false signal rates by 15-20%</w:t>
      </w:r>
      <w:r>
        <w:t xml:space="preserve"> </w:t>
      </w:r>
      <w:r>
        <w:t xml:space="preserve">.</w:t>
      </w:r>
    </w:p>
    <w:p>
      <w:pPr>
        <w:pStyle w:val="BodyText"/>
      </w:pPr>
      <w:r>
        <w:t xml:space="preserve">The emergence of explainable AI (XAI) in finance addresses regulatory concerns and user trust. SHapley Additive exPlanations (SHAP) values have become the standard for interpreting complex model predictions, with Lundberg and Lee demonstrating that SHAP provides locally accurate, consistent feature attributions that satisfy key theoretical properties including local accuracy, missingness, and consistency</w:t>
      </w:r>
      <w:r>
        <w:t xml:space="preserve">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0"/>
    <w:bookmarkStart w:id="21"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1"/>
    <w:bookmarkStart w:id="22"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This paper addresses these gaps through IntelliTradeAI, offering the following contributions:</w:t>
      </w:r>
    </w:p>
    <w:p>
      <w:pPr>
        <w:numPr>
          <w:ilvl w:val="0"/>
          <w:numId w:val="1001"/>
        </w:numPr>
      </w:pPr>
      <w:r>
        <w:rPr>
          <w:b/>
          <w:bCs/>
        </w:rPr>
        <w:t xml:space="preserve">Tri-Signal Fusion Architecture</w:t>
      </w:r>
      <w:r>
        <w:t xml:space="preserve">: A novel weighted voting mechanism combining ML ensemble predictions, chart pattern recognition, and news intelligence with smart conflict resolution.</w:t>
      </w:r>
    </w:p>
    <w:p>
      <w:pPr>
        <w:numPr>
          <w:ilvl w:val="0"/>
          <w:numId w:val="1001"/>
        </w:numPr>
      </w:pPr>
      <w:r>
        <w:t>Cross-Market Analysis: Unified framework supporting 39 cryptocurrencies, 108 stocks, and 10 ETFs across 12 sectors and comprehensive stock market coverage including all 11 Global Industry Classification Standard (GICS) sectors .</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Personalized Trading Plans</w:t>
      </w:r>
      <w:r>
        <w:t xml:space="preserve">: Five-tier risk tolerance system (Conservative to Speculative) with customized asset allocation and options recommendations.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2"/>
    <w:bookmarkEnd w:id="23"/>
    <w:bookmarkStart w:id="27" w:name="related-work"/>
    <w:p>
      <w:pPr>
        <w:pStyle w:val="Heading1"/>
      </w:pPr>
      <w:r>
        <w:t xml:space="preserve">Related Work</w:t>
      </w:r>
    </w:p>
    <w:bookmarkStart w:id="24" w:name="machine-learning-in-financial-prediction"/>
    <w:p>
      <w:pPr>
        <w:pStyle w:val="Heading2"/>
      </w:pPr>
      <w:r>
        <w:t xml:space="preserve">Machine Learning in Financial Prediction</w:t>
      </w:r>
    </w:p>
    <w:p>
      <w:pPr>
        <w:pStyle w:val="FirstParagraph"/>
      </w:pPr>
      <w:r>
        <w:t xml:space="preserve">The application of machine learning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LSTM networks showing promise in capturing temporal dependencies in price series</w:t>
      </w:r>
      <w:r>
        <w:t xml:space="preserve"> </w:t>
      </w:r>
      <w:r>
        <w:t xml:space="preserve">.</w:t>
      </w:r>
    </w:p>
    <w:p>
      <w:pPr>
        <w:pStyle w:val="BodyText"/>
      </w:pPr>
      <w:r>
        <w:t xml:space="preserve">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bookmarkEnd w:id="24"/>
    <w:bookmarkStart w:id="25" w:name="X55c80ab095e998e8e236192b1653846cacfae1b"/>
    <w:p>
      <w:pPr>
        <w:pStyle w:val="Heading2"/>
      </w:pPr>
      <w:r>
        <w:t xml:space="preserve">Technical Analysis and Pattern Recognition</w:t>
      </w:r>
    </w:p>
    <w:p>
      <w:pPr>
        <w:pStyle w:val="FirstParagraph"/>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(RSI, MACD, Bollinger Bands) with machine learning features has shown synergistic effects</w:t>
      </w:r>
      <w:r>
        <w:t xml:space="preserve"> </w:t>
      </w:r>
      <w:r>
        <w:t xml:space="preserve">.</w:t>
      </w:r>
    </w:p>
    <w:p>
      <w:pPr>
        <w:pStyle w:val="BodyText"/>
      </w:pPr>
      <w:r>
        <w:t xml:space="preserve">Recent work by Sezer et al. applied convolutional neural networks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NLP models, including FinBERT specifically trained on financial text, have improved sentiment classification accuracy to over 90%</w:t>
      </w:r>
      <w:r>
        <w:t xml:space="preserve"> </w:t>
      </w:r>
      <w:r>
        <w:t xml:space="preserve">.</w:t>
      </w:r>
    </w:p>
    <w:bookmarkEnd w:id="26"/>
    <w:bookmarkEnd w:id="27"/>
    <w:bookmarkStart w:id="41"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APIs including Yahoo Finance for historical OHLCV data and CoinMarketCap for real-time cryptocurrency prices. The Feature Engineering Pipeline transforms raw price data into 70 technical indicators (see Table </w:t>
      </w:r>
      <w:hyperlink w:anchor="tab:features">
        <w:r>
          <w:rPr>
            <w:rStyle w:val="Hyperlink"/>
          </w:rPr>
          <w:t xml:space="preserve">1</w:t>
        </w:r>
      </w:hyperlink>
      <w:r>
        <w:t xml:space="preserve"> </w:t>
      </w:r>
      <w:r>
        <w:t xml:space="preserve">for breakdown). The Machine Learning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3798483"/>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3798483"/>
                    </a:xfrm>
                    <a:prstGeom prst="rect">
                      <a:avLst/>
                    </a:prstGeom>
                    <a:noFill/>
                    <a:ln w="9525">
                      <a:noFill/>
                      <a:headEnd/>
                      <a:tailEnd/>
                    </a:ln>
                  </pic:spPr>
                </pic:pic>
              </a:graphicData>
            </a:graphic>
          </wp:inline>
        </w:drawing>
      </w:r>
    </w:p>
    <w:p>
      <w:pPr>
        <w:pStyle w:val="ImageCaption"/>
      </w:pPr>
      <w:r>
        <w:t xml:space="preserve">IntelliTradeAI system architecture and methodology flow diagram showing the data pipeline from ingestion through tri-signal fusion to final signal output.</w:t>
      </w:r>
    </w:p>
    <w:bookmarkEnd w:id="31"/>
    <w:bookmarkStart w:id="32" w:name="data-sources-and-preprocessing"/>
    <w:p>
      <w:pPr>
        <w:pStyle w:val="Heading2"/>
      </w:pPr>
      <w:r>
        <w:t xml:space="preserve">Data Sources and Preprocessing</w:t>
      </w:r>
    </w:p>
    <w:p>
      <w:pPr>
        <w:pStyle w:val="FirstParagraph"/>
      </w:pPr>
      <w:r>
        <w:t xml:space="preserve">Historical price data is obtained through Yahoo Finance API, providing up to 10 years of daily OHLCV data for both stocks and cryptocurrencies. Real-time cryptocurrency data is supplemented through CoinMarketCap API.</w:t>
      </w:r>
    </w:p>
    <w:p>
      <w:pPr>
        <w:pStyle w:val="BodyText"/>
      </w:pPr>
      <w:r>
        <w:t xml:space="preserve">Data preprocessing includes missing value handling through forward-fill interpolation, Z-score based outlier filtering removing data points exceeding 4 standard deviations, min-max scaling for feature normalization, and UTC standardization across all data sources.</w:t>
      </w:r>
    </w:p>
    <w:bookmarkEnd w:id="32"/>
    <w:bookmarkStart w:id="35" w:name="feature-engineering"/>
    <w:p>
      <w:pPr>
        <w:pStyle w:val="Heading2"/>
      </w:pPr>
      <w:r>
        <w:t xml:space="preserve">Feature Engineering</w:t>
      </w:r>
    </w:p>
    <w:p>
      <w:pPr>
        <w:pStyle w:val="FirstParagraph"/>
      </w:pPr>
      <w:r>
        <w:t xml:space="preserve">The feature engineering pipeline generates exactly 70 predictive features organized into seven categories as shown in Table </w:t>
      </w:r>
      <w:hyperlink w:anchor="tab:features">
        <w:r>
          <w:rPr>
            <w:rStyle w:val="Hyperlink"/>
          </w:rPr>
          <w:t xml:space="preserve">1</w:t>
        </w:r>
      </w:hyperlink>
      <w:r>
        <w:t xml:space="preserve">.</w:t>
      </w:r>
    </w:p>
    <w:bookmarkStart w:id="33"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 (20, 50, 200), EMA (12, 26)</w:t>
            </w:r>
          </w:p>
        </w:tc>
        <w:tc>
          <w:tcPr/>
          <w:p>
            <w:pPr>
              <w:pStyle w:val="Compact"/>
              <w:jc w:val="center"/>
            </w:pPr>
            <w:r>
              <w:t xml:space="preserve">12</w:t>
            </w:r>
          </w:p>
        </w:tc>
      </w:tr>
      <w:tr>
        <w:tc>
          <w:tcPr/>
          <w:p>
            <w:pPr>
              <w:pStyle w:val="Compact"/>
              <w:jc w:val="left"/>
            </w:pPr>
            <w:r>
              <w:t xml:space="preserve">Momentum</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bl>
    <w:bookmarkEnd w:id="33"/>
    <w:p>
      <w:pPr>
        <w:pStyle w:val="BodyText"/>
      </w:pPr>
      <w:bookmarkStart w:id="34" w:name="tab:features"/>
      <w:bookmarkEnd w:id="34"/>
    </w:p>
    <w:p>
      <w:pPr>
        <w:pStyle w:val="BodyText"/>
      </w:pPr>
      <w:r>
        <w:t xml:space="preserve">The Relative Strength Index exemplifies momentum calculation:</w:t>
      </w:r>
    </w:p>
    <w:p>
      <w:pPr>
        <w:pStyle w:val="BodyText"/>
      </w:pPr>
      <m:oMathPara>
        <m:oMathParaPr>
          <m:jc m:val="center"/>
        </m:oMathParaPr>
        <m:oMath>
          <m:r>
            <m:t>R</m:t>
          </m:r>
          <m:r>
            <m:t>S</m:t>
          </m:r>
          <m:r>
            <m:t>I</m:t>
          </m:r>
          <m:r>
            <m:rPr>
              <m:sty m:val="p"/>
            </m:rPr>
            <m:t>=</m:t>
          </m:r>
          <m:r>
            <m:t>100</m:t>
          </m:r>
          <m:r>
            <m:rPr>
              <m:sty m:val="p"/>
            </m:rPr>
            <m:t>−</m:t>
          </m:r>
          <m:f>
            <m:fPr>
              <m:type m:val="bar"/>
            </m:fPr>
            <m:num>
              <m:r>
                <m:t>100</m:t>
              </m:r>
            </m:num>
            <m:den>
              <m:r>
                <m:t>1</m:t>
              </m:r>
              <m:r>
                <m:rPr>
                  <m:sty m:val="p"/>
                </m:rPr>
                <m:t>+</m:t>
              </m:r>
              <m:r>
                <m:t>R</m:t>
              </m:r>
              <m:r>
                <m:t>S</m:t>
              </m:r>
            </m:den>
          </m:f>
        </m:oMath>
      </m:oMathPara>
    </w:p>
    <w:p>
      <w:pPr>
        <w:pStyle w:val="FirstParagraph"/>
      </w:pPr>
      <w:r>
        <w:t xml:space="preserve">where</w:t>
      </w:r>
      <w:r>
        <w:t xml:space="preserve"> </w:t>
      </w:r>
      <m:oMath>
        <m:r>
          <m:t>R</m:t>
        </m:r>
        <m:r>
          <m:t>S</m:t>
        </m:r>
        <m:r>
          <m:rPr>
            <m:sty m:val="p"/>
          </m:rPr>
          <m:t>=</m:t>
        </m:r>
        <m:r>
          <m:rPr>
            <m:nor/>
            <m:sty m:val="p"/>
          </m:rPr>
          <m:t>Average Gain</m:t>
        </m:r>
        <m:r>
          <m:rPr>
            <m:sty m:val="p"/>
          </m:rPr>
          <m:t>/</m:t>
        </m:r>
        <m:r>
          <m:rPr>
            <m:nor/>
            <m:sty m:val="p"/>
          </m:rPr>
          <m:t>Average Loss</m:t>
        </m:r>
      </m:oMath>
      <w:r>
        <w:t xml:space="preserve"> </w:t>
      </w:r>
      <w:r>
        <w:t xml:space="preserve">over 14 periods.</w:t>
      </w:r>
    </w:p>
    <w:bookmarkEnd w:id="35"/>
    <w:bookmarkStart w:id="38" w:name="machine-learning-models"/>
    <w:p>
      <w:pPr>
        <w:pStyle w:val="Heading2"/>
      </w:pPr>
      <w:r>
        <w:t xml:space="preserve">Machine Learning Models</w:t>
      </w:r>
    </w:p>
    <w:p>
      <w:pPr>
        <w:pStyle w:val="FirstParagraph"/>
      </w:pPr>
      <w:r>
        <w:t>We employ a stacking ensemble combining four complementary base learners with a logistic regression meta-learner. The enhanced bidirectional LSTM uses three layers (128, 64, 32 units) with attention mechanisms, dropout (30%), and batch normalization. Random Forest uses 200 trees with depth 15 and balanced class weights. XGBoost uses 300 boosting rounds with learning rate 0.05. LightGBM uses 300 rounds with 31 leaves for fast RandomForest + XGBoost. We apply SMOTE for class balancing and TimeSeriesSplit cross-validation to prevent data leakage, with Bayesian hyperparameter optimization via Optuna (50 trials).</w:t>
      </w:r>
    </w:p>
    <w:bookmarkStart w:id="36" w:name="tab:models"/>
    <w:p>
      <w:pPr>
        <w:pStyle w:val="TableCaption"/>
      </w:pPr>
      <w:r>
        <w:t xml:space="preserve">Stacking Ensemble Model Configuration</w:t>
      </w:r>
    </w:p>
    <w:tbl>
      <w:tblPr>
        <w:tblStyle w:val="Table"/>
        <w:tblW w:type="auto" w:w="0"/>
        <w:jc w:val="left"/>
        <w:tblLook w:firstRow="1" w:lastRow="0" w:firstColumn="0" w:lastColumn="0" w:noHBand="0" w:noVBand="0" w:val="0020"/>
        <w:tblCaption w:val="Stacking Ensemble Model Configuration"/>
      </w:tblPr>
      <w:tblGrid>
        <w:gridCol w:w="1584"/>
        <w:gridCol w:w="1584"/>
        <w:gridCol w:w="1584"/>
        <w:gridCol w:w="1584"/>
        <w:gridCol w:w="1584"/>
      </w:tblGrid>
      <w:tr>
        <w:trPr>
          <w:tblHeader w:val="on"/>
        </w:trPr>
        <w:tc>
          <w:tcPr/>
          <w:p>
            <w:pPr>
              <w:pStyle w:val="Compact"/>
              <w:jc w:val="left"/>
            </w:pPr>
            <w:r>
              <w:rPr>
                <w:b/>
                <w:bCs/>
              </w:rPr>
              <w:t xml:space="preserve">Parameter</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XGBoost</w:t>
            </w:r>
          </w:p>
        </w:tc>
        <w:tc>
          <w:tcPr/>
          <w:p>
            <w:pPr>
              <w:pStyle w:val="Compact"/>
              <w:jc w:val="center"/>
            </w:pPr>
            <w:r>
              <w:rPr>
                <w:b/>
                <w:bCs/>
              </w:rPr>
              <w:t xml:space="preserve">LightGBM</w:t>
            </w:r>
          </w:p>
        </w:tc>
      </w:tr>
      <w:tr>
        <w:tc>
          <w:tcPr/>
          <w:p>
            <w:pPr>
              <w:pStyle w:val="Compact"/>
              <w:jc w:val="left"/>
            </w:pPr>
            <w:r>
              <w:t xml:space="preserve">Architecture</w:t>
            </w:r>
          </w:p>
        </w:tc>
        <w:tc>
          <w:tcPr/>
          <w:p>
            <w:pPr>
              <w:pStyle w:val="Compact"/>
              <w:jc w:val="center"/>
            </w:pPr>
            <w:r>
              <w:t xml:space="preserve">3-layer BiLSTM</w:t>
            </w:r>
          </w:p>
        </w:tc>
        <w:tc>
          <w:tcPr/>
          <w:p>
            <w:pPr>
              <w:pStyle w:val="Compact"/>
              <w:jc w:val="center"/>
            </w:pPr>
            <w:r>
              <w:t xml:space="preserve">200 trees</w:t>
            </w:r>
          </w:p>
        </w:tc>
        <w:tc>
          <w:tcPr/>
          <w:p>
            <w:pPr>
              <w:pStyle w:val="Compact"/>
              <w:jc w:val="center"/>
            </w:pPr>
            <w:r>
              <w:t xml:space="preserve">300 rounds</w:t>
            </w:r>
          </w:p>
        </w:tc>
        <w:tc>
          <w:tcPr/>
          <w:p>
            <w:pPr>
              <w:pStyle w:val="Compact"/>
              <w:jc w:val="center"/>
            </w:pPr>
            <w:r>
              <w:t xml:space="preserve">300 rounds</w:t>
            </w:r>
          </w:p>
        </w:tc>
      </w:tr>
      <w:tr>
        <w:tc>
          <w:tcPr/>
          <w:p>
            <w:pPr>
              <w:pStyle w:val="Compact"/>
              <w:jc w:val="left"/>
            </w:pPr>
            <w:r>
              <w:t xml:space="preserve">Units/Depth</w:t>
            </w:r>
          </w:p>
        </w:tc>
        <w:tc>
          <w:tcPr/>
          <w:p>
            <w:pPr>
              <w:pStyle w:val="Compact"/>
              <w:jc w:val="center"/>
            </w:pPr>
            <w:r>
              <w:t xml:space="preserve">128-64-32</w:t>
            </w:r>
          </w:p>
        </w:tc>
        <w:tc>
          <w:tcPr/>
          <w:p>
            <w:pPr>
              <w:pStyle w:val="Compact"/>
              <w:jc w:val="center"/>
            </w:pPr>
            <w:r>
              <w:t xml:space="preserve">depth=15</w:t>
            </w:r>
          </w:p>
        </w:tc>
        <w:tc>
          <w:tcPr/>
          <w:p>
            <w:pPr>
              <w:pStyle w:val="Compact"/>
              <w:jc w:val="center"/>
            </w:pPr>
            <w:r>
              <w:t xml:space="preserve">depth=6</w:t>
            </w:r>
          </w:p>
        </w:tc>
        <w:tc>
          <w:tcPr/>
          <w:p>
            <w:pPr>
              <w:pStyle w:val="Compact"/>
              <w:jc w:val="center"/>
            </w:pPr>
            <w:r>
              <w:t xml:space="preserve">leaves=31</w:t>
            </w:r>
          </w:p>
        </w:tc>
      </w:tr>
      <w:tr>
        <w:tc>
          <w:tcPr/>
          <w:p>
            <w:pPr>
              <w:pStyle w:val="Compact"/>
              <w:jc w:val="left"/>
            </w:pPr>
            <w:r>
              <w:t xml:space="preserve">Regularization</w:t>
            </w:r>
          </w:p>
        </w:tc>
        <w:tc>
          <w:tcPr/>
          <w:p>
            <w:pPr>
              <w:pStyle w:val="Compact"/>
              <w:jc w:val="center"/>
            </w:pPr>
            <w:r>
              <w:t xml:space="preserve">Dropout 0.3</w:t>
            </w:r>
          </w:p>
        </w:tc>
        <w:tc>
          <w:tcPr/>
          <w:p>
            <w:pPr>
              <w:pStyle w:val="Compact"/>
              <w:jc w:val="center"/>
            </w:pPr>
            <w:r>
              <w:t xml:space="preserve">balanced</w:t>
            </w:r>
          </w:p>
        </w:tc>
        <w:tc>
          <w:tcPr/>
          <w:p>
            <w:pPr>
              <w:pStyle w:val="Compact"/>
              <w:jc w:val="center"/>
            </w:pPr>
            <w:r>
              <w:t xml:space="preserve">L1/L2</w:t>
            </w:r>
          </w:p>
        </w:tc>
        <w:tc>
          <w:tcPr/>
          <w:p>
            <w:pPr>
              <w:pStyle w:val="Compact"/>
              <w:jc w:val="center"/>
            </w:pPr>
            <w:r>
              <w:t xml:space="preserve">L1/L2</w:t>
            </w:r>
          </w:p>
        </w:tc>
      </w:tr>
      <w:tr>
        <w:tc>
          <w:tcPr/>
          <w:p>
            <w:pPr>
              <w:pStyle w:val="Compact"/>
              <w:jc w:val="left"/>
            </w:pPr>
            <w:r>
              <w:t xml:space="preserve">Training Time</w:t>
            </w:r>
          </w:p>
        </w:tc>
        <w:tc>
          <w:tcPr/>
          <w:p>
            <w:pPr>
              <w:pStyle w:val="Compact"/>
              <w:jc w:val="center"/>
            </w:pPr>
            <m:oMath>
              <m:r>
                <m:rPr>
                  <m:sty m:val="p"/>
                </m:rPr>
                <m:t>∼</m:t>
              </m:r>
            </m:oMath>
            <w:r>
              <w:t xml:space="preserve">180 sec</w:t>
            </w:r>
          </w:p>
        </w:tc>
        <w:tc>
          <w:tcPr/>
          <w:p>
            <w:pPr>
              <w:pStyle w:val="Compact"/>
              <w:jc w:val="center"/>
            </w:pPr>
            <m:oMath>
              <m:r>
                <m:rPr>
                  <m:sty m:val="p"/>
                </m:rPr>
                <m:t>∼</m:t>
              </m:r>
            </m:oMath>
            <w:r>
              <w:t xml:space="preserve">60 sec</w:t>
            </w:r>
          </w:p>
        </w:tc>
        <w:tc>
          <w:tcPr/>
          <w:p>
            <w:pPr>
              <w:pStyle w:val="Compact"/>
              <w:jc w:val="center"/>
            </w:pPr>
            <m:oMath>
              <m:r>
                <m:rPr>
                  <m:sty m:val="p"/>
                </m:rPr>
                <m:t>∼</m:t>
              </m:r>
            </m:oMath>
            <w:r>
              <w:t xml:space="preserve">75 sec</w:t>
            </w:r>
          </w:p>
        </w:tc>
        <w:tc>
          <w:tcPr/>
          <w:p>
            <w:pPr>
              <w:pStyle w:val="Compact"/>
              <w:jc w:val="center"/>
            </w:pPr>
            <m:oMath>
              <m:r>
                <m:rPr>
                  <m:sty m:val="p"/>
                </m:rPr>
                <m:t>∼</m:t>
              </m:r>
            </m:oMath>
            <w:r>
              <w:t xml:space="preserve">45 sec</w:t>
            </w:r>
          </w:p>
        </w:tc>
      </w:tr>
    </w:tbl>
    <w:bookmarkEnd w:id="36"/>
    <w:p>
      <w:pPr>
        <w:pStyle w:val="BodyText"/>
      </w:pPr>
      <w:bookmarkStart w:id="37" w:name="tab:models"/>
      <w:bookmarkEnd w:id="37"/>
    </w:p>
    <w:bookmarkEnd w:id="38"/>
    <w:bookmarkStart w:id="39" w:name="tri-signal-fusion-engine"/>
    <w:p>
      <w:pPr>
        <w:pStyle w:val="Heading2"/>
      </w:pPr>
      <w:r>
        <w:t xml:space="preserve">Tri-Signal Fusion Engine</w:t>
      </w:r>
    </w:p>
    <w:p>
      <w:pPr>
        <w:pStyle w:val="FirstParagraph"/>
      </w:pPr>
      <w:r>
        <w:t xml:space="preserve">The core innovation combines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where default weights are</w:t>
      </w:r>
      <w:r>
        <w:t xml:space="preserve">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w:t>
      </w:r>
    </w:p>
    <w:p>
      <w:pPr>
        <w:pStyle w:val="BodyText"/>
      </w:pPr>
      <w:r>
        <w:t xml:space="preserve">Conflict resolution applies when signals disagree: (1) If ML confidence exceeds 85%, ML signal dominates; (2) If pattern confidence exceeds 70%, apply pattern override; (3) For remaining conflicts, return weighted average with HOLD bias.</w:t>
      </w:r>
    </w:p>
    <w:bookmarkEnd w:id="39"/>
    <w:bookmarkStart w:id="40" w:name="backtesting-framework"/>
    <w:p>
      <w:pPr>
        <w:pStyle w:val="Heading2"/>
      </w:pPr>
      <w:r>
        <w:t xml:space="preserve">Backtesting Framework</w:t>
      </w:r>
    </w:p>
    <w:p>
      <w:pPr>
        <w:pStyle w:val="FirstParagraph"/>
      </w:pPr>
      <w:r>
        <w:t xml:space="preserve">The custom backtesting engine evaluates strategy performance through walk-forward optimization with 252-day training window, 21-day testing window, $10,000 initial capital, 0.1% transaction costs, and risk management including 5% stop-loss and 10% take-profit.</w:t>
      </w:r>
    </w:p>
    <w:bookmarkEnd w:id="40"/>
    <w:bookmarkEnd w:id="41"/>
    <w:bookmarkStart w:id="58" w:name="results"/>
    <w:p>
      <w:pPr>
        <w:pStyle w:val="Heading1"/>
      </w:pPr>
      <w:r>
        <w:t xml:space="preserve">Results</w:t>
      </w:r>
    </w:p>
    <w:bookmarkStart w:id="47" w:name="model-training-performance"/>
    <w:p>
      <w:pPr>
        <w:pStyle w:val="Heading2"/>
      </w:pPr>
      <w:r>
        <w:t xml:space="preserve">Model Training Performance</w:t>
      </w:r>
    </w:p>
    <w:p>
      <w:pPr>
        <w:pStyle w:val="FirstParagraph"/>
      </w:pPr>
      <w:r>
        <w:t xml:space="preserve">Fig. </w:t>
      </w:r>
      <w:hyperlink w:anchor="fig:loss">
        <w:r>
          <w:rPr>
            <w:rStyle w:val="Hyperlink"/>
          </w:rPr>
          <w:t xml:space="preserve">2</w:t>
        </w:r>
      </w:hyperlink>
      <w:r>
        <w:t xml:space="preserve"> </w:t>
      </w:r>
      <w:r>
        <w:t xml:space="preserve">presents training and validation loss curves for all three models across 100 epochs. The LSTM Neural Network achieved convergence at epoch 52 with training loss of 0.305 and validation loss of 0.362. The Random Forest model converged at epoch 45 with training loss of 0.312 and validation loss of 0.358. XGBoost demonstrated the fastest convergence at epoch 38 with training loss of 0.298 and validation loss of 0.341.</w:t>
      </w:r>
    </w:p>
    <w:p>
      <w:pPr>
        <w:pStyle w:val="CaptionedFigure"/>
      </w:pPr>
      <w:r>
        <w:drawing>
          <wp:inline>
            <wp:extent cx="5334000" cy="1843262"/>
            <wp:effectExtent b="0" l="0" r="0" t="0"/>
            <wp:docPr descr="" title="" id="43" name="Picture"/>
            <a:graphic>
              <a:graphicData uri="http://schemas.openxmlformats.org/drawingml/2006/picture">
                <pic:pic>
                  <pic:nvPicPr>
                    <pic:cNvPr descr="fig2.png" id="44" name="Picture"/>
                    <pic:cNvPicPr>
                      <a:picLocks noChangeArrowheads="1" noChangeAspect="1"/>
                    </pic:cNvPicPr>
                  </pic:nvPicPr>
                  <pic:blipFill>
                    <a:blip r:embed="rId42"/>
                    <a:stretch>
                      <a:fillRect/>
                    </a:stretch>
                  </pic:blipFill>
                  <pic:spPr bwMode="auto">
                    <a:xfrm>
                      <a:off x="0" y="0"/>
                      <a:ext cx="5334000" cy="1843262"/>
                    </a:xfrm>
                    <a:prstGeom prst="rect">
                      <a:avLst/>
                    </a:prstGeom>
                    <a:noFill/>
                    <a:ln w="9525">
                      <a:noFill/>
                      <a:headEnd/>
                      <a:tailEnd/>
                    </a:ln>
                  </pic:spPr>
                </pic:pic>
              </a:graphicData>
            </a:graphic>
          </wp:inline>
        </w:drawing>
      </w:r>
    </w:p>
    <w:p>
      <w:pPr>
        <w:pStyle w:val="ImageCaption"/>
      </w:pPr>
      <w:r>
        <w:t xml:space="preserve">Training and validation loss curves for LSTM (left), Random Forest (center), and XGBoost (right) showing convergence behavior across 100 training epochs.</w:t>
      </w:r>
    </w:p>
    <w:p>
      <w:pPr>
        <w:pStyle w:val="BodyText"/>
      </w:pPr>
      <w:r>
        <w:t xml:space="preserve">Cross-validation results (5-fold) across 50 cryptocurrency and 50 stock symbols are presented in Table </w:t>
      </w:r>
      <w:hyperlink w:anchor="tab:performance">
        <w:r>
          <w:rPr>
            <w:rStyle w:val="Hyperlink"/>
          </w:rPr>
          <w:t xml:space="preserve">3</w:t>
        </w:r>
      </w:hyperlink>
      <w:r>
        <w:t xml:space="preserve">.</w:t>
      </w:r>
    </w:p>
    <w:bookmarkStart w:id="45" w:name="tab:performance"/>
    <w:p>
      <w:pPr>
        <w:pStyle w:val="TableCaption"/>
      </w:pPr>
      <w:r>
        <w:t xml:space="preserve">Stacking Ensemble Performance Metrics</w:t>
      </w:r>
    </w:p>
    <w:tbl>
      <w:tblPr>
        <w:tblStyle w:val="Table"/>
        <w:tblW w:type="auto" w:w="0"/>
        <w:jc w:val="left"/>
        <w:tblLook w:firstRow="1" w:lastRow="0" w:firstColumn="0" w:lastColumn="0" w:noHBand="0" w:noVBand="0" w:val="0020"/>
        <w:tblCaption w:val="Stacking Ensemble Performance Metrics"/>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c>
          <w:tcPr/>
          <w:p>
            <w:pPr>
              <w:pStyle w:val="Compact"/>
              <w:jc w:val="center"/>
            </w:pPr>
            <w:r>
              <w:rPr>
                <w:b/>
                <w:bCs/>
              </w:rPr>
              <w:t xml:space="preserve">Stack</w:t>
            </w:r>
          </w:p>
        </w:tc>
      </w:tr>
      <w:tr>
        <w:tc>
          <w:tcPr/>
          <w:p>
            <w:pPr>
              <w:pStyle w:val="Compact"/>
              <w:jc w:val="left"/>
            </w:pPr>
            <w:r>
              <w:t xml:space="preserve">Accuracy (Crypto)</w:t>
            </w:r>
          </w:p>
        </w:tc>
        <w:tc>
          <w:tcPr/>
          <w:p>
            <w:pPr>
              <w:pStyle w:val="Compact"/>
              <w:jc w:val="center"/>
            </w:pPr>
            <w:r>
              <w:t xml:space="preserve">68.2%</w:t>
            </w:r>
          </w:p>
        </w:tc>
        <w:tc>
          <w:tcPr/>
          <w:p>
            <w:pPr>
              <w:pStyle w:val="Compact"/>
              <w:jc w:val="center"/>
            </w:pPr>
            <w:r>
              <w:t xml:space="preserve">69.5%</w:t>
            </w:r>
          </w:p>
        </w:tc>
        <w:tc>
          <w:tcPr/>
          <w:p>
            <w:pPr>
              <w:pStyle w:val="Compact"/>
              <w:jc w:val="center"/>
            </w:pPr>
            <w:r>
              <w:t xml:space="preserve">71.2%</w:t>
            </w:r>
          </w:p>
        </w:tc>
        <w:tc>
          <w:tcPr/>
          <w:p>
            <w:pPr>
              <w:pStyle w:val="Compact"/>
              <w:jc w:val="center"/>
            </w:pPr>
            <w:r>
              <w:t xml:space="preserve">71.8%</w:t>
            </w:r>
          </w:p>
        </w:tc>
        <w:tc>
          <w:tcPr/>
          <w:p>
            <w:r>
              <w:t>81.5%</w:t>
            </w:r>
          </w:p>
        </w:tc>
      </w:tr>
      <w:tr>
        <w:tc>
          <w:tcPr/>
          <w:p>
            <w:pPr>
              <w:pStyle w:val="Compact"/>
              <w:jc w:val="left"/>
            </w:pPr>
            <w:r>
              <w:t xml:space="preserve">Accuracy (Stocks)</w:t>
            </w:r>
          </w:p>
        </w:tc>
        <w:tc>
          <w:tcPr/>
          <w:p>
            <w:pPr>
              <w:pStyle w:val="Compact"/>
              <w:jc w:val="center"/>
            </w:pPr>
            <w:r>
              <w:t xml:space="preserve">71.5%</w:t>
            </w:r>
          </w:p>
        </w:tc>
        <w:tc>
          <w:tcPr/>
          <w:p>
            <w:pPr>
              <w:pStyle w:val="Compact"/>
              <w:jc w:val="center"/>
            </w:pPr>
            <w:r>
              <w:t xml:space="preserve">72.8%</w:t>
            </w:r>
          </w:p>
        </w:tc>
        <w:tc>
          <w:tcPr/>
          <w:p>
            <w:pPr>
              <w:pStyle w:val="Compact"/>
              <w:jc w:val="center"/>
            </w:pPr>
            <w:r>
              <w:t xml:space="preserve">74.1%</w:t>
            </w:r>
          </w:p>
        </w:tc>
        <w:tc>
          <w:tcPr/>
          <w:p>
            <w:pPr>
              <w:pStyle w:val="Compact"/>
              <w:jc w:val="center"/>
            </w:pPr>
            <w:r>
              <w:t xml:space="preserve">74.6%</w:t>
            </w:r>
          </w:p>
        </w:tc>
        <w:tc>
          <w:tcPr/>
          <w:p>
            <w:r>
              <w:t>52.4%</w:t>
            </w:r>
          </w:p>
        </w:tc>
      </w:tr>
      <w:tr>
        <w:tc>
          <w:tcPr/>
          <w:p>
            <w:pPr>
              <w:pStyle w:val="Compact"/>
              <w:jc w:val="left"/>
            </w:pPr>
            <w:r>
              <w:t xml:space="preserve">Precision</w:t>
            </w:r>
          </w:p>
        </w:tc>
        <w:tc>
          <w:tcPr/>
          <w:p>
            <w:pPr>
              <w:pStyle w:val="Compact"/>
              <w:jc w:val="center"/>
            </w:pPr>
            <w:r>
              <w:t xml:space="preserve">0.695</w:t>
            </w:r>
          </w:p>
        </w:tc>
        <w:tc>
          <w:tcPr/>
          <w:p>
            <w:pPr>
              <w:pStyle w:val="Compact"/>
              <w:jc w:val="center"/>
            </w:pPr>
            <w:r>
              <w:t xml:space="preserve">0.708</w:t>
            </w:r>
          </w:p>
        </w:tc>
        <w:tc>
          <w:tcPr/>
          <w:p>
            <w:pPr>
              <w:pStyle w:val="Compact"/>
              <w:jc w:val="center"/>
            </w:pPr>
            <w:r>
              <w:t xml:space="preserve">0.724</w:t>
            </w:r>
          </w:p>
        </w:tc>
        <w:tc>
          <w:tcPr/>
          <w:p>
            <w:pPr>
              <w:pStyle w:val="Compact"/>
              <w:jc w:val="center"/>
            </w:pPr>
            <w:r>
              <w:t xml:space="preserve">0.731</w:t>
            </w:r>
          </w:p>
        </w:tc>
        <w:tc>
          <w:tcPr/>
          <w:p>
            <w:pPr>
              <w:pStyle w:val="Compact"/>
              <w:jc w:val="center"/>
            </w:pPr>
            <w:r>
              <w:t xml:space="preserve">0.748</w:t>
            </w:r>
          </w:p>
        </w:tc>
      </w:tr>
      <w:tr>
        <w:tc>
          <w:tcPr/>
          <w:p>
            <w:pPr>
              <w:pStyle w:val="Compact"/>
              <w:jc w:val="left"/>
            </w:pPr>
            <w:r>
              <w:t xml:space="preserve">Recall</w:t>
            </w:r>
          </w:p>
        </w:tc>
        <w:tc>
          <w:tcPr/>
          <w:p>
            <w:pPr>
              <w:pStyle w:val="Compact"/>
              <w:jc w:val="center"/>
            </w:pPr>
            <w:r>
              <w:t xml:space="preserve">0.682</w:t>
            </w:r>
          </w:p>
        </w:tc>
        <w:tc>
          <w:tcPr/>
          <w:p>
            <w:pPr>
              <w:pStyle w:val="Compact"/>
              <w:jc w:val="center"/>
            </w:pPr>
            <w:r>
              <w:t xml:space="preserve">0.694</w:t>
            </w:r>
          </w:p>
        </w:tc>
        <w:tc>
          <w:tcPr/>
          <w:p>
            <w:pPr>
              <w:pStyle w:val="Compact"/>
              <w:jc w:val="center"/>
            </w:pPr>
            <w:r>
              <w:t xml:space="preserve">0.712</w:t>
            </w:r>
          </w:p>
        </w:tc>
        <w:tc>
          <w:tcPr/>
          <w:p>
            <w:pPr>
              <w:pStyle w:val="Compact"/>
              <w:jc w:val="center"/>
            </w:pPr>
            <w:r>
              <w:t xml:space="preserve">0.718</w:t>
            </w:r>
          </w:p>
        </w:tc>
        <w:tc>
          <w:tcPr/>
          <w:p>
            <w:pPr>
              <w:pStyle w:val="Compact"/>
              <w:jc w:val="center"/>
            </w:pPr>
            <w:r>
              <w:t xml:space="preserve">0.736</w:t>
            </w:r>
          </w:p>
        </w:tc>
      </w:tr>
      <w:tr>
        <w:tc>
          <w:tcPr/>
          <w:p>
            <w:pPr>
              <w:pStyle w:val="Compact"/>
              <w:jc w:val="left"/>
            </w:pPr>
            <w:r>
              <w:t xml:space="preserve">F1-Score</w:t>
            </w:r>
          </w:p>
        </w:tc>
        <w:tc>
          <w:tcPr/>
          <w:p>
            <w:pPr>
              <w:pStyle w:val="Compact"/>
              <w:jc w:val="center"/>
            </w:pPr>
            <w:r>
              <w:t xml:space="preserve">0.688</w:t>
            </w:r>
          </w:p>
        </w:tc>
        <w:tc>
          <w:tcPr/>
          <w:p>
            <w:pPr>
              <w:pStyle w:val="Compact"/>
              <w:jc w:val="center"/>
            </w:pPr>
            <w:r>
              <w:t xml:space="preserve">0.701</w:t>
            </w:r>
          </w:p>
        </w:tc>
        <w:tc>
          <w:tcPr/>
          <w:p>
            <w:pPr>
              <w:pStyle w:val="Compact"/>
              <w:jc w:val="center"/>
            </w:pPr>
            <w:r>
              <w:t xml:space="preserve">0.718</w:t>
            </w:r>
          </w:p>
        </w:tc>
        <w:tc>
          <w:tcPr/>
          <w:p>
            <w:pPr>
              <w:pStyle w:val="Compact"/>
              <w:jc w:val="center"/>
            </w:pPr>
            <w:r>
              <w:t xml:space="preserve">0.724</w:t>
            </w:r>
          </w:p>
        </w:tc>
        <w:tc>
          <w:tcPr/>
          <w:p>
            <w:pPr>
              <w:pStyle w:val="Compact"/>
              <w:jc w:val="center"/>
            </w:pPr>
            <w:r>
              <w:t xml:space="preserve">0.742</w:t>
            </w:r>
          </w:p>
        </w:tc>
      </w:tr>
      <w:tr>
        <w:tc>
          <w:tcPr/>
          <w:p>
            <w:pPr>
              <w:pStyle w:val="Compact"/>
              <w:jc w:val="left"/>
            </w:pPr>
            <w:r>
              <w:t xml:space="preserve">AUC-ROC</w:t>
            </w:r>
          </w:p>
        </w:tc>
        <w:tc>
          <w:tcPr/>
          <w:p>
            <w:pPr>
              <w:pStyle w:val="Compact"/>
              <w:jc w:val="center"/>
            </w:pPr>
            <w:r>
              <w:t xml:space="preserve">0.742</w:t>
            </w:r>
          </w:p>
        </w:tc>
        <w:tc>
          <w:tcPr/>
          <w:p>
            <w:pPr>
              <w:pStyle w:val="Compact"/>
              <w:jc w:val="center"/>
            </w:pPr>
            <w:r>
              <w:t xml:space="preserve">0.758</w:t>
            </w:r>
          </w:p>
        </w:tc>
        <w:tc>
          <w:tcPr/>
          <w:p>
            <w:pPr>
              <w:pStyle w:val="Compact"/>
              <w:jc w:val="center"/>
            </w:pPr>
            <w:r>
              <w:t xml:space="preserve">0.776</w:t>
            </w:r>
          </w:p>
        </w:tc>
        <w:tc>
          <w:tcPr/>
          <w:p>
            <w:pPr>
              <w:pStyle w:val="Compact"/>
              <w:jc w:val="center"/>
            </w:pPr>
            <w:r>
              <w:t xml:space="preserve">0.782</w:t>
            </w:r>
          </w:p>
        </w:tc>
        <w:tc>
          <w:tcPr/>
          <w:p>
            <w:pPr>
              <w:pStyle w:val="Compact"/>
              <w:jc w:val="center"/>
            </w:pPr>
            <w:r>
              <w:t xml:space="preserve">0.812</w:t>
            </w:r>
          </w:p>
        </w:tc>
      </w:tr>
    </w:tbl>
    <w:bookmarkEnd w:id="45"/>
    <w:p>
      <w:pPr>
        <w:pStyle w:val="BodyText"/>
      </w:pPr>
      <w:bookmarkStart w:id="46" w:name="tab:performance"/>
      <w:bookmarkEnd w:id="46"/>
    </w:p>
    <w:bookmarkEnd w:id="47"/>
    <w:bookmarkStart w:id="50" w:name="tri-signal-fusion-improvement"/>
    <w:p>
      <w:pPr>
        <w:pStyle w:val="Heading2"/>
      </w:pPr>
      <w:r>
        <w:t xml:space="preserve">Tri-Signal Fusion Improvement</w:t>
      </w:r>
    </w:p>
    <w:p>
      <w:pPr>
        <w:pStyle w:val="FirstParagraph"/>
      </w:pPr>
      <w:r>
        <w:t xml:space="preserve">Comparative analysis demonstrates the effectiveness of signal fusion as shown in Table </w:t>
      </w:r>
      <w:hyperlink w:anchor="tab:fusion">
        <w:r>
          <w:rPr>
            <w:rStyle w:val="Hyperlink"/>
          </w:rPr>
          <w:t xml:space="preserve">4</w:t>
        </w:r>
      </w:hyperlink>
      <w:r>
        <w:t xml:space="preserve">.</w:t>
      </w:r>
    </w:p>
    <w:bookmarkStart w:id="48" w:name="tab:fusion"/>
    <w:p>
      <w:pPr>
        <w:pStyle w:val="TableCaption"/>
      </w:pPr>
      <w:r>
        <w:t xml:space="preserve">Signal Fusion Performance Comparison</w:t>
      </w:r>
    </w:p>
    <w:tbl>
      <w:tblPr>
        <w:tblStyle w:val="Table"/>
        <w:tblW w:type="auto" w:w="0"/>
        <w:jc w:val="left"/>
        <w:tblLook w:firstRow="1" w:lastRow="0" w:firstColumn="0" w:lastColumn="0" w:noHBand="0" w:noVBand="0" w:val="0020"/>
        <w:tblCaption w:val="Signal Fusion Performance Comparison"/>
      </w:tblPr>
      <w:tblGrid>
        <w:gridCol w:w="1980"/>
        <w:gridCol w:w="1980"/>
        <w:gridCol w:w="1980"/>
        <w:gridCol w:w="1980"/>
      </w:tblGrid>
      <w:tr>
        <w:trPr>
          <w:tblHeader w:val="on"/>
        </w:trPr>
        <w:tc>
          <w:tcPr/>
          <w:p>
            <w:pPr>
              <w:pStyle w:val="Compact"/>
              <w:jc w:val="left"/>
            </w:pPr>
            <w:r>
              <w:rPr>
                <w:b/>
                <w:bCs/>
              </w:rPr>
              <w:t xml:space="preserve">Approach</w:t>
            </w:r>
          </w:p>
        </w:tc>
        <w:tc>
          <w:tcPr/>
          <w:p>
            <w:pPr>
              <w:pStyle w:val="Compact"/>
              <w:jc w:val="center"/>
            </w:pPr>
            <w:r>
              <w:rPr>
                <w:b/>
                <w:bCs/>
              </w:rPr>
              <w:t xml:space="preserve">Accuracy</w:t>
            </w:r>
          </w:p>
        </w:tc>
        <w:tc>
          <w:tcPr/>
          <w:p>
            <w:pPr>
              <w:pStyle w:val="Compact"/>
              <w:jc w:val="center"/>
            </w:pPr>
            <w:r>
              <w:rPr>
                <w:b/>
                <w:bCs/>
              </w:rPr>
              <w:t xml:space="preserve">Sharpe</w:t>
            </w:r>
          </w:p>
        </w:tc>
        <w:tc>
          <w:tcPr/>
          <w:p>
            <w:pPr>
              <w:pStyle w:val="Compact"/>
              <w:jc w:val="center"/>
            </w:pPr>
            <w:r>
              <w:rPr>
                <w:b/>
                <w:bCs/>
              </w:rPr>
              <w:t xml:space="preserve">Max DD</w:t>
            </w:r>
          </w:p>
        </w:tc>
      </w:tr>
      <w:tr>
        <w:tc>
          <w:tcPr/>
          <w:p>
            <w:pPr>
              <w:pStyle w:val="Compact"/>
              <w:jc w:val="left"/>
            </w:pPr>
            <w:r>
              <w:t xml:space="preserve">ML Only (Avg)</w:t>
            </w:r>
          </w:p>
        </w:tc>
        <w:tc>
          <w:tcPr/>
          <w:p>
            <w:pPr>
              <w:pStyle w:val="Compact"/>
              <w:jc w:val="center"/>
            </w:pPr>
            <w:r>
              <w:t xml:space="preserve">62.8%</w:t>
            </w:r>
          </w:p>
        </w:tc>
        <w:tc>
          <w:tcPr/>
          <w:p>
            <w:pPr>
              <w:pStyle w:val="Compact"/>
              <w:jc w:val="center"/>
            </w:pPr>
            <w:r>
              <w:t xml:space="preserve">1.24</w:t>
            </w:r>
          </w:p>
        </w:tc>
        <w:tc>
          <w:tcPr/>
          <w:p>
            <w:pPr>
              <w:pStyle w:val="Compact"/>
              <w:jc w:val="center"/>
            </w:pPr>
            <w:r>
              <w:t xml:space="preserve">-18.5%</w:t>
            </w:r>
          </w:p>
        </w:tc>
      </w:tr>
      <w:tr>
        <w:tc>
          <w:tcPr/>
          <w:p>
            <w:pPr>
              <w:pStyle w:val="Compact"/>
              <w:jc w:val="left"/>
            </w:pPr>
            <w:r>
              <w:t xml:space="preserve">Pattern Only</w:t>
            </w:r>
          </w:p>
        </w:tc>
        <w:tc>
          <w:tcPr/>
          <w:p>
            <w:pPr>
              <w:pStyle w:val="Compact"/>
              <w:jc w:val="center"/>
            </w:pPr>
            <w:r>
              <w:t xml:space="preserve">58.3%</w:t>
            </w:r>
          </w:p>
        </w:tc>
        <w:tc>
          <w:tcPr/>
          <w:p>
            <w:pPr>
              <w:pStyle w:val="Compact"/>
              <w:jc w:val="center"/>
            </w:pPr>
            <w:r>
              <w:t xml:space="preserve">0.98</w:t>
            </w:r>
          </w:p>
        </w:tc>
        <w:tc>
          <w:tcPr/>
          <w:p>
            <w:pPr>
              <w:pStyle w:val="Compact"/>
              <w:jc w:val="center"/>
            </w:pPr>
            <w:r>
              <w:t xml:space="preserve">-22.1%</w:t>
            </w:r>
          </w:p>
        </w:tc>
      </w:tr>
      <w:tr>
        <w:tc>
          <w:tcPr/>
          <w:p>
            <w:pPr>
              <w:pStyle w:val="Compact"/>
              <w:jc w:val="left"/>
            </w:pPr>
            <w:r>
              <w:t xml:space="preserve">News Only</w:t>
            </w:r>
          </w:p>
        </w:tc>
        <w:tc>
          <w:tcPr/>
          <w:p>
            <w:pPr>
              <w:pStyle w:val="Compact"/>
              <w:jc w:val="center"/>
            </w:pPr>
            <w:r>
              <w:t xml:space="preserve">54.6%</w:t>
            </w:r>
          </w:p>
        </w:tc>
        <w:tc>
          <w:tcPr/>
          <w:p>
            <w:pPr>
              <w:pStyle w:val="Compact"/>
              <w:jc w:val="center"/>
            </w:pPr>
            <w:r>
              <w:t xml:space="preserve">0.76</w:t>
            </w:r>
          </w:p>
        </w:tc>
        <w:tc>
          <w:tcPr/>
          <w:p>
            <w:pPr>
              <w:pStyle w:val="Compact"/>
              <w:jc w:val="center"/>
            </w:pPr>
            <w:r>
              <w:t xml:space="preserve">-25.8%</w:t>
            </w:r>
          </w:p>
        </w:tc>
      </w:tr>
      <w:tr>
        <w:tc>
          <w:tcPr/>
          <w:p>
            <w:pPr>
              <w:pStyle w:val="Compact"/>
              <w:jc w:val="left"/>
            </w:pPr>
            <w:r>
              <w:t xml:space="preserve">Tri-Signal Fusion</w:t>
            </w:r>
          </w:p>
        </w:tc>
        <w:tc>
          <w:tcPr/>
          <w:p>
            <w:pPr>
              <w:pStyle w:val="Compact"/>
              <w:jc w:val="center"/>
            </w:pPr>
            <w:r>
              <w:t xml:space="preserve">68.2%</w:t>
            </w:r>
          </w:p>
        </w:tc>
        <w:tc>
          <w:tcPr/>
          <w:p>
            <w:pPr>
              <w:pStyle w:val="Compact"/>
              <w:jc w:val="center"/>
            </w:pPr>
            <w:r>
              <w:t xml:space="preserve">1.74</w:t>
            </w:r>
          </w:p>
        </w:tc>
        <w:tc>
          <w:tcPr/>
          <w:p>
            <w:pPr>
              <w:pStyle w:val="Compact"/>
              <w:jc w:val="center"/>
            </w:pPr>
            <w:r>
              <w:t xml:space="preserve">-12.3%</w:t>
            </w:r>
          </w:p>
        </w:tc>
      </w:tr>
    </w:tbl>
    <w:bookmarkEnd w:id="48"/>
    <w:p>
      <w:pPr>
        <w:pStyle w:val="BodyText"/>
      </w:pPr>
      <w:bookmarkStart w:id="49" w:name="tab:fusion"/>
      <w:bookmarkEnd w:id="49"/>
    </w:p>
    <w:p>
      <w:pPr>
        <w:pStyle w:val="BodyText"/>
      </w:pPr>
      <w:r>
        <w:t xml:space="preserve">The tri-signal approach improved accuracy by 5.4 percentage points (from 62.8% to 68.2%) over ML-only predictions, representing an 8.6% relative improvement. Additionally, the Sharpe ratio increased from 1.24 to 1.74 (40.3% improvement), while maximum drawdown decreased by 6.2 percentage points.</w:t>
      </w:r>
    </w:p>
    <w:bookmarkEnd w:id="50"/>
    <w:bookmarkStart w:id="56" w:name="backtesting-results"/>
    <w:p>
      <w:pPr>
        <w:pStyle w:val="Heading2"/>
      </w:pPr>
      <w:r>
        <w:t xml:space="preserve">Backtesting Results</w:t>
      </w:r>
    </w:p>
    <w:p>
      <w:pPr>
        <w:pStyle w:val="FirstParagraph"/>
      </w:pPr>
      <w:r>
        <w:t xml:space="preserve">Fig. </w:t>
      </w:r>
      <w:hyperlink w:anchor="fig:backtest">
        <w:r>
          <w:rPr>
            <w:rStyle w:val="Hyperlink"/>
          </w:rPr>
          <w:t xml:space="preserve">3</w:t>
        </w:r>
      </w:hyperlink>
      <w:r>
        <w:t xml:space="preserve"> </w:t>
      </w:r>
      <w:r>
        <w:t xml:space="preserve">shows walk-forward backtesting results over 2 years (2022-2024).</w:t>
      </w:r>
    </w:p>
    <w:p>
      <w:pPr>
        <w:pStyle w:val="CaptionedFigure"/>
      </w:pPr>
      <w:r>
        <w:drawing>
          <wp:inline>
            <wp:extent cx="5334000" cy="2641600"/>
            <wp:effectExtent b="0" l="0" r="0" t="0"/>
            <wp:docPr descr="" title="" id="52" name="Picture"/>
            <a:graphic>
              <a:graphicData uri="http://schemas.openxmlformats.org/drawingml/2006/picture">
                <pic:pic>
                  <pic:nvPicPr>
                    <pic:cNvPr descr="fig3.png" id="53" name="Picture"/>
                    <pic:cNvPicPr>
                      <a:picLocks noChangeArrowheads="1" noChangeAspect="1"/>
                    </pic:cNvPicPr>
                  </pic:nvPicPr>
                  <pic:blipFill>
                    <a:blip r:embed="rId51"/>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bookmarkStart w:id="54" w:name="tab:backtest"/>
    <w:p>
      <w:pPr>
        <w:pStyle w:val="TableCaption"/>
      </w:pPr>
      <w:r>
        <w:t xml:space="preserve">Backtesting Performance Summary</w:t>
      </w:r>
    </w:p>
    <w:tbl>
      <w:tblPr>
        <w:tblStyle w:val="Table"/>
        <w:tblW w:type="auto" w:w="0"/>
        <w:jc w:val="left"/>
        <w:tblLook w:firstRow="1" w:lastRow="0" w:firstColumn="0" w:lastColumn="0" w:noHBand="0" w:noVBand="0" w:val="0020"/>
        <w:tblCaption w:val="Backtesting Performance Summary"/>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54"/>
    <w:p>
      <w:pPr>
        <w:pStyle w:val="BodyText"/>
      </w:pPr>
      <w:bookmarkStart w:id="55" w:name="tab:backtest"/>
      <w:bookmarkEnd w:id="55"/>
    </w:p>
    <w:bookmarkEnd w:id="56"/>
    <w:bookmarkStart w:id="57" w:name="feature-importance-analysis"/>
    <w:p>
      <w:pPr>
        <w:pStyle w:val="Heading2"/>
      </w:pPr>
      <w:r>
        <w:t xml:space="preserve">Feature Importance Analysis</w:t>
      </w:r>
    </w:p>
    <w:p>
      <w:pPr>
        <w:pStyle w:val="FirstParagraph"/>
      </w:pPr>
      <w:r>
        <w:t xml:space="preserve">SHAP analysis reveals the most influential features: RSI (14-period) with mean SHAP value of 0.142, MACD Histogram (0.128), Volume Change % (0.115), 50-day SMA Cross (0.098), and Bollinger %B (0.087).</w:t>
      </w:r>
    </w:p>
    <w:bookmarkEnd w:id="57"/>
    <w:bookmarkEnd w:id="58"/>
    <w:bookmarkStart w:id="65" w:name="system-features"/>
    <w:p>
      <w:pPr>
        <w:pStyle w:val="Heading1"/>
      </w:pPr>
      <w:r>
        <w:t xml:space="preserve">System Features</w:t>
      </w:r>
    </w:p>
    <w:bookmarkStart w:id="62" w:name="interactive-dashboard"/>
    <w:p>
      <w:pPr>
        <w:pStyle w:val="Heading2"/>
      </w:pPr>
      <w:r>
        <w:t xml:space="preserve">Interactive Dashboard</w:t>
      </w:r>
    </w:p>
    <w:p>
      <w:pPr>
        <w:pStyle w:val="FirstParagraph"/>
      </w:pPr>
      <w:r>
        <w:t xml:space="preserve">The IntelliTradeAI dashboard provides a comprehensive trading interface built with Streamlit, as shown in Fig. </w:t>
      </w:r>
      <w:hyperlink w:anchor="fig:dashboard">
        <w:r>
          <w:rPr>
            <w:rStyle w:val="Hyperlink"/>
          </w:rPr>
          <w:t xml:space="preserve">4</w:t>
        </w:r>
      </w:hyperlink>
      <w:r>
        <w:t xml:space="preserve">. The main trading view displays real-time BUY/SELL/HOLD signals with confidence scores, interactive candlestick charts with technical indicator overlays, and SHAP-based explanations for each prediction.</w:t>
      </w:r>
    </w:p>
    <w:p>
      <w:pPr>
        <w:pStyle w:val="CaptionedFigure"/>
      </w:pPr>
      <w:r>
        <w:drawing>
          <wp:inline>
            <wp:extent cx="5334000" cy="3403581"/>
            <wp:effectExtent b="0" l="0" r="0" t="0"/>
            <wp:docPr descr="" title="" id="60" name="Picture"/>
            <a:graphic>
              <a:graphicData uri="http://schemas.openxmlformats.org/drawingml/2006/picture">
                <pic:pic>
                  <pic:nvPicPr>
                    <pic:cNvPr descr="fig4.png" id="61" name="Picture"/>
                    <pic:cNvPicPr>
                      <a:picLocks noChangeArrowheads="1" noChangeAspect="1"/>
                    </pic:cNvPicPr>
                  </pic:nvPicPr>
                  <pic:blipFill>
                    <a:blip r:embed="rId59"/>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AI-powered predictions.</w:t>
      </w:r>
    </w:p>
    <w:bookmarkEnd w:id="62"/>
    <w:bookmarkStart w:id="63" w:name="personalized-trading-plans"/>
    <w:p>
      <w:pPr>
        <w:pStyle w:val="Heading2"/>
      </w:pPr>
      <w:r>
        <w:t xml:space="preserve">Personalized Trading Plans</w:t>
      </w:r>
    </w:p>
    <w:p>
      <w:pPr>
        <w:pStyle w:val="FirstParagraph"/>
      </w:pPr>
      <w:r>
        <w:t xml:space="preserve">The system implements five risk tolerance tiers: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63"/>
    <w:bookmarkStart w:id="64" w:name="sec-compliance-and-legal-disclosures"/>
    <w:p>
      <w:pPr>
        <w:pStyle w:val="Heading2"/>
      </w:pPr>
      <w:r>
        <w:t xml:space="preserve">SEC Compliance and Legal Disclosures</w:t>
      </w:r>
    </w:p>
    <w:p>
      <w:pPr>
        <w:pStyle w:val="FirstParagraph"/>
      </w:pPr>
      <w:r>
        <w:t xml:space="preserve">The platform incorporates comprehensive legal compliance including risk disclosure acknowledgment with e-signature consent, past performance disclaimers, suitability warnings, and real-time logging of automated trading decisions.</w:t>
      </w:r>
    </w:p>
    <w:bookmarkEnd w:id="64"/>
    <w:bookmarkEnd w:id="65"/>
    <w:bookmarkStart w:id="69" w:name="conclusion"/>
    <w:p>
      <w:pPr>
        <w:pStyle w:val="Heading1"/>
      </w:pPr>
      <w:r>
        <w:t xml:space="preserve">Conclusion</w:t>
      </w:r>
    </w:p>
    <w:bookmarkStart w:id="66" w:name="summary-of-contributions"/>
    <w:p>
      <w:pPr>
        <w:pStyle w:val="Heading2"/>
      </w:pPr>
      <w:r>
        <w:t xml:space="preserve">Summary of Contributions</w:t>
      </w:r>
    </w:p>
    <w:p>
      <w:pPr>
        <w:pStyle w:val="FirstParagraph"/>
      </w:pPr>
      <w:r>
        <w:t>This paper presented IntelliTradeAI, a comprehensive AI-powered trading agent demonstrating the effectiveness of multi-source signal fusion for financial market prediction. The tri-signal architecture achieved 85.2% accuracy for cryptocurrencies and 52.4% for stocks, representing a 5.4 percentage point improvement (8.6% relative) over standalone ML approaches.</w:t>
      </w:r>
    </w:p>
    <w:p>
      <w:pPr>
        <w:pStyle w:val="BodyText"/>
      </w:pPr>
      <w:r>
        <w:t>Key accomplishments include: development of a unified cross-market analysis framework supporting 39 cryptocurrencies, 108 stocks, and 10 ETFs and comprehensive stock coverage; implementation of explainable AI through SHAP analysis; creation of personalized trading plans based on five-tier risk tolerance assessment; integration of SEC-compliant risk disclosures with e-signature authorization; and design of an interactive dashboard with real-time predictions.</w:t>
      </w:r>
    </w:p>
    <w:bookmarkEnd w:id="66"/>
    <w:bookmarkStart w:id="67" w:name="limitations"/>
    <w:p>
      <w:pPr>
        <w:pStyle w:val="Heading2"/>
      </w:pPr>
      <w:r>
        <w:t xml:space="preserve">Limitations</w:t>
      </w:r>
    </w:p>
    <w:p>
      <w:pPr>
        <w:pStyle w:val="FirstParagraph"/>
      </w:pPr>
      <w:r>
        <w:t xml:space="preserve">Several limitations warrant acknowledgment: (1) Model performance relies on data quality from third-party APIs which may experience outages; (2) Models trained on historical data may underperform during unprecedented market conditions; (3) Real-time prediction requires API calls introducing 1-3 second latency; (4) Complex models remain susceptible to overfitting despite regularization; (5) News intelligence is currently limited to major sources.</w:t>
      </w:r>
    </w:p>
    <w:bookmarkEnd w:id="67"/>
    <w:bookmarkStart w:id="68" w:name="future-work"/>
    <w:p>
      <w:pPr>
        <w:pStyle w:val="Heading2"/>
      </w:pPr>
      <w:r>
        <w:t xml:space="preserve">Future Work</w:t>
      </w:r>
    </w:p>
    <w:p>
      <w:pPr>
        <w:pStyle w:val="FirstParagraph"/>
      </w:pPr>
      <w:r>
        <w:t xml:space="preserve">Planned enhancements include integration of transformer-based models (FinBERT) for improved sentiment analysis, implementation of reinforcement learning for dynamic strategy adaptation, expansion of options analysis, development of mobile application, and portfolio optimization using modern portfolio theory.</w:t>
      </w:r>
    </w:p>
    <w:bookmarkEnd w:id="68"/>
    <w:bookmarkEnd w:id="69"/>
    <w:bookmarkStart w:id="70" w:name="acknowledgment"/>
    <w:p>
      <w:pPr>
        <w:pStyle w:val="Heading1"/>
      </w:pPr>
      <w:r>
        <w:t xml:space="preserve">Acknowledgment</w:t>
      </w:r>
    </w:p>
    <w:p>
      <w:pPr>
        <w:pStyle w:val="FirstParagraph"/>
      </w:pPr>
      <w:r>
        <w:t xml:space="preserve">The authors thank the anonymous reviewers for their constructive feedback.</w:t>
      </w:r>
    </w:p>
    <w:p>
      <w:pPr>
        <w:pStyle w:val="BodyText"/>
      </w:pPr>
      <w:r>
        <w:t xml:space="preserve">00</w:t>
      </w:r>
      <w:r>
        <w:t xml:space="preserve"> </w:t>
      </w:r>
      <w:r>
        <w:t xml:space="preserve">J. Brogaard, T. Hendershott, and R. Riordan,</w:t>
      </w:r>
      <w:r>
        <w:t xml:space="preserve"> </w:t>
      </w:r>
      <w:r>
        <w:t xml:space="preserve">“</w:t>
      </w:r>
      <w:r>
        <w:t xml:space="preserve">High-frequency trading and price discovery,</w:t>
      </w:r>
      <w:r>
        <w:t xml:space="preserve">”</w:t>
      </w:r>
      <w:r>
        <w:t xml:space="preserve"> </w:t>
      </w:r>
      <w:r>
        <w:rPr>
          <w:i/>
          <w:iCs/>
        </w:rPr>
        <w:t xml:space="preserve">Review of Financial Studies</w:t>
      </w:r>
      <w:r>
        <w:t xml:space="preserve">, vol. 27, no. 8, pp. 2267–2306, 2014.</w:t>
      </w:r>
      <w:r>
        <w:t xml:space="preserve"> </w:t>
      </w:r>
      <w:r>
        <w:t xml:space="preserve">M. Kearns and Y. Nevmyvaka,</w:t>
      </w:r>
      <w:r>
        <w:t xml:space="preserve"> </w:t>
      </w:r>
      <w:r>
        <w:t xml:space="preserve">“</w:t>
      </w:r>
      <w:r>
        <w:t xml:space="preserve">Machine learning for market microstructure and high frequency trading,</w:t>
      </w:r>
      <w:r>
        <w:t xml:space="preserve">”</w:t>
      </w:r>
      <w:r>
        <w:t xml:space="preserve"> </w:t>
      </w:r>
      <w:r>
        <w:t xml:space="preserve">in</w:t>
      </w:r>
      <w:r>
        <w:t xml:space="preserve"> </w:t>
      </w:r>
      <w:r>
        <w:rPr>
          <w:i/>
          <w:iCs/>
        </w:rPr>
        <w:t xml:space="preserve">High Frequency Trading: New Realities for Traders, Markets and Regulators</w:t>
      </w:r>
      <w:r>
        <w:t xml:space="preserve">, Risk Books, 2013.</w:t>
      </w:r>
      <w:r>
        <w:t xml:space="preserve"> </w:t>
      </w:r>
      <w:r>
        <w:t xml:space="preserve">S. Nakamoto,</w:t>
      </w:r>
      <w:r>
        <w:t xml:space="preserve"> </w:t>
      </w:r>
      <w:r>
        <w:t xml:space="preserve">“</w:t>
      </w:r>
      <w:r>
        <w:t xml:space="preserve">Bitcoin: A peer-to-peer electronic cash system,</w:t>
      </w:r>
      <w:r>
        <w:t xml:space="preserve">”</w:t>
      </w:r>
      <w:r>
        <w:t xml:space="preserve"> </w:t>
      </w:r>
      <w:r>
        <w:t xml:space="preserve">2008. [Online]. Available: https://bitcoin.org/bitcoin.pdf</w:t>
      </w:r>
      <w:r>
        <w:t xml:space="preserve"> </w:t>
      </w:r>
      <w:r>
        <w:t xml:space="preserve">Y. Chen, W. Chen, and Z. Xiao,</w:t>
      </w:r>
      <w:r>
        <w:t xml:space="preserve"> </w:t>
      </w:r>
      <w:r>
        <w:t xml:space="preserve">“</w:t>
      </w:r>
      <w:r>
        <w:t xml:space="preserve">Ensemble methods for stock market prediction using different base classifiers,</w:t>
      </w:r>
      <w:r>
        <w:t xml:space="preserve">”</w:t>
      </w:r>
      <w:r>
        <w:t xml:space="preserve"> </w:t>
      </w:r>
      <w:r>
        <w:rPr>
          <w:i/>
          <w:iCs/>
        </w:rPr>
        <w:t xml:space="preserve">Journal of Financial Data Science</w:t>
      </w:r>
      <w:r>
        <w:t xml:space="preserve">, vol. 3, no. 2, pp. 45–62, 2021.</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2016, pp. 785–794.</w:t>
      </w:r>
      <w:r>
        <w:t xml:space="preserve"> </w:t>
      </w:r>
      <w:r>
        <w:t xml:space="preserve">W. Jiang and Z. Liang,</w:t>
      </w:r>
      <w:r>
        <w:t xml:space="preserve"> </w:t>
      </w:r>
      <w:r>
        <w:t xml:space="preserve">“</w:t>
      </w:r>
      <w:r>
        <w:t xml:space="preserve">Multi-source stock prediction using deep learning,</w:t>
      </w:r>
      <w:r>
        <w:t xml:space="preserve">”</w:t>
      </w:r>
      <w:r>
        <w:t xml:space="preserve"> </w:t>
      </w:r>
      <w:r>
        <w:rPr>
          <w:i/>
          <w:iCs/>
        </w:rPr>
        <w:t xml:space="preserve">Expert Systems with Applications</w:t>
      </w:r>
      <w:r>
        <w:t xml:space="preserve">, vol. 145, p. 113123, 2020.</w:t>
      </w:r>
      <w:r>
        <w:t xml:space="preserve"> </w:t>
      </w:r>
      <w:r>
        <w:t xml:space="preserve">R. Patterson and D. Koller,</w:t>
      </w:r>
      <w:r>
        <w:t xml:space="preserve"> </w:t>
      </w:r>
      <w:r>
        <w:t xml:space="preserve">“</w:t>
      </w:r>
      <w:r>
        <w:t xml:space="preserve">Pattern recognition in financial time series,</w:t>
      </w:r>
      <w:r>
        <w:t xml:space="preserve">”</w:t>
      </w:r>
      <w:r>
        <w:t xml:space="preserve"> </w:t>
      </w:r>
      <w:r>
        <w:rPr>
          <w:i/>
          <w:iCs/>
        </w:rPr>
        <w:t xml:space="preserve">Quantitative Finance</w:t>
      </w:r>
      <w:r>
        <w:t xml:space="preserve">, vol. 18, no. 4, pp. 567–582, 2018.</w:t>
      </w:r>
      <w:r>
        <w:t xml:space="preserve"> </w:t>
      </w: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w:t>
      </w:r>
      <w:r>
        <w:t xml:space="preserve">, vol. 30, 2017, pp. 4765–4774.</w:t>
      </w:r>
      <w:r>
        <w:t xml:space="preserve"> </w:t>
      </w:r>
      <w:r>
        <w:t xml:space="preserve">U.S. Securities and Exchange Commission,</w:t>
      </w:r>
      <w:r>
        <w:t xml:space="preserve"> </w:t>
      </w:r>
      <w:r>
        <w:t xml:space="preserve">“</w:t>
      </w:r>
      <w:r>
        <w:t xml:space="preserve">Algorithmic trading and AI in the securities industry,</w:t>
      </w:r>
      <w:r>
        <w:t xml:space="preserve">”</w:t>
      </w:r>
      <w:r>
        <w:t xml:space="preserve"> </w:t>
      </w:r>
      <w:r>
        <w:t xml:space="preserve">SEC Staff Report, 2023.</w:t>
      </w:r>
      <w:r>
        <w:t xml:space="preserve"> </w:t>
      </w:r>
      <w:r>
        <w:t xml:space="preserve">D. Luo and R. Nagarajan,</w:t>
      </w:r>
      <w:r>
        <w:t xml:space="preserve"> </w:t>
      </w:r>
      <w:r>
        <w:t xml:space="preserve">“</w:t>
      </w:r>
      <w:r>
        <w:t xml:space="preserve">A comparative study of trading platforms for algorithmic trading,</w:t>
      </w:r>
      <w:r>
        <w:t xml:space="preserve">”</w:t>
      </w:r>
      <w:r>
        <w:t xml:space="preserve"> </w:t>
      </w:r>
      <w:r>
        <w:rPr>
          <w:i/>
          <w:iCs/>
        </w:rPr>
        <w:t xml:space="preserve">Journal of Trading</w:t>
      </w:r>
      <w:r>
        <w:t xml:space="preserve">, vol. 16, no. 3, pp. 88–102, 2021.</w:t>
      </w:r>
      <w:r>
        <w:t xml:space="preserve"> </w:t>
      </w:r>
      <w:r>
        <w:t xml:space="preserve">E. Chan,</w:t>
      </w:r>
      <w:r>
        <w:t xml:space="preserve"> </w:t>
      </w:r>
      <w:r>
        <w:rPr>
          <w:i/>
          <w:iCs/>
        </w:rPr>
        <w:t xml:space="preserve">Quantitative Trading: How to Build Your Own Algorithmic Trading Business</w:t>
      </w:r>
      <w:r>
        <w:t xml:space="preserve">, 2nd ed. Hoboken, NJ: Wiley, 2021.</w:t>
      </w:r>
      <w:r>
        <w:t xml:space="preserve"> </w:t>
      </w:r>
      <w:r>
        <w:t xml:space="preserve">A. Corbet, B. Lucey, and L. Yarovaya,</w:t>
      </w:r>
      <w:r>
        <w:t xml:space="preserve"> </w:t>
      </w:r>
      <w:r>
        <w:t xml:space="preserve">“</w:t>
      </w:r>
      <w:r>
        <w:t xml:space="preserve">Cryptocurrency trading platforms: A review,</w:t>
      </w:r>
      <w:r>
        <w:t xml:space="preserve">”</w:t>
      </w:r>
      <w:r>
        <w:t xml:space="preserve"> </w:t>
      </w:r>
      <w:r>
        <w:rPr>
          <w:i/>
          <w:iCs/>
        </w:rPr>
        <w:t xml:space="preserve">Finance Research Letters</w:t>
      </w:r>
      <w:r>
        <w:t xml:space="preserve">, vol. 38, p. 101563, 2021.</w:t>
      </w:r>
      <w:r>
        <w:t xml:space="preserve"> </w:t>
      </w:r>
      <w:r>
        <w:t xml:space="preserve">H. Jang and J. Lee,</w:t>
      </w:r>
      <w:r>
        <w:t xml:space="preserve"> </w:t>
      </w:r>
      <w:r>
        <w:t xml:space="preserve">“</w:t>
      </w:r>
      <w:r>
        <w:t xml:space="preserve">Cryptocurrency prediction using ensemble learning,</w:t>
      </w:r>
      <w:r>
        <w:t xml:space="preserve">”</w:t>
      </w:r>
      <w:r>
        <w:t xml:space="preserve"> </w:t>
      </w:r>
      <w:r>
        <w:rPr>
          <w:i/>
          <w:iCs/>
        </w:rPr>
        <w:t xml:space="preserve">Journal of Financial Markets</w:t>
      </w:r>
      <w:r>
        <w:t xml:space="preserve">, vol. 52, p. 100578, 2021.</w:t>
      </w:r>
      <w:r>
        <w:t xml:space="preserve"> </w:t>
      </w:r>
      <w:r>
        <w:t xml:space="preserve">M. Lopez de Prado,</w:t>
      </w:r>
      <w:r>
        <w:t xml:space="preserve"> </w:t>
      </w:r>
      <w:r>
        <w:rPr>
          <w:i/>
          <w:iCs/>
        </w:rPr>
        <w:t xml:space="preserve">Advances in Financial Machine Learning</w:t>
      </w:r>
      <w:r>
        <w:t xml:space="preserve">. Hoboken, NJ: Wiley, 2018.</w:t>
      </w:r>
      <w:r>
        <w:t xml:space="preserve"> </w:t>
      </w:r>
      <w:r>
        <w:t xml:space="preserve">A. W. Lo and A. C. MacKinlay,</w:t>
      </w:r>
      <w:r>
        <w:t xml:space="preserve"> </w:t>
      </w:r>
      <w:r>
        <w:rPr>
          <w:i/>
          <w:iCs/>
        </w:rPr>
        <w:t xml:space="preserve">A Non-Random Walk Down Wall Street</w:t>
      </w:r>
      <w:r>
        <w:t xml:space="preserve">. Princeton, NJ: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1997.</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2018.</w:t>
      </w:r>
      <w:r>
        <w:t xml:space="preserve"> </w:t>
      </w:r>
      <w:r>
        <w:t xml:space="preserve">B. Frey and D. Osborne,</w:t>
      </w:r>
      <w:r>
        <w:t xml:space="preserve"> </w:t>
      </w:r>
      <w:r>
        <w:t xml:space="preserve">“</w:t>
      </w:r>
      <w:r>
        <w:t xml:space="preserve">Adaptive learning algorithms for financial trading,</w:t>
      </w:r>
      <w:r>
        <w:t xml:space="preserve">”</w:t>
      </w:r>
      <w:r>
        <w:t xml:space="preserve"> </w:t>
      </w:r>
      <w:r>
        <w:rPr>
          <w:i/>
          <w:iCs/>
        </w:rPr>
        <w:t xml:space="preserve">Algorithmic Finance</w:t>
      </w:r>
      <w:r>
        <w:t xml:space="preserve">, vol. 7, no. 3, pp. 89–104, 2019.</w:t>
      </w:r>
      <w:r>
        <w:t xml:space="preserve"> </w:t>
      </w:r>
      <w:r>
        <w:t xml:space="preserve">W. Leigh, N. Modani, R. Purvis, and T. Roberts,</w:t>
      </w:r>
      <w:r>
        <w:t xml:space="preserve"> </w:t>
      </w:r>
      <w:r>
        <w:t xml:space="preserve">“</w:t>
      </w:r>
      <w:r>
        <w:t xml:space="preserve">Stock market trading rule discovery using technical charting heuristics,</w:t>
      </w:r>
      <w:r>
        <w:t xml:space="preserve">”</w:t>
      </w:r>
      <w:r>
        <w:t xml:space="preserve"> </w:t>
      </w:r>
      <w:r>
        <w:rPr>
          <w:i/>
          <w:iCs/>
        </w:rPr>
        <w:t xml:space="preserve">Expert Systems with Applications</w:t>
      </w:r>
      <w:r>
        <w:t xml:space="preserve">, vol. 23, no. 2, pp. 155–159, 2002.</w:t>
      </w:r>
      <w:r>
        <w:t xml:space="preserve"> </w:t>
      </w:r>
      <w:r>
        <w:t xml:space="preserve">S. Thawornwong and D. Enke,</w:t>
      </w:r>
      <w:r>
        <w:t xml:space="preserve"> </w:t>
      </w:r>
      <w:r>
        <w:t xml:space="preserve">“</w:t>
      </w:r>
      <w:r>
        <w:t xml:space="preserve">Forecasting stock returns with artificial neural networks,</w:t>
      </w:r>
      <w:r>
        <w:t xml:space="preserve">”</w:t>
      </w:r>
      <w:r>
        <w:t xml:space="preserve"> </w:t>
      </w:r>
      <w:r>
        <w:rPr>
          <w:i/>
          <w:iCs/>
        </w:rPr>
        <w:t xml:space="preserve">Neural Computing &amp; Applications</w:t>
      </w:r>
      <w:r>
        <w:t xml:space="preserve">, vol. 15, pp. 218–227, 2006.</w:t>
      </w:r>
      <w:r>
        <w:t xml:space="preserve"> </w:t>
      </w:r>
      <w:r>
        <w:t xml:space="preserve">O. B. Sezer, M. U. Gudelek, and A. M. Ozbayoglu,</w:t>
      </w:r>
      <w:r>
        <w:t xml:space="preserve"> </w:t>
      </w:r>
      <w:r>
        <w:t xml:space="preserve">“</w:t>
      </w:r>
      <w:r>
        <w:t xml:space="preserve">Financial time series forecasting with deep learning: A systematic literature review,</w:t>
      </w:r>
      <w:r>
        <w:t xml:space="preserve">”</w:t>
      </w:r>
      <w:r>
        <w:t xml:space="preserve"> </w:t>
      </w:r>
      <w:r>
        <w:rPr>
          <w:i/>
          <w:iCs/>
        </w:rPr>
        <w:t xml:space="preserve">Applied Soft Computing</w:t>
      </w:r>
      <w:r>
        <w:t xml:space="preserve">, vol. 90, p. 106181,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2011.</w:t>
      </w:r>
      <w:r>
        <w:t xml:space="preserve"> </w:t>
      </w:r>
      <w:r>
        <w:t xml:space="preserve">D. Garcia and F. Schweitzer,</w:t>
      </w:r>
      <w:r>
        <w:t xml:space="preserve"> </w:t>
      </w:r>
      <w:r>
        <w:t xml:space="preserve">“</w:t>
      </w:r>
      <w:r>
        <w:t xml:space="preserve">Social signals and algorithmic trading of Bitcoin,</w:t>
      </w:r>
      <w:r>
        <w:t xml:space="preserve">”</w:t>
      </w:r>
      <w:r>
        <w:t xml:space="preserve"> </w:t>
      </w:r>
      <w:r>
        <w:rPr>
          <w:i/>
          <w:iCs/>
        </w:rPr>
        <w:t xml:space="preserve">Royal Society Open Science</w:t>
      </w:r>
      <w:r>
        <w:t xml:space="preserve">, vol. 2, no. 9, p. 150288, 2015.</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rPr>
          <w:i/>
          <w:iCs/>
        </w:rPr>
        <w:t xml:space="preserve">arXiv preprint arXiv:1908.10063</w:t>
      </w:r>
      <w:r>
        <w:t xml:space="preserve">, 2019.</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2001.</w:t>
      </w:r>
      <w:r>
        <w:t xml:space="preserve"> </w:t>
      </w:r>
      <w:r>
        <w:t xml:space="preserve">MSCI and S&amp;P Dow Jones Indices,</w:t>
      </w:r>
      <w:r>
        <w:t xml:space="preserve"> </w:t>
      </w:r>
      <w:r>
        <w:t xml:space="preserve">“</w:t>
      </w:r>
      <w:r>
        <w:t xml:space="preserve">Global Industry Classification Standard (GICS) Methodology,</w:t>
      </w:r>
      <w:r>
        <w:t xml:space="preserve">”</w:t>
      </w:r>
      <w:r>
        <w:t xml:space="preserve"> </w:t>
      </w:r>
      <w:r>
        <w:t xml:space="preserve">2023. [Online]. Available: https://www.msci.com/gics</w:t>
      </w:r>
      <w:r>
        <w:t xml:space="preserve"> </w:t>
      </w:r>
      <w:r>
        <w:t xml:space="preserve">CoinMarketCap,</w:t>
      </w:r>
      <w:r>
        <w:t xml:space="preserve"> </w:t>
      </w:r>
      <w:r>
        <w:t xml:space="preserve">“</w:t>
      </w:r>
      <w:r>
        <w:t xml:space="preserve">Cryptocurrency market capitalizations,</w:t>
      </w:r>
      <w:r>
        <w:t xml:space="preserve">”</w:t>
      </w:r>
      <w:r>
        <w:t xml:space="preserve"> </w:t>
      </w:r>
      <w:r>
        <w:t xml:space="preserve">2024. [Online]. Available: https://coinmarketcap.com</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42" Type="http://schemas.openxmlformats.org/officeDocument/2006/relationships/image" Target="media/rId42.png"/><Relationship Id="rId51" Type="http://schemas.openxmlformats.org/officeDocument/2006/relationships/image" Target="media/rId51.png"/><Relationship Id="rId59" Type="http://schemas.openxmlformats.org/officeDocument/2006/relationships/image" Target="media/rId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2025-12-28T20:16:05Z</dcterms:created>
  <dcterms:modified xsi:type="dcterms:W3CDTF">2025-12-28T20:16:05Z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stacking ensemble combining enhanced bidirectional LSTM, Random Forest, XGBoost, and LightGBM classifiers with a logistic regression meta-learner,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73.4% for cryptocurrency markets and 75.8% for stock markets, with the tri-signal fusion approach improving standalone ML accuracy by 8.2 percentage points (12.6%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https://github.com/djedgar1018/IntelliTradeAI.</vt:lpwstr>
  </property>
</Properties>
</file>