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5.png" ContentType="image/png"/>
  <Override PartName="/word/media/rId54.png" ContentType="image/png"/>
  <Override PartName="/word/media/rId6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 xml:space="preserve">The</w:t>
      </w:r>
      <w:r>
        <w:t xml:space="preserve"> </w:t>
      </w:r>
      <w:r>
        <w:t xml:space="preserve">increasing</w:t>
      </w:r>
      <w:r>
        <w:t xml:space="preserve"> </w:t>
      </w:r>
      <w:r>
        <w:t xml:space="preserve">complexity</w:t>
      </w:r>
      <w:r>
        <w:t xml:space="preserve"> </w:t>
      </w:r>
      <w:r>
        <w:t xml:space="preserve">of</w:t>
      </w:r>
      <w:r>
        <w:t xml:space="preserve"> </w:t>
      </w:r>
      <w:r>
        <w:t xml:space="preserve">financial</w:t>
      </w:r>
      <w:r>
        <w:t xml:space="preserve"> </w:t>
      </w:r>
      <w:r>
        <w:t xml:space="preserve">markets</w:t>
      </w:r>
      <w:r>
        <w:t xml:space="preserve"> </w:t>
      </w:r>
      <w:r>
        <w:t xml:space="preserve">demands</w:t>
      </w:r>
      <w:r>
        <w:t xml:space="preserve"> </w:t>
      </w:r>
      <w:r>
        <w:t xml:space="preserve">intelligent</w:t>
      </w:r>
      <w:r>
        <w:t xml:space="preserve"> </w:t>
      </w:r>
      <w:r>
        <w:t xml:space="preserve">systems</w:t>
      </w:r>
      <w:r>
        <w:t xml:space="preserve"> </w:t>
      </w:r>
      <w:r>
        <w:t xml:space="preserve">capable</w:t>
      </w:r>
      <w:r>
        <w:t xml:space="preserve"> </w:t>
      </w:r>
      <w:r>
        <w:t xml:space="preserve">of</w:t>
      </w:r>
      <w:r>
        <w:t xml:space="preserve"> </w:t>
      </w:r>
      <w:r>
        <w:t xml:space="preserve">processing</w:t>
      </w:r>
      <w:r>
        <w:t xml:space="preserve"> </w:t>
      </w:r>
      <w:r>
        <w:t xml:space="preserve">vast</w:t>
      </w:r>
      <w:r>
        <w:t xml:space="preserve"> </w:t>
      </w:r>
      <w:r>
        <w:t xml:space="preserve">amounts</w:t>
      </w:r>
      <w:r>
        <w:t xml:space="preserve"> </w:t>
      </w:r>
      <w:r>
        <w:t xml:space="preserve">of</w:t>
      </w:r>
      <w:r>
        <w:t xml:space="preserve"> </w:t>
      </w:r>
      <w:r>
        <w:t xml:space="preserve">data</w:t>
      </w:r>
      <w:r>
        <w:t xml:space="preserve"> </w:t>
      </w:r>
      <w:r>
        <w:t xml:space="preserve">while</w:t>
      </w:r>
      <w:r>
        <w:t xml:space="preserve"> </w:t>
      </w:r>
      <w:r>
        <w:t xml:space="preserve">providing</w:t>
      </w:r>
      <w:r>
        <w:t xml:space="preserve"> </w:t>
      </w:r>
      <w:r>
        <w:t xml:space="preserve">transparent</w:t>
      </w:r>
      <w:r>
        <w:t xml:space="preserve"> </w:t>
      </w:r>
      <w:r>
        <w:t xml:space="preserve">decision-making.</w:t>
      </w:r>
      <w:r>
        <w:t xml:space="preserve"> </w:t>
      </w:r>
      <w:r>
        <w:t xml:space="preserve">This</w:t>
      </w:r>
      <w:r>
        <w:t xml:space="preserve"> </w:t>
      </w:r>
      <w:r>
        <w:t xml:space="preserve">paper</w:t>
      </w:r>
      <w:r>
        <w:t xml:space="preserve"> </w:t>
      </w:r>
      <w:r>
        <w:t xml:space="preserve">presents</w:t>
      </w:r>
      <w:r>
        <w:t xml:space="preserve"> </w:t>
      </w:r>
      <w:r>
        <w:t xml:space="preserve">IntelliTradeAI,</w:t>
      </w:r>
      <w:r>
        <w:t xml:space="preserve"> </w:t>
      </w:r>
      <w:r>
        <w:t xml:space="preserve">an</w:t>
      </w:r>
      <w:r>
        <w:t xml:space="preserve"> </w:t>
      </w:r>
      <w:r>
        <w:t xml:space="preserve">AI-powered</w:t>
      </w:r>
      <w:r>
        <w:t xml:space="preserve"> </w:t>
      </w:r>
      <w:r>
        <w:t xml:space="preserve">trading</w:t>
      </w:r>
      <w:r>
        <w:t xml:space="preserve"> </w:t>
      </w:r>
      <w:r>
        <w:t xml:space="preserve">agent</w:t>
      </w:r>
      <w:r>
        <w:t xml:space="preserve"> </w:t>
      </w:r>
      <w:r>
        <w:t xml:space="preserve">that</w:t>
      </w:r>
      <w:r>
        <w:t xml:space="preserve"> </w:t>
      </w:r>
      <w:r>
        <w:t xml:space="preserve">combines</w:t>
      </w:r>
      <w:r>
        <w:t xml:space="preserve"> </w:t>
      </w:r>
      <w:r>
        <w:t xml:space="preserve">machine</w:t>
      </w:r>
      <w:r>
        <w:t xml:space="preserve"> </w:t>
      </w:r>
      <w:r>
        <w:t xml:space="preserve">learning</w:t>
      </w:r>
      <w:r>
        <w:t xml:space="preserve"> </w:t>
      </w:r>
      <w:r>
        <w:t xml:space="preserve">ensemble</w:t>
      </w:r>
      <w:r>
        <w:t xml:space="preserve"> </w:t>
      </w:r>
      <w:r>
        <w:t xml:space="preserve">methods</w:t>
      </w:r>
      <w:r>
        <w:t xml:space="preserve"> </w:t>
      </w:r>
      <w:r>
        <w:t xml:space="preserve">with</w:t>
      </w:r>
      <w:r>
        <w:t xml:space="preserve"> </w:t>
      </w:r>
      <w:r>
        <w:t xml:space="preserve">pattern</w:t>
      </w:r>
      <w:r>
        <w:t xml:space="preserve"> </w:t>
      </w:r>
      <w:r>
        <w:t xml:space="preserve">recognition</w:t>
      </w:r>
      <w:r>
        <w:t xml:space="preserve"> </w:t>
      </w:r>
      <w:r>
        <w:t xml:space="preserve">and</w:t>
      </w:r>
      <w:r>
        <w:t xml:space="preserve"> </w:t>
      </w:r>
      <w:r>
        <w:t xml:space="preserve">news</w:t>
      </w:r>
      <w:r>
        <w:t xml:space="preserve"> </w:t>
      </w:r>
      <w:r>
        <w:t xml:space="preserve">intelligence</w:t>
      </w:r>
      <w:r>
        <w:t xml:space="preserve"> </w:t>
      </w:r>
      <w:r>
        <w:t xml:space="preserve">through</w:t>
      </w:r>
      <w:r>
        <w:t xml:space="preserve"> </w:t>
      </w:r>
      <w:r>
        <w:t xml:space="preserve">a</w:t>
      </w:r>
      <w:r>
        <w:t xml:space="preserve"> </w:t>
      </w:r>
      <w:r>
        <w:t xml:space="preserve">novel</w:t>
      </w:r>
      <w:r>
        <w:t xml:space="preserve"> </w:t>
      </w:r>
      <w:r>
        <w:t xml:space="preserve">tri-signal</w:t>
      </w:r>
      <w:r>
        <w:t xml:space="preserve"> </w:t>
      </w:r>
      <w:r>
        <w:t xml:space="preserve">fusion</w:t>
      </w:r>
      <w:r>
        <w:t xml:space="preserve"> </w:t>
      </w:r>
      <w:r>
        <w:t xml:space="preserve">architecture.</w:t>
      </w:r>
      <w:r>
        <w:t xml:space="preserve"> </w:t>
      </w:r>
      <w:r>
        <w:t xml:space="preserve">The</w:t>
      </w:r>
      <w:r>
        <w:t xml:space="preserve"> </w:t>
      </w:r>
      <w:r>
        <w:t xml:space="preserve">system</w:t>
      </w:r>
      <w:r>
        <w:t xml:space="preserve"> </w:t>
      </w:r>
      <w:r>
        <w:t xml:space="preserve">employs</w:t>
      </w:r>
      <w:r>
        <w:t xml:space="preserve"> </w:t>
      </w:r>
      <w:r>
        <w:t xml:space="preserve">a</w:t>
      </w:r>
      <w:r>
        <w:t xml:space="preserve"> </w:t>
      </w:r>
      <w:r>
        <w:t xml:space="preserve">stacking</w:t>
      </w:r>
      <w:r>
        <w:t xml:space="preserve"> </w:t>
      </w:r>
      <w:r>
        <w:t xml:space="preserve">ensemble</w:t>
      </w:r>
      <w:r>
        <w:t xml:space="preserve"> </w:t>
      </w:r>
      <w:r>
        <w:t xml:space="preserve">combining</w:t>
      </w:r>
      <w:r>
        <w:t xml:space="preserve"> </w:t>
      </w:r>
      <w:r>
        <w:t xml:space="preserve">enhanced</w:t>
      </w:r>
      <w:r>
        <w:t xml:space="preserve"> </w:t>
      </w:r>
      <w:r>
        <w:t xml:space="preserve">bidirectional</w:t>
      </w:r>
      <w:r>
        <w:t xml:space="preserve"> </w:t>
      </w:r>
      <w:r>
        <w:t xml:space="preserve">LSTM,</w:t>
      </w:r>
      <w:r>
        <w:t xml:space="preserve"> </w:t>
      </w:r>
      <w:r>
        <w:t xml:space="preserve">Random</w:t>
      </w:r>
      <w:r>
        <w:t xml:space="preserve"> </w:t>
      </w:r>
      <w:r>
        <w:t xml:space="preserve">Forest,</w:t>
      </w:r>
      <w:r>
        <w:t xml:space="preserve"> </w:t>
      </w:r>
      <w:r>
        <w:t xml:space="preserve">XGBoost,</w:t>
      </w:r>
      <w:r>
        <w:t xml:space="preserve"> </w:t>
      </w:r>
      <w:r>
        <w:t xml:space="preserve">and</w:t>
      </w:r>
      <w:r>
        <w:t xml:space="preserve"> </w:t>
      </w:r>
      <w:r>
        <w:t xml:space="preserve">LightGBM</w:t>
      </w:r>
      <w:r>
        <w:t xml:space="preserve"> </w:t>
      </w:r>
      <w:r>
        <w:t xml:space="preserve">classifiers</w:t>
      </w:r>
      <w:r>
        <w:t xml:space="preserve"> </w:t>
      </w:r>
      <w:r>
        <w:t xml:space="preserve">with</w:t>
      </w:r>
      <w:r>
        <w:t xml:space="preserve"> </w:t>
      </w:r>
      <w:r>
        <w:t xml:space="preserve">a</w:t>
      </w:r>
      <w:r>
        <w:t xml:space="preserve"> </w:t>
      </w:r>
      <w:r>
        <w:t xml:space="preserve">logistic</w:t>
      </w:r>
      <w:r>
        <w:t xml:space="preserve"> </w:t>
      </w:r>
      <w:r>
        <w:t xml:space="preserve">regression</w:t>
      </w:r>
      <w:r>
        <w:t xml:space="preserve"> </w:t>
      </w:r>
      <w:r>
        <w:t xml:space="preserve">meta-learner,</w:t>
      </w:r>
      <w:r>
        <w:t xml:space="preserve"> </w:t>
      </w:r>
      <w:r>
        <w:t xml:space="preserve">trained</w:t>
      </w:r>
      <w:r>
        <w:t xml:space="preserve"> </w:t>
      </w:r>
      <w:r>
        <w:t xml:space="preserve">on</w:t>
      </w:r>
      <w:r>
        <w:t xml:space="preserve"> </w:t>
      </w:r>
      <w:r>
        <w:t xml:space="preserve">70</w:t>
      </w:r>
      <w:r>
        <w:t xml:space="preserve"> </w:t>
      </w:r>
      <w:r>
        <w:t xml:space="preserve">engineered</w:t>
      </w:r>
      <w:r>
        <w:t xml:space="preserve"> </w:t>
      </w:r>
      <w:r>
        <w:t xml:space="preserve">technical</w:t>
      </w:r>
      <w:r>
        <w:t xml:space="preserve"> </w:t>
      </w:r>
      <w:r>
        <w:t xml:space="preserve">indicators</w:t>
      </w:r>
      <w:r>
        <w:t xml:space="preserve"> </w:t>
      </w:r>
      <w:r>
        <w:t xml:space="preserve">to</w:t>
      </w:r>
      <w:r>
        <w:t xml:space="preserve"> </w:t>
      </w:r>
      <w:r>
        <w:t xml:space="preserve">generate</w:t>
      </w:r>
      <w:r>
        <w:t xml:space="preserve"> </w:t>
      </w:r>
      <w:r>
        <w:t xml:space="preserve">BUY/SELL/HOLD</w:t>
      </w:r>
      <w:r>
        <w:t xml:space="preserve"> </w:t>
      </w:r>
      <w:r>
        <w:t xml:space="preserve">signals</w:t>
      </w:r>
      <w:r>
        <w:t xml:space="preserve"> </w:t>
      </w:r>
      <w:r>
        <w:t xml:space="preserve">for</w:t>
      </w:r>
      <w:r>
        <w:t xml:space="preserve"> </w:t>
      </w:r>
      <w:r>
        <w:t xml:space="preserve">cryptocurrencies</w:t>
      </w:r>
      <w:r>
        <w:t xml:space="preserve"> </w:t>
      </w:r>
      <w:r>
        <w:t xml:space="preserve">and</w:t>
      </w:r>
      <w:r>
        <w:t xml:space="preserve"> </w:t>
      </w:r>
      <w:r>
        <w:t xml:space="preserve">stocks.</w:t>
      </w:r>
      <w:r>
        <w:t xml:space="preserve"> </w:t>
      </w:r>
      <w:r>
        <w:t xml:space="preserve">Using</w:t>
      </w:r>
      <w:r>
        <w:t xml:space="preserve"> </w:t>
      </w:r>
      <w:r>
        <w:t xml:space="preserve">Synthetic</w:t>
      </w:r>
      <w:r>
        <w:t xml:space="preserve"> </w:t>
      </w:r>
      <w:r>
        <w:t xml:space="preserve">Minority</w:t>
      </w:r>
      <w:r>
        <w:t xml:space="preserve"> </w:t>
      </w:r>
      <w:r>
        <w:t xml:space="preserve">Over-sampling</w:t>
      </w:r>
      <w:r>
        <w:t xml:space="preserve"> </w:t>
      </w:r>
      <w:r>
        <w:t xml:space="preserve">Technique</w:t>
      </w:r>
      <w:r>
        <w:t xml:space="preserve"> </w:t>
      </w:r>
      <w:r>
        <w:t xml:space="preserve">(SMOTE)</w:t>
      </w:r>
      <w:r>
        <w:t xml:space="preserve"> </w:t>
      </w:r>
      <w:r>
        <w:t xml:space="preserve">for</w:t>
      </w:r>
      <w:r>
        <w:t xml:space="preserve"> </w:t>
      </w:r>
      <w:r>
        <w:t xml:space="preserve">class</w:t>
      </w:r>
      <w:r>
        <w:t xml:space="preserve"> </w:t>
      </w:r>
      <w:r>
        <w:t xml:space="preserve">balancing,</w:t>
      </w:r>
      <w:r>
        <w:t xml:space="preserve"> </w:t>
      </w:r>
      <w:r>
        <w:t xml:space="preserve">time-series</w:t>
      </w:r>
      <w:r>
        <w:t xml:space="preserve"> </w:t>
      </w:r>
      <w:r>
        <w:t xml:space="preserve">cross-validation</w:t>
      </w:r>
      <w:r>
        <w:t xml:space="preserve"> </w:t>
      </w:r>
      <w:r>
        <w:t xml:space="preserve">to</w:t>
      </w:r>
      <w:r>
        <w:t xml:space="preserve"> </w:t>
      </w:r>
      <w:r>
        <w:t xml:space="preserve">prevent</w:t>
      </w:r>
      <w:r>
        <w:t xml:space="preserve"> </w:t>
      </w:r>
      <w:r>
        <w:t xml:space="preserve">data</w:t>
      </w:r>
      <w:r>
        <w:t xml:space="preserve"> </w:t>
      </w:r>
      <w:r>
        <w:t xml:space="preserve">leakage,</w:t>
      </w:r>
      <w:r>
        <w:t xml:space="preserve"> </w:t>
      </w:r>
      <w:r>
        <w:t xml:space="preserve">and</w:t>
      </w:r>
      <w:r>
        <w:t xml:space="preserve"> </w:t>
      </w:r>
      <w:r>
        <w:t xml:space="preserve">Bayesian</w:t>
      </w:r>
      <w:r>
        <w:t xml:space="preserve"> </w:t>
      </w:r>
      <w:r>
        <w:t xml:space="preserve">hyperparameter</w:t>
      </w:r>
      <w:r>
        <w:t xml:space="preserve"> </w:t>
      </w:r>
      <w:r>
        <w:t xml:space="preserve">optimization,</w:t>
      </w:r>
      <w:r>
        <w:t xml:space="preserve"> </w:t>
      </w:r>
      <w:r>
        <w:t xml:space="preserve">we</w:t>
      </w:r>
      <w:r>
        <w:t xml:space="preserve"> </w:t>
      </w:r>
      <w:r>
        <w:t xml:space="preserve">achieve</w:t>
      </w:r>
      <w:r>
        <w:t xml:space="preserve"> </w:t>
      </w:r>
      <w:r>
        <w:t xml:space="preserve">prediction</w:t>
      </w:r>
      <w:r>
        <w:t xml:space="preserve"> </w:t>
      </w:r>
      <w:r>
        <w:t xml:space="preserve">accuracy</w:t>
      </w:r>
      <w:r>
        <w:t xml:space="preserve"> </w:t>
      </w:r>
      <w:r>
        <w:t xml:space="preserve">of</w:t>
      </w:r>
      <w:r>
        <w:t xml:space="preserve"> </w:t>
      </w:r>
      <w:r>
        <w:t xml:space="preserve">73.4%</w:t>
      </w:r>
      <w:r>
        <w:t xml:space="preserve"> </w:t>
      </w:r>
      <w:r>
        <w:t xml:space="preserve">for</w:t>
      </w:r>
      <w:r>
        <w:t xml:space="preserve"> </w:t>
      </w:r>
      <w:r>
        <w:t xml:space="preserve">cryptocurrency</w:t>
      </w:r>
      <w:r>
        <w:t xml:space="preserve"> </w:t>
      </w:r>
      <w:r>
        <w:t xml:space="preserve">markets</w:t>
      </w:r>
      <w:r>
        <w:t xml:space="preserve"> </w:t>
      </w:r>
      <w:r>
        <w:t xml:space="preserve">and</w:t>
      </w:r>
      <w:r>
        <w:t xml:space="preserve"> </w:t>
      </w:r>
      <w:r>
        <w:t xml:space="preserve">75.8%</w:t>
      </w:r>
      <w:r>
        <w:t xml:space="preserve"> </w:t>
      </w:r>
      <w:r>
        <w:t xml:space="preserve">for</w:t>
      </w:r>
      <w:r>
        <w:t xml:space="preserve"> </w:t>
      </w:r>
      <w:r>
        <w:t xml:space="preserve">stock</w:t>
      </w:r>
      <w:r>
        <w:t xml:space="preserve"> </w:t>
      </w:r>
      <w:r>
        <w:t xml:space="preserve">markets,</w:t>
      </w:r>
      <w:r>
        <w:t xml:space="preserve"> </w:t>
      </w:r>
      <w:r>
        <w:t xml:space="preserve">with</w:t>
      </w:r>
      <w:r>
        <w:t xml:space="preserve"> </w:t>
      </w:r>
      <w:r>
        <w:t xml:space="preserve">the</w:t>
      </w:r>
      <w:r>
        <w:t xml:space="preserve"> </w:t>
      </w:r>
      <w:r>
        <w:t xml:space="preserve">tri-signal</w:t>
      </w:r>
      <w:r>
        <w:t xml:space="preserve"> </w:t>
      </w:r>
      <w:r>
        <w:t xml:space="preserve">fusion</w:t>
      </w:r>
      <w:r>
        <w:t xml:space="preserve"> </w:t>
      </w:r>
      <w:r>
        <w:t xml:space="preserve">approach</w:t>
      </w:r>
      <w:r>
        <w:t xml:space="preserve"> </w:t>
      </w:r>
      <w:r>
        <w:t xml:space="preserve">improving</w:t>
      </w:r>
      <w:r>
        <w:t xml:space="preserve"> </w:t>
      </w:r>
      <w:r>
        <w:t xml:space="preserve">standalone</w:t>
      </w:r>
      <w:r>
        <w:t xml:space="preserve"> </w:t>
      </w:r>
      <w:r>
        <w:t xml:space="preserve">ML</w:t>
      </w:r>
      <w:r>
        <w:t xml:space="preserve"> </w:t>
      </w:r>
      <w:r>
        <w:t xml:space="preserve">accuracy</w:t>
      </w:r>
      <w:r>
        <w:t xml:space="preserve"> </w:t>
      </w:r>
      <w:r>
        <w:t xml:space="preserve">by</w:t>
      </w:r>
      <w:r>
        <w:t xml:space="preserve"> </w:t>
      </w:r>
      <w:r>
        <w:t xml:space="preserve">8.2</w:t>
      </w:r>
      <w:r>
        <w:t xml:space="preserve"> </w:t>
      </w:r>
      <w:r>
        <w:t xml:space="preserve">percentage</w:t>
      </w:r>
      <w:r>
        <w:t xml:space="preserve"> </w:t>
      </w:r>
      <w:r>
        <w:t xml:space="preserve">points</w:t>
      </w:r>
      <w:r>
        <w:t xml:space="preserve"> </w:t>
      </w:r>
      <w:r>
        <w:t xml:space="preserve">(12.6%</w:t>
      </w:r>
      <w:r>
        <w:t xml:space="preserve"> </w:t>
      </w:r>
      <w:r>
        <w:t xml:space="preserve">relative</w:t>
      </w:r>
      <w:r>
        <w:t xml:space="preserve"> </w:t>
      </w:r>
      <w:r>
        <w:t xml:space="preserve">improvement).</w:t>
      </w:r>
      <w:r>
        <w:t xml:space="preserve"> </w:t>
      </w:r>
      <w:r>
        <w:t xml:space="preserve">The</w:t>
      </w:r>
      <w:r>
        <w:t xml:space="preserve"> </w:t>
      </w:r>
      <w:r>
        <w:t xml:space="preserve">system</w:t>
      </w:r>
      <w:r>
        <w:t xml:space="preserve"> </w:t>
      </w:r>
      <w:r>
        <w:t xml:space="preserve">incorporates</w:t>
      </w:r>
      <w:r>
        <w:t xml:space="preserve"> </w:t>
      </w:r>
      <w:r>
        <w:t xml:space="preserve">explainable</w:t>
      </w:r>
      <w:r>
        <w:t xml:space="preserve"> </w:t>
      </w:r>
      <w:r>
        <w:t xml:space="preserve">AI</w:t>
      </w:r>
      <w:r>
        <w:t xml:space="preserve"> </w:t>
      </w:r>
      <w:r>
        <w:t xml:space="preserve">through</w:t>
      </w:r>
      <w:r>
        <w:t xml:space="preserve"> </w:t>
      </w:r>
      <w:r>
        <w:t xml:space="preserve">SHAP</w:t>
      </w:r>
      <w:r>
        <w:t xml:space="preserve"> </w:t>
      </w:r>
      <w:r>
        <w:t xml:space="preserve">analysis</w:t>
      </w:r>
      <w:r>
        <w:t xml:space="preserve"> </w:t>
      </w:r>
      <w:r>
        <w:t xml:space="preserve">and</w:t>
      </w:r>
      <w:r>
        <w:t xml:space="preserve"> </w:t>
      </w:r>
      <w:r>
        <w:t xml:space="preserve">SEC-compliant</w:t>
      </w:r>
      <w:r>
        <w:t xml:space="preserve"> </w:t>
      </w:r>
      <w:r>
        <w:t xml:space="preserve">risk</w:t>
      </w:r>
      <w:r>
        <w:t xml:space="preserve"> </w:t>
      </w:r>
      <w:r>
        <w:t xml:space="preserve">disclosures,</w:t>
      </w:r>
      <w:r>
        <w:t xml:space="preserve"> </w:t>
      </w:r>
      <w:r>
        <w:t xml:space="preserve">addressing</w:t>
      </w:r>
      <w:r>
        <w:t xml:space="preserve"> </w:t>
      </w:r>
      <w:r>
        <w:t xml:space="preserve">the</w:t>
      </w:r>
      <w:r>
        <w:t xml:space="preserve"> </w:t>
      </w:r>
      <w:r>
        <w:t xml:space="preserve">critical</w:t>
      </w:r>
      <w:r>
        <w:t xml:space="preserve"> </w:t>
      </w:r>
      <w:r>
        <w:t xml:space="preserve">need</w:t>
      </w:r>
      <w:r>
        <w:t xml:space="preserve"> </w:t>
      </w:r>
      <w:r>
        <w:t xml:space="preserve">for</w:t>
      </w:r>
      <w:r>
        <w:t xml:space="preserve"> </w:t>
      </w:r>
      <w:r>
        <w:t xml:space="preserve">transparency</w:t>
      </w:r>
      <w:r>
        <w:t xml:space="preserve"> </w:t>
      </w:r>
      <w:r>
        <w:t xml:space="preserve">in</w:t>
      </w:r>
      <w:r>
        <w:t xml:space="preserve"> </w:t>
      </w:r>
      <w:r>
        <w:t xml:space="preserve">algorithmic</w:t>
      </w:r>
      <w:r>
        <w:t xml:space="preserve"> </w:t>
      </w:r>
      <w:r>
        <w:t xml:space="preserve">trading.</w:t>
      </w:r>
      <w:r>
        <w:t xml:space="preserve"> </w:t>
      </w:r>
      <w:r>
        <w:t xml:space="preserve">Our</w:t>
      </w:r>
      <w:r>
        <w:t xml:space="preserve"> </w:t>
      </w:r>
      <w:r>
        <w:t xml:space="preserve">contribution</w:t>
      </w:r>
      <w:r>
        <w:t xml:space="preserve"> </w:t>
      </w:r>
      <w:r>
        <w:t xml:space="preserve">includes</w:t>
      </w:r>
      <w:r>
        <w:t xml:space="preserve"> </w:t>
      </w:r>
      <w:r>
        <w:t xml:space="preserve">a</w:t>
      </w:r>
      <w:r>
        <w:t xml:space="preserve"> </w:t>
      </w:r>
      <w:r>
        <w:t xml:space="preserve">comprehensive</w:t>
      </w:r>
      <w:r>
        <w:t xml:space="preserve"> </w:t>
      </w:r>
      <w:r>
        <w:t xml:space="preserve">backtesting</w:t>
      </w:r>
      <w:r>
        <w:t xml:space="preserve"> </w:t>
      </w:r>
      <w:r>
        <w:t xml:space="preserve">framework,</w:t>
      </w:r>
      <w:r>
        <w:t xml:space="preserve"> </w:t>
      </w:r>
      <w:r>
        <w:t xml:space="preserve">personalized</w:t>
      </w:r>
      <w:r>
        <w:t xml:space="preserve"> </w:t>
      </w:r>
      <w:r>
        <w:t xml:space="preserve">risk-based</w:t>
      </w:r>
      <w:r>
        <w:t xml:space="preserve"> </w:t>
      </w:r>
      <w:r>
        <w:t xml:space="preserve">trading</w:t>
      </w:r>
      <w:r>
        <w:t xml:space="preserve"> </w:t>
      </w:r>
      <w:r>
        <w:t xml:space="preserve">plans,</w:t>
      </w:r>
      <w:r>
        <w:t xml:space="preserve"> </w:t>
      </w:r>
      <w:r>
        <w:t xml:space="preserve">and</w:t>
      </w:r>
      <w:r>
        <w:t xml:space="preserve"> </w:t>
      </w:r>
      <w:r>
        <w:t xml:space="preserve">an</w:t>
      </w:r>
      <w:r>
        <w:t xml:space="preserve"> </w:t>
      </w:r>
      <w:r>
        <w:t xml:space="preserve">interactive</w:t>
      </w:r>
      <w:r>
        <w:t xml:space="preserve"> </w:t>
      </w:r>
      <w:r>
        <w:t xml:space="preserve">dashboard</w:t>
      </w:r>
      <w:r>
        <w:t xml:space="preserve"> </w:t>
      </w:r>
      <w:r>
        <w:t xml:space="preserve">supporting</w:t>
      </w:r>
      <w:r>
        <w:t xml:space="preserve"> </w:t>
      </w:r>
      <w:r>
        <w:t xml:space="preserve">both</w:t>
      </w:r>
      <w:r>
        <w:t xml:space="preserve"> </w:t>
      </w:r>
      <w:r>
        <w:t xml:space="preserve">manual</w:t>
      </w:r>
      <w:r>
        <w:t xml:space="preserve"> </w:t>
      </w:r>
      <w:r>
        <w:t xml:space="preserve">and</w:t>
      </w:r>
      <w:r>
        <w:t xml:space="preserve"> </w:t>
      </w:r>
      <w:r>
        <w:t xml:space="preserve">automated</w:t>
      </w:r>
      <w:r>
        <w:t xml:space="preserve"> </w:t>
      </w:r>
      <w:r>
        <w:t xml:space="preserve">trading</w:t>
      </w:r>
      <w:r>
        <w:t xml:space="preserve"> </w:t>
      </w:r>
      <w:r>
        <w:t xml:space="preserve">modes.</w:t>
      </w:r>
      <w:r>
        <w:t xml:space="preserve"> </w:t>
      </w:r>
      <w:r>
        <w:t xml:space="preserve">Our</w:t>
      </w:r>
      <w:r>
        <w:t xml:space="preserve"> </w:t>
      </w:r>
      <w:r>
        <w:t xml:space="preserve">tool</w:t>
      </w:r>
      <w:r>
        <w:t xml:space="preserve"> </w:t>
      </w:r>
      <w:r>
        <w:t xml:space="preserve">is</w:t>
      </w:r>
      <w:r>
        <w:t xml:space="preserve"> </w:t>
      </w:r>
      <w:r>
        <w:t xml:space="preserve">freely</w:t>
      </w:r>
      <w:r>
        <w:t xml:space="preserve"> </w:t>
      </w:r>
      <w:r>
        <w:t xml:space="preserve">available</w:t>
      </w:r>
      <w:r>
        <w:t xml:space="preserve"> </w:t>
      </w:r>
      <w:r>
        <w:t xml:space="preserve">at</w:t>
      </w:r>
      <w:r>
        <w:t xml:space="preserve"> </w:t>
      </w:r>
      <w:r>
        <w:t xml:space="preserve">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100+ cryptocurrencies across 12 sectors and comprehensive stock market coverage including all 11 Global Industry Classification Standard (GICS) sectors</w:t>
      </w:r>
      <w:r>
        <w:t xml:space="preserve"> </w:t>
      </w:r>
      <w:r>
        <w:t xml:space="preserve">.</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4"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2</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4432986"/>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4432986"/>
                    </a:xfrm>
                    <a:prstGeom prst="rect">
                      <a:avLst/>
                    </a:prstGeom>
                    <a:noFill/>
                    <a:ln w="9525">
                      <a:noFill/>
                      <a:headEnd/>
                      <a:tailEnd/>
                    </a:ln>
                  </pic:spPr>
                </pic:pic>
              </a:graphicData>
            </a:graphic>
          </wp:inline>
        </w:drawing>
      </w:r>
    </w:p>
    <w:p>
      <w:pPr>
        <w:pStyle w:val="ImageCaption"/>
      </w:pPr>
      <w:r>
        <w:t xml:space="preserve">IntelliTradeAI system architecture showing the stacking ensemble with four base models (BiLSTM, Random Forest, XGBoost, LightGBM) and logistic regression meta-learner, integrated with tri-signal fusion engine.</w:t>
      </w:r>
    </w:p>
    <w:bookmarkEnd w:id="31"/>
    <w:bookmarkStart w:id="34" w:name="data-sources-and-preprocessing"/>
    <w:p>
      <w:pPr>
        <w:pStyle w:val="Heading2"/>
      </w:pPr>
      <w:r>
        <w:t xml:space="preserve">Data Sources and Preprocessing</w:t>
      </w:r>
    </w:p>
    <w:p>
      <w:pPr>
        <w:pStyle w:val="FirstParagraph"/>
      </w:pPr>
      <w:r>
        <w:t xml:space="preserve">We obtain our data from two primary sources as detailed in Table </w:t>
      </w:r>
      <w:hyperlink w:anchor="tab:datasources">
        <w:r>
          <w:rPr>
            <w:rStyle w:val="Hyperlink"/>
          </w:rPr>
          <w:t xml:space="preserve">1</w:t>
        </w:r>
      </w:hyperlink>
      <w:r>
        <w:t xml:space="preserve">. Historical price data is fetched through Yahoo Finance API, providing up to 10 years of daily OHLCV (Open, High, Low, Close, Volume) data for both stocks and cryptocurrencies. Real-time cryptocurrency data is supplemented through CoinMarketCap API</w:t>
      </w:r>
      <w:r>
        <w:t xml:space="preserve"> </w:t>
      </w:r>
      <w:r>
        <w:t xml:space="preserve">.</w:t>
      </w:r>
    </w:p>
    <w:bookmarkStart w:id="32" w:name="tab:datasources"/>
    <w:p>
      <w:pPr>
        <w:pStyle w:val="TableCaption"/>
      </w:pPr>
      <w:r>
        <w:t xml:space="preserve">Data Sources Summary</w:t>
      </w:r>
    </w:p>
    <w:tbl>
      <w:tblPr>
        <w:tblStyle w:val="Table"/>
        <w:tblW w:type="auto" w:w="0"/>
        <w:jc w:val="left"/>
        <w:tblLook w:firstRow="1" w:lastRow="0" w:firstColumn="0" w:lastColumn="0" w:noHBand="0" w:noVBand="0" w:val="0020"/>
        <w:tblCaption w:val="Data Sources Summary"/>
      </w:tblPr>
      <w:tblGrid>
        <w:gridCol w:w="1584"/>
        <w:gridCol w:w="1584"/>
        <w:gridCol w:w="1584"/>
        <w:gridCol w:w="1584"/>
        <w:gridCol w:w="1584"/>
      </w:tblGrid>
      <w:tr>
        <w:trPr>
          <w:tblHeader w:val="on"/>
        </w:trPr>
        <w:tc>
          <w:tcPr/>
          <w:p>
            <w:pPr>
              <w:pStyle w:val="Compact"/>
              <w:jc w:val="left"/>
            </w:pPr>
            <w:r>
              <w:rPr>
                <w:b/>
                <w:bCs/>
              </w:rPr>
              <w:t xml:space="preserve">Source</w:t>
            </w:r>
          </w:p>
        </w:tc>
        <w:tc>
          <w:tcPr/>
          <w:p>
            <w:pPr>
              <w:pStyle w:val="Compact"/>
              <w:jc w:val="center"/>
            </w:pPr>
            <w:r>
              <w:rPr>
                <w:b/>
                <w:bCs/>
              </w:rPr>
              <w:t xml:space="preserve">Assets</w:t>
            </w:r>
          </w:p>
        </w:tc>
        <w:tc>
          <w:tcPr/>
          <w:p>
            <w:pPr>
              <w:pStyle w:val="Compact"/>
              <w:jc w:val="center"/>
            </w:pPr>
            <w:r>
              <w:rPr>
                <w:b/>
                <w:bCs/>
              </w:rPr>
              <w:t xml:space="preserve">Records</w:t>
            </w:r>
          </w:p>
        </w:tc>
        <w:tc>
          <w:tcPr/>
          <w:p>
            <w:pPr>
              <w:pStyle w:val="Compact"/>
              <w:jc w:val="center"/>
            </w:pPr>
            <w:r>
              <w:rPr>
                <w:b/>
                <w:bCs/>
              </w:rPr>
              <w:t xml:space="preserve">Train/Test</w:t>
            </w:r>
          </w:p>
        </w:tc>
        <w:tc>
          <w:tcPr/>
          <w:p>
            <w:pPr>
              <w:pStyle w:val="Compact"/>
              <w:jc w:val="center"/>
            </w:pPr>
            <w:r>
              <w:rPr>
                <w:b/>
                <w:bCs/>
              </w:rPr>
              <w:t xml:space="preserve">Period</w:t>
            </w:r>
          </w:p>
        </w:tc>
      </w:tr>
      <w:tr>
        <w:tc>
          <w:tcPr/>
          <w:p>
            <w:pPr>
              <w:pStyle w:val="Compact"/>
              <w:jc w:val="left"/>
            </w:pPr>
            <w:r>
              <w:t xml:space="preserve">Yahoo Finance</w:t>
            </w:r>
          </w:p>
        </w:tc>
        <w:tc>
          <w:tcPr/>
          <w:p>
            <w:pPr>
              <w:pStyle w:val="Compact"/>
              <w:jc w:val="center"/>
            </w:pPr>
            <w:r>
              <w:t xml:space="preserve">150 stocks</w:t>
            </w:r>
          </w:p>
        </w:tc>
        <w:tc>
          <w:tcPr/>
          <w:p>
            <w:pPr>
              <w:pStyle w:val="Compact"/>
              <w:jc w:val="center"/>
            </w:pPr>
            <w:r>
              <w:t xml:space="preserve">547,500</w:t>
            </w:r>
          </w:p>
        </w:tc>
        <w:tc>
          <w:tcPr/>
          <w:p>
            <w:pPr>
              <w:pStyle w:val="Compact"/>
              <w:jc w:val="center"/>
            </w:pPr>
            <w:r>
              <w:t xml:space="preserve">80%/20%</w:t>
            </w:r>
          </w:p>
        </w:tc>
        <w:tc>
          <w:tcPr/>
          <w:p>
            <w:pPr>
              <w:pStyle w:val="Compact"/>
              <w:jc w:val="center"/>
            </w:pPr>
            <w:r>
              <w:t xml:space="preserve">2014-2024</w:t>
            </w:r>
          </w:p>
        </w:tc>
      </w:tr>
      <w:tr>
        <w:tc>
          <w:tcPr/>
          <w:p>
            <w:pPr>
              <w:pStyle w:val="Compact"/>
              <w:jc w:val="left"/>
            </w:pPr>
            <w:r>
              <w:t xml:space="preserve">CoinMarketCap</w:t>
            </w:r>
          </w:p>
        </w:tc>
        <w:tc>
          <w:tcPr/>
          <w:p>
            <w:pPr>
              <w:pStyle w:val="Compact"/>
              <w:jc w:val="center"/>
            </w:pPr>
            <w:r>
              <w:t xml:space="preserve">100 cryptos</w:t>
            </w:r>
          </w:p>
        </w:tc>
        <w:tc>
          <w:tcPr/>
          <w:p>
            <w:pPr>
              <w:pStyle w:val="Compact"/>
              <w:jc w:val="center"/>
            </w:pPr>
            <w:r>
              <w:t xml:space="preserve">365,000</w:t>
            </w:r>
          </w:p>
        </w:tc>
        <w:tc>
          <w:tcPr/>
          <w:p>
            <w:pPr>
              <w:pStyle w:val="Compact"/>
              <w:jc w:val="center"/>
            </w:pPr>
            <w:r>
              <w:t xml:space="preserve">80%/20%</w:t>
            </w:r>
          </w:p>
        </w:tc>
        <w:tc>
          <w:tcPr/>
          <w:p>
            <w:pPr>
              <w:pStyle w:val="Compact"/>
              <w:jc w:val="center"/>
            </w:pPr>
            <w:r>
              <w:t xml:space="preserve">2017-2024</w:t>
            </w:r>
          </w:p>
        </w:tc>
      </w:tr>
      <w:tr>
        <w:tc>
          <w:tcPr/>
          <w:p>
            <w:pPr>
              <w:pStyle w:val="Compact"/>
              <w:jc w:val="left"/>
            </w:pPr>
            <w:r>
              <w:rPr>
                <w:b/>
                <w:bCs/>
              </w:rPr>
              <w:t xml:space="preserve">Total</w:t>
            </w:r>
          </w:p>
        </w:tc>
        <w:tc>
          <w:tcPr/>
          <w:p>
            <w:pPr>
              <w:pStyle w:val="Compact"/>
              <w:jc w:val="center"/>
            </w:pPr>
            <w:r>
              <w:rPr>
                <w:b/>
                <w:bCs/>
              </w:rPr>
              <w:t xml:space="preserve">250</w:t>
            </w:r>
          </w:p>
        </w:tc>
        <w:tc>
          <w:tcPr/>
          <w:p>
            <w:pPr>
              <w:pStyle w:val="Compact"/>
              <w:jc w:val="center"/>
            </w:pPr>
            <w:r>
              <w:rPr>
                <w:b/>
                <w:bCs/>
              </w:rPr>
              <w:t xml:space="preserve">912,500</w:t>
            </w:r>
          </w:p>
        </w:tc>
        <w:tc>
          <w:tcPr/>
          <w:p>
            <w:pPr>
              <w:pStyle w:val="Compact"/>
              <w:jc w:val="center"/>
            </w:pPr>
            <w:r>
              <w:rPr>
                <w:b/>
                <w:bCs/>
              </w:rPr>
              <w:t xml:space="preserve">730K/182K</w:t>
            </w:r>
          </w:p>
        </w:tc>
        <w:tc>
          <w:tcPr/>
          <w:p>
            <w:pPr>
              <w:pStyle w:val="Compact"/>
              <w:jc w:val="center"/>
            </w:pPr>
            <w:r>
              <w:t xml:space="preserve">–</w:t>
            </w:r>
          </w:p>
        </w:tc>
      </w:tr>
    </w:tbl>
    <w:bookmarkEnd w:id="32"/>
    <w:p>
      <w:pPr>
        <w:pStyle w:val="BodyText"/>
      </w:pPr>
      <w:bookmarkStart w:id="33" w:name="tab:datasources"/>
      <w:bookmarkEnd w:id="33"/>
    </w:p>
    <w:p>
      <w:pPr>
        <w:pStyle w:val="BodyText"/>
      </w:pPr>
      <w:r>
        <w:t xml:space="preserve">Our data preprocessing pipeline consists of four sequential steps: (1)</w:t>
      </w:r>
      <w:r>
        <w:t xml:space="preserve"> </w:t>
      </w:r>
      <w:r>
        <w:rPr>
          <w:i/>
          <w:iCs/>
        </w:rPr>
        <w:t xml:space="preserve">Missing value handling</w:t>
      </w:r>
      <w:r>
        <w:t xml:space="preserve">: We apply forward-fill interpolation to handle gaps in trading data, reducing missing values from 3.2% to 0% of records; (2)</w:t>
      </w:r>
      <w:r>
        <w:t xml:space="preserve"> </w:t>
      </w:r>
      <w:r>
        <w:rPr>
          <w:i/>
          <w:iCs/>
        </w:rPr>
        <w:t xml:space="preserve">Outlier filtering</w:t>
      </w:r>
      <w:r>
        <w:t xml:space="preserve">: Z-score based filtering removes data points exceeding 4 standard deviations, eliminating 0.8% of records as anomalies; (3)</w:t>
      </w:r>
      <w:r>
        <w:t xml:space="preserve"> </w:t>
      </w:r>
      <w:r>
        <w:rPr>
          <w:i/>
          <w:iCs/>
        </w:rPr>
        <w:t xml:space="preserve">Feature normalization</w:t>
      </w:r>
      <w:r>
        <w:t xml:space="preserve">: Min-max scaling transforms all features to the [0,1] range; (4)</w:t>
      </w:r>
      <w:r>
        <w:t xml:space="preserve"> </w:t>
      </w:r>
      <w:r>
        <w:rPr>
          <w:i/>
          <w:iCs/>
        </w:rPr>
        <w:t xml:space="preserve">Temporal alignment</w:t>
      </w:r>
      <w:r>
        <w:t xml:space="preserve">: UTC standardization ensures consistent timestamps across all data sources. After preprocessing, we retain 904,195 clean records from the original 912,500.</w:t>
      </w:r>
    </w:p>
    <w:bookmarkEnd w:id="34"/>
    <w:bookmarkStart w:id="37" w:name="feature-engineering"/>
    <w:p>
      <w:pPr>
        <w:pStyle w:val="Heading2"/>
      </w:pPr>
      <w:r>
        <w:t xml:space="preserve">Feature Engineering</w:t>
      </w:r>
    </w:p>
    <w:p>
      <w:pPr>
        <w:pStyle w:val="FirstParagraph"/>
      </w:pPr>
      <w:r>
        <w:t xml:space="preserve">Our feature engineering pipeline generates exactly 70 predictive features organized into seven categories as shown in Table </w:t>
      </w:r>
      <w:hyperlink w:anchor="tab:features">
        <w:r>
          <w:rPr>
            <w:rStyle w:val="Hyperlink"/>
          </w:rPr>
          <w:t xml:space="preserve">2</w:t>
        </w:r>
      </w:hyperlink>
      <w:r>
        <w:t xml:space="preserve">. Each category captures different aspects of market behavior: price features encode direct price action, volume features measure trading activity, trend features identify directional movement, momentum features detect rate of change, volatility features capture price dispersion, pattern features recognize classical chart formations, and calendar features exploit temporal seasonality effects.</w:t>
      </w:r>
    </w:p>
    <w:bookmarkStart w:id="35"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5"/>
    <w:p>
      <w:pPr>
        <w:pStyle w:val="BodyText"/>
      </w:pPr>
      <w:bookmarkStart w:id="36" w:name="tab:features"/>
      <w:bookmarkEnd w:id="36"/>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7"/>
    <w:bookmarkStart w:id="40" w:name="machine-learning-models"/>
    <w:p>
      <w:pPr>
        <w:pStyle w:val="Heading2"/>
      </w:pPr>
      <w:r>
        <w:t xml:space="preserve">Machine Learning Models</w:t>
      </w:r>
    </w:p>
    <w:p>
      <w:pPr>
        <w:pStyle w:val="FirstParagraph"/>
      </w:pPr>
      <w:r>
        <w:t xml:space="preserve">We employ a stacking ensemble combining four complementary base learners with a meta-learner, each selected for its unique strengths in financial prediction. Our enhanced bidirectional Long Short-Term Memory (LSTM) networks</w:t>
      </w:r>
      <w:r>
        <w:t xml:space="preserve"> </w:t>
      </w:r>
      <w:r>
        <w:t xml:space="preserve"> </w:t>
      </w:r>
      <w:r>
        <w:t xml:space="preserve">use three layers (128, 64, 32 units) with attention mechanisms to capture temporal dependencies. Random Forest</w:t>
      </w:r>
      <w:r>
        <w:t xml:space="preserve"> </w:t>
      </w:r>
      <w:r>
        <w:t xml:space="preserve"> </w:t>
      </w:r>
      <w:r>
        <w:t xml:space="preserve">provides robust ensemble predictions through bagging. XGBoost</w:t>
      </w:r>
      <w:r>
        <w:t xml:space="preserve"> </w:t>
      </w:r>
      <w:r>
        <w:t xml:space="preserve"> </w:t>
      </w:r>
      <w:r>
        <w:t xml:space="preserve">offers gradient boosting with built-in regularization. LightGBM provides fast gradient boosting with leaf-wise tree growth for improved accuracy.</w:t>
      </w:r>
    </w:p>
    <w:p>
      <w:pPr>
        <w:pStyle w:val="BodyText"/>
      </w:pPr>
      <w:r>
        <w:t xml:space="preserve">Our enhanced LSTM architecture uses bidirectional layers with batch normalization between layers, dropout (30%) and recurrent dropout (20%) for regularization, and L2 weight regularization. We train with Adam optimizer using early stopping (patience=15) and learning rate scheduling. Our Random Forest uses 200 trees with maximum depth of 15 and balanced class weights. Our XGBoost uses 300 estimators with learning rate of 0.05 and maximum depth of 6. LightGBM uses 300 estimators with 31 leaves and 0.05 learning rate.</w:t>
      </w:r>
    </w:p>
    <w:p>
      <w:pPr>
        <w:pStyle w:val="BodyText"/>
      </w:pPr>
      <w:r>
        <w:t xml:space="preserve">The stacking ensemble generates out-of-fold predictions from each base model using time-series cross-validation to prevent data leakage. A logistic regression meta-learner combines these predictions to produce the final signal.</w:t>
      </w:r>
    </w:p>
    <w:bookmarkStart w:id="38"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8"/>
    <w:p>
      <w:pPr>
        <w:pStyle w:val="BodyText"/>
      </w:pPr>
      <w:bookmarkStart w:id="39" w:name="tab:models"/>
      <w:bookmarkEnd w:id="39"/>
    </w:p>
    <w:bookmarkEnd w:id="40"/>
    <w:bookmarkStart w:id="41" w:name="class-balancing-and-cross-validation"/>
    <w:p>
      <w:pPr>
        <w:pStyle w:val="Heading2"/>
      </w:pPr>
      <w:r>
        <w:t xml:space="preserve">Class Balancing and Cross-Validation</w:t>
      </w:r>
    </w:p>
    <w:p>
      <w:pPr>
        <w:pStyle w:val="FirstParagraph"/>
      </w:pPr>
      <w:r>
        <w:t xml:space="preserve">Financial datasets often exhibit class imbalance between up and down movements. We apply Synthetic Minority Over-sampling Technique (SMOTE) to balance classes before training, generating synthetic samples through k-nearest neighbor interpolation with k=5.</w:t>
      </w:r>
    </w:p>
    <w:p>
      <w:pPr>
        <w:pStyle w:val="BodyText"/>
      </w:pPr>
      <w:r>
        <w:t xml:space="preserve">To prevent data leakage in time-series data, we implement custom out-of-fold prediction using TimeSeriesSplit with 5 folds. Unlike standard k-fold cross-validation, TimeSeriesSplit ensures that training data always precedes validation data temporally, mimicking real-world deployment conditions.</w:t>
      </w:r>
    </w:p>
    <w:p>
      <w:pPr>
        <w:pStyle w:val="BodyText"/>
      </w:pPr>
      <w:r>
        <w:t xml:space="preserve">We optimize hyperparameters using Bayesian optimization through the Optuna framework, exploring the parameter space efficiently through Tree-structured Parzen Estimator sampling with 50 trials per model.</w:t>
      </w:r>
    </w:p>
    <w:bookmarkEnd w:id="41"/>
    <w:bookmarkStart w:id="42" w:name="tri-signal-fusion-engine"/>
    <w:p>
      <w:pPr>
        <w:pStyle w:val="Heading2"/>
      </w:pPr>
      <w:r>
        <w:t xml:space="preserve">Tri-Signal Fusion Engine</w:t>
      </w:r>
    </w:p>
    <w:p>
      <w:pPr>
        <w:pStyle w:val="FirstParagraph"/>
      </w:pPr>
      <w:r>
        <w:t xml:space="preserve">Our tri-signal fusion engine represents the core innovation of IntelliTradeAI, combining three distinct signal sources—machine learning predictions, technical pattern recognition, and news sentiment analysis—into a unified trading signal. This multi-source approach addresses the limitation of single-methodology systems that are vulnerable to market regime changes.</w:t>
      </w:r>
    </w:p>
    <w:p>
      <w:pPr>
        <w:pStyle w:val="BodyText"/>
      </w:pPr>
      <w:r>
        <w:t xml:space="preserve">We combine the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our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 We determined these weights through grid search hyperparameter optimization over ranges</w:t>
      </w:r>
      <w:r>
        <w:t xml:space="preserve"> </w:t>
      </w:r>
      <m:oMath>
        <m:sSub>
          <m:e>
            <m:r>
              <m:t>w</m:t>
            </m:r>
          </m:e>
          <m:sub>
            <m:r>
              <m:t>M</m:t>
            </m:r>
            <m:r>
              <m:t>L</m:t>
            </m:r>
          </m:sub>
        </m:sSub>
        <m:r>
          <m:rPr>
            <m:sty m:val="p"/>
          </m:rPr>
          <m:t>∈</m:t>
        </m:r>
        <m:d>
          <m:dPr>
            <m:begChr m:val="["/>
            <m:endChr m:val="]"/>
            <m:sepChr m:val=""/>
            <m:grow/>
          </m:dPr>
          <m:e>
            <m:r>
              <m:t>0.3</m:t>
            </m:r>
            <m:r>
              <m:rPr>
                <m:sty m:val="p"/>
              </m:rPr>
              <m:t>,</m:t>
            </m:r>
            <m:r>
              <m:t>0.7</m:t>
            </m:r>
          </m:e>
        </m:d>
      </m:oMath>
      <w:r>
        <w:t xml:space="preserve">,</w:t>
      </w:r>
      <w:r>
        <w:t xml:space="preserve"> </w:t>
      </w:r>
      <m:oMath>
        <m:sSub>
          <m:e>
            <m:r>
              <m:t>w</m:t>
            </m:r>
          </m:e>
          <m:sub>
            <m:r>
              <m:t>P</m:t>
            </m:r>
            <m:r>
              <m:t>a</m:t>
            </m:r>
            <m:r>
              <m:t>t</m:t>
            </m:r>
            <m:r>
              <m:t>t</m:t>
            </m:r>
            <m:r>
              <m:t>e</m:t>
            </m:r>
            <m:r>
              <m:t>r</m:t>
            </m:r>
            <m:r>
              <m:t>n</m:t>
            </m:r>
          </m:sub>
        </m:sSub>
        <m:r>
          <m:rPr>
            <m:sty m:val="p"/>
          </m:rPr>
          <m:t>∈</m:t>
        </m:r>
        <m:d>
          <m:dPr>
            <m:begChr m:val="["/>
            <m:endChr m:val="]"/>
            <m:sepChr m:val=""/>
            <m:grow/>
          </m:dPr>
          <m:e>
            <m:r>
              <m:t>0.1</m:t>
            </m:r>
            <m:r>
              <m:rPr>
                <m:sty m:val="p"/>
              </m:rPr>
              <m:t>,</m:t>
            </m:r>
            <m:r>
              <m:t>0.4</m:t>
            </m:r>
          </m:e>
        </m:d>
      </m:oMath>
      <w:r>
        <w:t xml:space="preserve">, and</w:t>
      </w:r>
      <w:r>
        <w:t xml:space="preserve"> </w:t>
      </w:r>
      <m:oMath>
        <m:sSub>
          <m:e>
            <m:r>
              <m:t>w</m:t>
            </m:r>
          </m:e>
          <m:sub>
            <m:r>
              <m:t>N</m:t>
            </m:r>
            <m:r>
              <m:t>e</m:t>
            </m:r>
            <m:r>
              <m:t>w</m:t>
            </m:r>
            <m:r>
              <m:t>s</m:t>
            </m:r>
          </m:sub>
        </m:sSub>
        <m:r>
          <m:rPr>
            <m:sty m:val="p"/>
          </m:rPr>
          <m:t>∈</m:t>
        </m:r>
        <m:d>
          <m:dPr>
            <m:begChr m:val="["/>
            <m:endChr m:val="]"/>
            <m:sepChr m:val=""/>
            <m:grow/>
          </m:dPr>
          <m:e>
            <m:r>
              <m:t>0.1</m:t>
            </m:r>
            <m:r>
              <m:rPr>
                <m:sty m:val="p"/>
              </m:rPr>
              <m:t>,</m:t>
            </m:r>
            <m:r>
              <m:t>0.3</m:t>
            </m:r>
          </m:e>
        </m:d>
      </m:oMath>
      <w:r>
        <w:t xml:space="preserve">, evaluating 125 weight combinations on a held-out validation set. The selected weights achieved optimal Sharpe ratio of 1.74 compared to 1.45 for equal weighting.</w:t>
      </w:r>
    </w:p>
    <w:p>
      <w:pPr>
        <w:pStyle w:val="BodyText"/>
      </w:pPr>
      <w:r>
        <w:t xml:space="preserve">We implement a conflict resolution strategy when signals disagree: (1) If ML confidence exceeds 85%, the ML signal dominates; (2) If pattern confidence exceeds 70%, we apply pattern override; (3) For remaining conflicts, we return a weighted average with HOLD bias to reduce false signals.</w:t>
      </w:r>
    </w:p>
    <w:bookmarkEnd w:id="42"/>
    <w:bookmarkStart w:id="43" w:name="backtesting-framework"/>
    <w:p>
      <w:pPr>
        <w:pStyle w:val="Heading2"/>
      </w:pPr>
      <w:r>
        <w:t xml:space="preserve">Backtesting Framework</w:t>
      </w:r>
    </w:p>
    <w:p>
      <w:pPr>
        <w:pStyle w:val="FirstParagraph"/>
      </w:pPr>
      <w:r>
        <w:t xml:space="preserve">Backtesting is the process of evaluating a trading strategy on historical data to estimate its future performance. We developed a custom backtesting engine that simulates realistic trading conditions while avoiding common pitfalls such as look-ahead bias and survivorship bias.</w:t>
      </w:r>
    </w:p>
    <w:p>
      <w:pPr>
        <w:pStyle w:val="BodyText"/>
      </w:pPr>
      <w:r>
        <w:t xml:space="preserve">Our backtesting framework employs walk-forward optimization, which trains the model on a rolling 252-day (1 trading year) window and tests on the subsequent 21-day (1 month) window. This approach mimics real-world deployment where models must predict unseen future data. We initialize simulations with $10,000 capital, apply 0.1% transaction costs per trade, and implement risk management through 5% stop-loss and 10% take-profit rules.</w:t>
      </w:r>
    </w:p>
    <w:bookmarkEnd w:id="43"/>
    <w:bookmarkEnd w:id="44"/>
    <w:bookmarkStart w:id="64" w:name="results"/>
    <w:p>
      <w:pPr>
        <w:pStyle w:val="Heading1"/>
      </w:pPr>
      <w:r>
        <w:t xml:space="preserve">Results</w:t>
      </w:r>
    </w:p>
    <w:bookmarkStart w:id="50" w:name="model-training-performance"/>
    <w:p>
      <w:pPr>
        <w:pStyle w:val="Heading2"/>
      </w:pPr>
      <w:r>
        <w:t xml:space="preserve">Model Training Performance</w:t>
      </w:r>
    </w:p>
    <w:p>
      <w:pPr>
        <w:pStyle w:val="FirstParagraph"/>
      </w:pPr>
      <w:r>
        <w:t xml:space="preserve">We trained all four base models using time-series cross-validation on our SMOTE-balanced dataset of 904,195 preprocessed records. Each fold contains approximately 180,839 samples, with 144,671 for training and 36,168 for validation. We measure performance using accuracy, precision, recall, F1-score, and AUC-ROC metrics.</w:t>
      </w:r>
    </w:p>
    <w:p>
      <w:pPr>
        <w:pStyle w:val="BodyText"/>
      </w:pPr>
      <w:r>
        <w:t xml:space="preserve">Fig. </w:t>
      </w:r>
      <w:hyperlink w:anchor="fig:loss">
        <w:r>
          <w:rPr>
            <w:rStyle w:val="Hyperlink"/>
          </w:rPr>
          <w:t xml:space="preserve">2</w:t>
        </w:r>
      </w:hyperlink>
      <w:r>
        <w:t xml:space="preserve"> </w:t>
      </w:r>
      <w:r>
        <w:t xml:space="preserve">presents training convergence for all four models. We trained the enhanced BiLSTM for 100 epochs with early stopping (patience=15), achieving convergence at epoch 52 with final training loss of 0.305 and validation loss of 0.362. The bidirectional architecture with batch normalization effectively controlled overfitting. Random Forest out-of-bag error stabilized at approximately 45 trees. XGBoost achieved validation loss stabilization at round 38, while LightGBM converged fastest at round 42 due to its leaf-wise tree growth strategy. The meta-learner was trained on out-of-fold predictions from all four base models.</w:t>
      </w:r>
    </w:p>
    <w:p>
      <w:pPr>
        <w:pStyle w:val="CaptionedFigure"/>
      </w:pPr>
      <w:r>
        <w:drawing>
          <wp:inline>
            <wp:extent cx="5334000" cy="4593918"/>
            <wp:effectExtent b="0" l="0" r="0" t="0"/>
            <wp:docPr descr="" title="" id="46" name="Picture"/>
            <a:graphic>
              <a:graphicData uri="http://schemas.openxmlformats.org/drawingml/2006/picture">
                <pic:pic>
                  <pic:nvPicPr>
                    <pic:cNvPr descr="fig2.png" id="47" name="Picture"/>
                    <pic:cNvPicPr>
                      <a:picLocks noChangeArrowheads="1" noChangeAspect="1"/>
                    </pic:cNvPicPr>
                  </pic:nvPicPr>
                  <pic:blipFill>
                    <a:blip r:embed="rId45"/>
                    <a:stretch>
                      <a:fillRect/>
                    </a:stretch>
                  </pic:blipFill>
                  <pic:spPr bwMode="auto">
                    <a:xfrm>
                      <a:off x="0" y="0"/>
                      <a:ext cx="5334000" cy="4593918"/>
                    </a:xfrm>
                    <a:prstGeom prst="rect">
                      <a:avLst/>
                    </a:prstGeom>
                    <a:noFill/>
                    <a:ln w="9525">
                      <a:noFill/>
                      <a:headEnd/>
                      <a:tailEnd/>
                    </a:ln>
                  </pic:spPr>
                </pic:pic>
              </a:graphicData>
            </a:graphic>
          </wp:inline>
        </w:drawing>
      </w:r>
    </w:p>
    <w:p>
      <w:pPr>
        <w:pStyle w:val="ImageCaption"/>
      </w:pPr>
      <w:r>
        <w:t xml:space="preserve">Training convergence for all four stacking ensemble models: BiLSTM (top-left), Random Forest OOB error (top-right), XGBoost (bottom-left), and LightGBM (bottom-right). Early stopping is indicated by vertical dashed lines.</w:t>
      </w:r>
    </w:p>
    <w:p>
      <w:pPr>
        <w:pStyle w:val="BodyText"/>
      </w:pPr>
      <w:r>
        <w:t xml:space="preserve">Table </w:t>
      </w:r>
      <w:hyperlink w:anchor="tab:performance">
        <w:r>
          <w:rPr>
            <w:rStyle w:val="Hyperlink"/>
          </w:rPr>
          <w:t xml:space="preserve">4</w:t>
        </w:r>
      </w:hyperlink>
      <w:r>
        <w:t xml:space="preserve"> </w:t>
      </w:r>
      <w:r>
        <w:t xml:space="preserve">presents our time-series cross-validation results across 50 cryptocurrency and 50 stock symbols using the stacking ensemble. We observe that ensemble accuracy for cryptocurrency (73.4%) is lower than stocks (75.8%), which we attribute to higher volatility in crypto markets. The addition of LightGBM and SMOTE class balancing contributed 2.8 percentage points improvement over our baseline three-model ensemble. While these accuracies may appear modest compared to classification tasks in other domains, financial prediction is inherently challenging due to market efficiency, where prices already reflect available information. Our results exceed competitive benchmarks in the literature, where prediction accuracies of 55-70% are typical</w:t>
      </w:r>
      <w:r>
        <w:t xml:space="preserve"> </w:t>
      </w:r>
      <w:r>
        <w:t xml:space="preserve">.</w:t>
      </w:r>
    </w:p>
    <w:bookmarkStart w:id="48"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pPr>
              <w:pStyle w:val="Compact"/>
              <w:jc w:val="center"/>
            </w:pPr>
            <w:r>
              <w:t xml:space="preserve">73.4%</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pPr>
              <w:pStyle w:val="Compact"/>
              <w:jc w:val="center"/>
            </w:pPr>
            <w:r>
              <w:t xml:space="preserve">75.8%</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8"/>
    <w:p>
      <w:pPr>
        <w:pStyle w:val="BodyText"/>
      </w:pPr>
      <w:bookmarkStart w:id="49" w:name="tab:performance"/>
      <w:bookmarkEnd w:id="49"/>
    </w:p>
    <w:bookmarkEnd w:id="50"/>
    <w:bookmarkStart w:id="53"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5</w:t>
        </w:r>
      </w:hyperlink>
      <w:r>
        <w:t xml:space="preserve">.</w:t>
      </w:r>
    </w:p>
    <w:bookmarkStart w:id="51"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(Baseline)</w:t>
            </w:r>
          </w:p>
        </w:tc>
        <w:tc>
          <w:tcPr/>
          <w:p>
            <w:pPr>
              <w:pStyle w:val="Compact"/>
              <w:jc w:val="center"/>
            </w:pPr>
            <w:r>
              <w:t xml:space="preserve">65.2%</w:t>
            </w:r>
          </w:p>
        </w:tc>
        <w:tc>
          <w:tcPr/>
          <w:p>
            <w:pPr>
              <w:pStyle w:val="Compact"/>
              <w:jc w:val="center"/>
            </w:pPr>
            <w:r>
              <w:t xml:space="preserve">1.32</w:t>
            </w:r>
          </w:p>
        </w:tc>
        <w:tc>
          <w:tcPr/>
          <w:p>
            <w:pPr>
              <w:pStyle w:val="Compact"/>
              <w:jc w:val="center"/>
            </w:pPr>
            <w:r>
              <w:t xml:space="preserve">-17.2%</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Stacking Ensemble</w:t>
            </w:r>
          </w:p>
        </w:tc>
        <w:tc>
          <w:tcPr/>
          <w:p>
            <w:pPr>
              <w:pStyle w:val="Compact"/>
              <w:jc w:val="center"/>
            </w:pPr>
            <w:r>
              <w:t xml:space="preserve">74.6%</w:t>
            </w:r>
          </w:p>
        </w:tc>
        <w:tc>
          <w:tcPr/>
          <w:p>
            <w:pPr>
              <w:pStyle w:val="Compact"/>
              <w:jc w:val="center"/>
            </w:pPr>
            <w:r>
              <w:t xml:space="preserve">1.86</w:t>
            </w:r>
          </w:p>
        </w:tc>
        <w:tc>
          <w:tcPr/>
          <w:p>
            <w:pPr>
              <w:pStyle w:val="Compact"/>
              <w:jc w:val="center"/>
            </w:pPr>
            <w:r>
              <w:t xml:space="preserve">-11.8%</w:t>
            </w:r>
          </w:p>
        </w:tc>
      </w:tr>
      <w:tr>
        <w:tc>
          <w:tcPr/>
          <w:p>
            <w:pPr>
              <w:pStyle w:val="Compact"/>
              <w:jc w:val="left"/>
            </w:pPr>
            <w:r>
              <w:t xml:space="preserve">Tri-Signal + Stack</w:t>
            </w:r>
          </w:p>
        </w:tc>
        <w:tc>
          <w:tcPr/>
          <w:p>
            <w:pPr>
              <w:pStyle w:val="Compact"/>
              <w:jc w:val="center"/>
            </w:pPr>
            <w:r>
              <w:t xml:space="preserve">73.4%</w:t>
            </w:r>
          </w:p>
        </w:tc>
        <w:tc>
          <w:tcPr/>
          <w:p>
            <w:pPr>
              <w:pStyle w:val="Compact"/>
              <w:jc w:val="center"/>
            </w:pPr>
            <w:r>
              <w:t xml:space="preserve">1.92</w:t>
            </w:r>
          </w:p>
        </w:tc>
        <w:tc>
          <w:tcPr/>
          <w:p>
            <w:pPr>
              <w:pStyle w:val="Compact"/>
              <w:jc w:val="center"/>
            </w:pPr>
            <w:r>
              <w:t xml:space="preserve">-10.5%</w:t>
            </w:r>
          </w:p>
        </w:tc>
      </w:tr>
    </w:tbl>
    <w:bookmarkEnd w:id="51"/>
    <w:p>
      <w:pPr>
        <w:pStyle w:val="BodyText"/>
      </w:pPr>
      <w:bookmarkStart w:id="52" w:name="tab:fusion"/>
      <w:bookmarkEnd w:id="52"/>
    </w:p>
    <w:p>
      <w:pPr>
        <w:pStyle w:val="BodyText"/>
      </w:pPr>
      <w:r>
        <w:t xml:space="preserve">The tri-signal approach with stacking ensemble improved accuracy by 8.2 percentage points (from 65.2% to 73.4%) over baseline ML-only predictions, representing a 12.6% relative improvement. The stacking ensemble alone achieved 74.6% accuracy, while the tri-signal fusion slightly trades accuracy for improved risk-adjusted returns (Sharpe ratio 1.92 vs. 1.86) and reduced maximum drawdown (-10.5% vs. -11.8%). Additionally, the Sharpe ratio increased from 1.32 to 1.92 (45.5% improvement), while maximum drawdown decreased by 6.7 percentage points.</w:t>
      </w:r>
    </w:p>
    <w:bookmarkEnd w:id="53"/>
    <w:bookmarkStart w:id="59"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our walk-forward backtesting results over the 3-year period from January 2022 to December 2024. This period encompasses diverse market conditions including the 2022 crypto winter, 2023 recovery, and 2024 bull market, providing a robust test of our system’s adaptability.</w:t>
      </w:r>
    </w:p>
    <w:p>
      <w:pPr>
        <w:pStyle w:val="CaptionedFigure"/>
      </w:pPr>
      <w:r>
        <w:drawing>
          <wp:inline>
            <wp:extent cx="5334000" cy="3068629"/>
            <wp:effectExtent b="0" l="0" r="0" t="0"/>
            <wp:docPr descr="" title="" id="55" name="Picture"/>
            <a:graphic>
              <a:graphicData uri="http://schemas.openxmlformats.org/drawingml/2006/picture">
                <pic:pic>
                  <pic:nvPicPr>
                    <pic:cNvPr descr="fig3.png" id="56" name="Picture"/>
                    <pic:cNvPicPr>
                      <a:picLocks noChangeArrowheads="1" noChangeAspect="1"/>
                    </pic:cNvPicPr>
                  </pic:nvPicPr>
                  <pic:blipFill>
                    <a:blip r:embed="rId54"/>
                    <a:stretch>
                      <a:fillRect/>
                    </a:stretch>
                  </pic:blipFill>
                  <pic:spPr bwMode="auto">
                    <a:xfrm>
                      <a:off x="0" y="0"/>
                      <a:ext cx="5334000" cy="3068629"/>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7"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7"/>
    <w:p>
      <w:pPr>
        <w:pStyle w:val="BodyText"/>
      </w:pPr>
      <w:bookmarkStart w:id="58" w:name="tab:backtest"/>
      <w:bookmarkEnd w:id="58"/>
    </w:p>
    <w:bookmarkEnd w:id="59"/>
    <w:bookmarkStart w:id="63" w:name="feature-importance-analysis"/>
    <w:p>
      <w:pPr>
        <w:pStyle w:val="Heading2"/>
      </w:pPr>
      <w:r>
        <w:t xml:space="preserve">Feature Importance Analysis</w:t>
      </w:r>
    </w:p>
    <w:p>
      <w:pPr>
        <w:pStyle w:val="FirstParagraph"/>
      </w:pPr>
      <w:r>
        <w:t xml:space="preserve">We conducted SHAP analysis to understand which features most influence our model’s predictions. Fig. </w:t>
      </w:r>
      <w:hyperlink w:anchor="fig:ablation">
        <w:r>
          <w:rPr>
            <w:rStyle w:val="Hyperlink"/>
          </w:rPr>
          <w:t xml:space="preserve">4</w:t>
        </w:r>
      </w:hyperlink>
      <w:r>
        <w:t xml:space="preserve"> </w:t>
      </w:r>
      <w:r>
        <w:t xml:space="preserve">presents an ablation study showing model performance when each feature category is removed. The analysis reveals that momentum indicators (RSI, MACD) contribute most significantly, with their removal causing a 4.2 percentage point accuracy drop. Volume features rank second (3.1 pp drop), followed by trend indicators (2.8 pp drop).</w:t>
      </w:r>
    </w:p>
    <w:p>
      <w:pPr>
        <w:pStyle w:val="CaptionedFigure"/>
      </w:pPr>
      <w:r>
        <w:drawing>
          <wp:inline>
            <wp:extent cx="5334000" cy="3150427"/>
            <wp:effectExtent b="0" l="0" r="0" t="0"/>
            <wp:docPr descr="" title="" id="61" name="Picture"/>
            <a:graphic>
              <a:graphicData uri="http://schemas.openxmlformats.org/drawingml/2006/picture">
                <pic:pic>
                  <pic:nvPicPr>
                    <pic:cNvPr descr="fig5.png" id="62" name="Picture"/>
                    <pic:cNvPicPr>
                      <a:picLocks noChangeArrowheads="1" noChangeAspect="1"/>
                    </pic:cNvPicPr>
                  </pic:nvPicPr>
                  <pic:blipFill>
                    <a:blip r:embed="rId60"/>
                    <a:stretch>
                      <a:fillRect/>
                    </a:stretch>
                  </pic:blipFill>
                  <pic:spPr bwMode="auto">
                    <a:xfrm>
                      <a:off x="0" y="0"/>
                      <a:ext cx="5334000" cy="3150427"/>
                    </a:xfrm>
                    <a:prstGeom prst="rect">
                      <a:avLst/>
                    </a:prstGeom>
                    <a:noFill/>
                    <a:ln w="9525">
                      <a:noFill/>
                      <a:headEnd/>
                      <a:tailEnd/>
                    </a:ln>
                  </pic:spPr>
                </pic:pic>
              </a:graphicData>
            </a:graphic>
          </wp:inline>
        </w:drawing>
      </w:r>
    </w:p>
    <w:p>
      <w:pPr>
        <w:pStyle w:val="ImageCaption"/>
      </w:pPr>
      <w:r>
        <w:t xml:space="preserve">Ablation study showing accuracy drop when each feature category is removed from the model.</w:t>
      </w:r>
    </w:p>
    <w:p>
      <w:pPr>
        <w:pStyle w:val="BodyText"/>
      </w:pPr>
      <w:r>
        <w:t xml:space="preserve">The top five individual features by mean absolute SHAP value are: RSI (14-period) with 0.142, MACD Histogram (0.128), Volume Change % (0.115), 50-day SMA Cross (0.098), and Bollinger %B (0.087). These results confirm that momentum and volume indicators provide the strongest predictive signals for short-term price movements.</w:t>
      </w:r>
    </w:p>
    <w:bookmarkEnd w:id="63"/>
    <w:bookmarkEnd w:id="64"/>
    <w:bookmarkStart w:id="71" w:name="system-features"/>
    <w:p>
      <w:pPr>
        <w:pStyle w:val="Heading1"/>
      </w:pPr>
      <w:r>
        <w:t xml:space="preserve">System Features</w:t>
      </w:r>
    </w:p>
    <w:bookmarkStart w:id="68" w:name="interactive-dashboard"/>
    <w:p>
      <w:pPr>
        <w:pStyle w:val="Heading2"/>
      </w:pPr>
      <w:r>
        <w:t xml:space="preserve">Interactive Dashboard</w:t>
      </w:r>
    </w:p>
    <w:p>
      <w:pPr>
        <w:pStyle w:val="FirstParagraph"/>
      </w:pPr>
      <w:r>
        <w:t xml:space="preserve">We developed the IntelliTradeAI dashboard using Streamlit to provide a comprehensive trading interface, as shown in Fig. </w:t>
      </w:r>
      <w:hyperlink w:anchor="fig:dashboard">
        <w:r>
          <w:rPr>
            <w:rStyle w:val="Hyperlink"/>
          </w:rPr>
          <w:t xml:space="preserve">5</w:t>
        </w:r>
      </w:hyperlink>
      <w:r>
        <w:t xml:space="preserve">. The dashboard consists of four main components:</w:t>
      </w:r>
    </w:p>
    <w:p>
      <w:pPr>
        <w:pStyle w:val="BodyText"/>
      </w:pPr>
      <w:r>
        <w:rPr>
          <w:b/>
          <w:bCs/>
        </w:rPr>
        <w:t xml:space="preserve">Signal Display Panel</w:t>
      </w:r>
      <w:r>
        <w:t xml:space="preserve">: Shows real-time BUY/SELL/HOLD signals for selected assets with confidence scores ranging from 0-100%. Each signal includes the tri-signal fusion breakdown showing contributions from ML, pattern recognition, and news sentiment.</w:t>
      </w:r>
    </w:p>
    <w:p>
      <w:pPr>
        <w:pStyle w:val="BodyText"/>
      </w:pPr>
      <w:r>
        <w:rPr>
          <w:b/>
          <w:bCs/>
        </w:rPr>
        <w:t xml:space="preserve">Interactive Charts</w:t>
      </w:r>
      <w:r>
        <w:t xml:space="preserve">: We implement TradingView-style candlestick charts with overlays for technical indicators (Bollinger Bands, SMA, EMA). Users can zoom, pan, and toggle indicator visibility.</w:t>
      </w:r>
    </w:p>
    <w:p>
      <w:pPr>
        <w:pStyle w:val="BodyText"/>
      </w:pPr>
      <w:r>
        <w:rPr>
          <w:b/>
          <w:bCs/>
        </w:rPr>
        <w:t xml:space="preserve">SHAP Explanation Panel</w:t>
      </w:r>
      <w:r>
        <w:t xml:space="preserve">: Displays feature importance for each prediction, showing which indicators most influenced the signal. This addresses regulatory requirements for algorithmic transparency.</w:t>
      </w:r>
    </w:p>
    <w:p>
      <w:pPr>
        <w:pStyle w:val="BodyText"/>
      </w:pPr>
      <w:r>
        <w:rPr>
          <w:b/>
          <w:bCs/>
        </w:rPr>
        <w:t xml:space="preserve">Performance Metrics</w:t>
      </w:r>
      <w:r>
        <w:t xml:space="preserve">: Real-time display of portfolio performance including Sharpe ratio, win rate, and drawdown.</w:t>
      </w:r>
    </w:p>
    <w:p>
      <w:pPr>
        <w:pStyle w:val="CaptionedFigure"/>
      </w:pPr>
      <w:r>
        <w:drawing>
          <wp:inline>
            <wp:extent cx="5334000" cy="3403581"/>
            <wp:effectExtent b="0" l="0" r="0" t="0"/>
            <wp:docPr descr="" title="" id="66" name="Picture"/>
            <a:graphic>
              <a:graphicData uri="http://schemas.openxmlformats.org/drawingml/2006/picture">
                <pic:pic>
                  <pic:nvPicPr>
                    <pic:cNvPr descr="fig4.png" id="67" name="Picture"/>
                    <pic:cNvPicPr>
                      <a:picLocks noChangeArrowheads="1" noChangeAspect="1"/>
                    </pic:cNvPicPr>
                  </pic:nvPicPr>
                  <pic:blipFill>
                    <a:blip r:embed="rId65"/>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SHAP-based AI explanations.</w:t>
      </w:r>
    </w:p>
    <w:bookmarkEnd w:id="68"/>
    <w:bookmarkStart w:id="69" w:name="personalized-trading-plans"/>
    <w:p>
      <w:pPr>
        <w:pStyle w:val="Heading2"/>
      </w:pPr>
      <w:r>
        <w:t xml:space="preserve">Personalized Trading Plans</w:t>
      </w:r>
    </w:p>
    <w:p>
      <w:pPr>
        <w:pStyle w:val="FirstParagraph"/>
      </w:pPr>
      <w:r>
        <w:t xml:space="preserve">We implement five risk tolerance tiers to customize asset allocation: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9"/>
    <w:bookmarkStart w:id="70" w:name="sec-compliance"/>
    <w:p>
      <w:pPr>
        <w:pStyle w:val="Heading2"/>
      </w:pPr>
      <w:r>
        <w:t xml:space="preserve">SEC Compliance</w:t>
      </w:r>
    </w:p>
    <w:p>
      <w:pPr>
        <w:pStyle w:val="FirstParagraph"/>
      </w:pPr>
      <w:r>
        <w:t xml:space="preserve">Our platform incorporates comprehensive legal compliance including risk disclosure acknowledgment with e-signature consent, past performance disclaimers, suitability warnings, and real-time logging of all automated trading decisions to meet SEC and FINRA requirements for algorithmic trading systems.</w:t>
      </w:r>
    </w:p>
    <w:bookmarkEnd w:id="70"/>
    <w:bookmarkEnd w:id="71"/>
    <w:bookmarkStart w:id="72" w:name="conclusion"/>
    <w:p>
      <w:pPr>
        <w:pStyle w:val="Heading1"/>
      </w:pPr>
      <w:r>
        <w:t xml:space="preserve">Conclusion</w:t>
      </w:r>
    </w:p>
    <w:p>
      <w:pPr>
        <w:pStyle w:val="FirstParagraph"/>
      </w:pPr>
      <w:r>
        <w:t xml:space="preserve">We presented IntelliTradeAI, a comprehensive AI-powered trading agent demonstrating the effectiveness of stacking ensembles and multi-source signal fusion for financial market prediction. Our enhanced architecture—combining bidirectional LSTM, Random Forest, XGBoost, and LightGBM in a stacking ensemble with logistic regression meta-learner—achieved 73.4% accuracy for cryptocurrencies and 75.8% for stocks, representing an 8.2 percentage point improvement (12.6% relative) over baseline ML approaches. Key technical contributions include: (1) a stacking ensemble with time-series cross-validation preventing data leakage; (2) SMOTE class balancing for improved minority class prediction; (3) Bayesian hyperparameter optimization via Optuna; (4) a unified cross-market analysis framework supporting 100+ cryptocurrencies and comprehensive stock coverage; (5) explainable AI through SHAP analysis; (6) personalized trading plans based on five-tier risk tolerance assessment; and (7) an interactive dashboard with real-time predictions.</w:t>
      </w:r>
    </w:p>
    <w:p>
      <w:pPr>
        <w:pStyle w:val="BodyText"/>
      </w:pPr>
      <w:r>
        <w:t xml:space="preserve">Our work has several limitations: model performance relies on data quality from third-party APIs; models trained on historical data may underperform during unprecedented market conditions; and real-time prediction introduces 1-3 second latency. Future work includes integration of transformer-based models (FinBERT) for improved sentiment analysis, attention mechanisms in the meta-learner, reinforcement learning for dynamic strategy adaptation, and portfolio optimization using modern portfolio theory.</w:t>
      </w:r>
    </w:p>
    <w:bookmarkEnd w:id="72"/>
    <w:bookmarkStart w:id="73"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2025-12-28T03:42:19Z</dcterms:created>
  <dcterms:modified xsi:type="dcterms:W3CDTF">2025-12-28T03:42:19Z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