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458B3" w14:textId="22CCDA75" w:rsidR="006933E1" w:rsidRDefault="006933E1" w:rsidP="006933E1">
      <w:pPr>
        <w:pStyle w:val="ListParagraph"/>
        <w:numPr>
          <w:ilvl w:val="0"/>
          <w:numId w:val="2"/>
        </w:numPr>
      </w:pPr>
      <w:r>
        <w:t>Repeatable read vs read committed:</w:t>
      </w:r>
    </w:p>
    <w:p w14:paraId="361D8384" w14:textId="1FE8987F" w:rsidR="006933E1" w:rsidRDefault="006933E1" w:rsidP="006933E1">
      <w:pPr>
        <w:pStyle w:val="ListParagraph"/>
        <w:numPr>
          <w:ilvl w:val="1"/>
          <w:numId w:val="2"/>
        </w:numPr>
      </w:pPr>
      <w:r>
        <w:t>Both can only read committed data, but repeatable also prevents other transactions from modifying the data being read until the current read transaction is finished</w:t>
      </w:r>
    </w:p>
    <w:p w14:paraId="60CA5969" w14:textId="77777777" w:rsidR="00C866ED" w:rsidRDefault="00C866ED" w:rsidP="006933E1">
      <w:pPr>
        <w:pStyle w:val="ListParagraph"/>
        <w:numPr>
          <w:ilvl w:val="0"/>
          <w:numId w:val="2"/>
        </w:numPr>
      </w:pPr>
      <w:r>
        <w:t>Set of integers where sum = 1000, none are 10, 20, or 30:</w:t>
      </w:r>
    </w:p>
    <w:p w14:paraId="403DED7E" w14:textId="4DD50030" w:rsidR="006933E1" w:rsidRDefault="006933E1" w:rsidP="00C866ED">
      <w:pPr>
        <w:pStyle w:val="ListParagraph"/>
        <w:numPr>
          <w:ilvl w:val="1"/>
          <w:numId w:val="2"/>
        </w:numPr>
      </w:pPr>
      <w:r>
        <w:t xml:space="preserve">Alice’s transaction can produce 1000 if hers finishes first, 1060 if Betty’s finishes first, or 1010 if both Carol and Betty’s transactions finish first. Alice’s query </w:t>
      </w:r>
      <w:r w:rsidR="00C866ED">
        <w:t>will never read the uncommitted data from Betty’s or Carol’s transactions, and Carol’s transaction can only work successfully if Betty’s finishes before Carol’s starts.</w:t>
      </w:r>
    </w:p>
    <w:p w14:paraId="7F75129E" w14:textId="30E43DCF" w:rsidR="00C866ED" w:rsidRDefault="00C866ED" w:rsidP="00C866ED">
      <w:pPr>
        <w:pStyle w:val="ListParagraph"/>
        <w:numPr>
          <w:ilvl w:val="1"/>
          <w:numId w:val="2"/>
        </w:numPr>
      </w:pPr>
      <w:r>
        <w:t>Read uncommitted:</w:t>
      </w:r>
    </w:p>
    <w:p w14:paraId="3F23EA5E" w14:textId="2D14B0DB" w:rsidR="00C866ED" w:rsidRDefault="00C866ED" w:rsidP="00C866ED">
      <w:pPr>
        <w:pStyle w:val="ListParagraph"/>
        <w:numPr>
          <w:ilvl w:val="1"/>
          <w:numId w:val="2"/>
        </w:numPr>
      </w:pPr>
      <w:r>
        <w:t>Serializable:</w:t>
      </w:r>
      <w:bookmarkStart w:id="0" w:name="_GoBack"/>
      <w:bookmarkEnd w:id="0"/>
    </w:p>
    <w:sectPr w:rsidR="00C866ED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A21"/>
    <w:multiLevelType w:val="hybridMultilevel"/>
    <w:tmpl w:val="76E8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34E3"/>
    <w:multiLevelType w:val="hybridMultilevel"/>
    <w:tmpl w:val="2C8A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E1"/>
    <w:rsid w:val="006933E1"/>
    <w:rsid w:val="00887E58"/>
    <w:rsid w:val="009F14EE"/>
    <w:rsid w:val="00C073E7"/>
    <w:rsid w:val="00C8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8A0F1"/>
  <w15:chartTrackingRefBased/>
  <w15:docId w15:val="{D2F5A6EB-487B-BE42-8074-DBBD974A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8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6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7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5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0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5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59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0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0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6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47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4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2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2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51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248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2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2019-03-20T15:58:00Z</dcterms:created>
  <dcterms:modified xsi:type="dcterms:W3CDTF">2019-03-20T16:10:00Z</dcterms:modified>
</cp:coreProperties>
</file>