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pBdr>
          <w:top w:val="single" w:color="F4A726" w:sz="12"/>
          <w:bottom w:val="single" w:color="F4A726" w:sz="12"/>
        </w:pBdr>
        <w:shd w:fill="064D40" w:val="clear"/>
        <w:spacing w:before="0" w:after="0"/>
        <w:jc w:val="center"/>
      </w:pPr>
      <w:r>
        <w:rPr>
          <w:rFonts w:ascii="Arial" w:cs="Arial" w:eastAsia="Arial" w:hAnsi="Arial"/>
          <w:b/>
          <w:bCs/>
          <w:color w:val="FFFFFF"/>
          <w:sz w:val="96"/>
          <w:szCs w:val="96"/>
        </w:rPr>
        <w:t xml:space="preserve">PRE</w:t>
      </w:r>
      <w:r>
        <w:rPr>
          <w:rFonts w:ascii="Arial" w:cs="Arial" w:eastAsia="Arial" w:hAnsi="Arial"/>
          <w:b/>
          <w:bCs/>
          <w:color w:val="F4A726"/>
          <w:sz w:val="96"/>
          <w:szCs w:val="96"/>
        </w:rPr>
        <w:t xml:space="preserve">LEVIA</w:t>
      </w:r>
    </w:p>
    <w:p>
      <w:pPr>
        <w:shd w:fill="0A6E5C" w:val="clear"/>
        <w:spacing w:before="0" w:after="0"/>
        <w:jc w:val="center"/>
      </w:pPr>
      <w:r>
        <w:rPr>
          <w:rFonts w:ascii="Arial" w:cs="Arial" w:eastAsia="Arial" w:hAnsi="Arial"/>
          <w:i/>
          <w:iCs/>
          <w:color w:val="FFFFFF"/>
          <w:sz w:val="26"/>
          <w:szCs w:val="26"/>
        </w:rPr>
        <w:t xml:space="preserve">Service de Prélèvement à Domicile — Yopougon, Abidjan, Côte d'Ivoire</w:t>
      </w:r>
    </w:p>
    <w:p>
      <w:pPr>
        <w:spacing w:before="40" w:after="160"/>
      </w:pPr>
    </w:p>
    <w:p>
      <w:pPr>
        <w:spacing w:before="400" w:after="80"/>
        <w:jc w:val="center"/>
      </w:pPr>
      <w:r>
        <w:rPr>
          <w:rFonts w:ascii="Arial" w:cs="Arial" w:eastAsia="Arial" w:hAnsi="Arial"/>
          <w:b/>
          <w:bCs/>
          <w:color w:val="064D40"/>
          <w:sz w:val="48"/>
          <w:szCs w:val="48"/>
        </w:rPr>
        <w:t xml:space="preserve">GUIDE DE CRÉATION PAS À PAS</w:t>
      </w:r>
    </w:p>
    <w:p>
      <w:pPr>
        <w:spacing w:before="0" w:after="500"/>
        <w:jc w:val="center"/>
      </w:pPr>
      <w:r>
        <w:rPr>
          <w:rFonts w:ascii="Arial" w:cs="Arial" w:eastAsia="Arial" w:hAnsi="Arial"/>
          <w:i/>
          <w:iCs/>
          <w:color w:val="5C7A74"/>
          <w:sz w:val="28"/>
          <w:szCs w:val="28"/>
        </w:rPr>
        <w:t xml:space="preserve">Version 2.0 — Édition complète mise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6E5C" w:sz="4"/>
              <w:left w:val="single" w:color="0A6E5C" w:sz="4"/>
              <w:bottom w:val="single" w:color="0A6E5C" w:sz="4"/>
              <w:right w:val="single" w:color="0A6E5C" w:sz="4"/>
            </w:tcBorders>
            <w:shd w:fill="E8F5F2" w:val="clear"/>
            <w:tcMar>
              <w:top w:type="dxa" w:w="90"/>
              <w:left w:type="dxa" w:w="100"/>
              <w:bottom w:type="dxa" w:w="90"/>
              <w:right w:type="dxa" w:w="100"/>
            </w:tcMar>
            <w:vAlign w:val="top"/>
          </w:tcPr>
          <w:p>
            <w:pPr>
              <w:spacing w:before="0" w:after="0"/>
              <w:jc w:val="center"/>
            </w:pPr>
            <w:r>
              <w:rPr>
                <w:rFonts w:ascii="Arial" w:cs="Arial" w:eastAsia="Arial" w:hAnsi="Arial"/>
                <w:color w:val="1A2B26"/>
                <w:sz w:val="32"/>
                <w:szCs w:val="32"/>
              </w:rPr>
              <w:t xml:space="preserve">🏥</w:t>
            </w:r>
          </w:p>
          <w:p>
            <w:pPr>
              <w:spacing w:before="0" w:after="0"/>
              <w:jc w:val="center"/>
            </w:pPr>
            <w:r>
              <w:rPr>
                <w:rFonts w:ascii="Arial" w:cs="Arial" w:eastAsia="Arial" w:hAnsi="Arial"/>
                <w:color w:val="5C7A74"/>
                <w:sz w:val="17"/>
                <w:szCs w:val="17"/>
              </w:rPr>
              <w:t xml:space="preserve">Couverture provisoire</w:t>
            </w:r>
          </w:p>
          <w:p>
            <w:pPr>
              <w:spacing w:before="0" w:after="0"/>
              <w:jc w:val="center"/>
            </w:pPr>
            <w:r>
              <w:rPr>
                <w:rFonts w:ascii="Arial" w:cs="Arial" w:eastAsia="Arial" w:hAnsi="Arial"/>
                <w:b/>
                <w:bCs/>
                <w:color w:val="064D40"/>
                <w:sz w:val="20"/>
                <w:szCs w:val="20"/>
              </w:rPr>
              <w:t xml:space="preserve">Labo Maison Blanche</w:t>
            </w:r>
          </w:p>
        </w:tc>
        <w:tc>
          <w:tcPr>
            <w:tcW w:type="dxa" w:w="2340"/>
            <w:tcBorders>
              <w:top w:val="single" w:color="0A6E5C" w:sz="4"/>
              <w:left w:val="single" w:color="0A6E5C" w:sz="4"/>
              <w:bottom w:val="single" w:color="0A6E5C" w:sz="4"/>
              <w:right w:val="single" w:color="0A6E5C" w:sz="4"/>
            </w:tcBorders>
            <w:shd w:fill="E8F5F2" w:val="clear"/>
            <w:tcMar>
              <w:top w:type="dxa" w:w="90"/>
              <w:left w:type="dxa" w:w="100"/>
              <w:bottom w:type="dxa" w:w="90"/>
              <w:right w:type="dxa" w:w="100"/>
            </w:tcMar>
            <w:vAlign w:val="top"/>
          </w:tcPr>
          <w:p>
            <w:pPr>
              <w:spacing w:before="0" w:after="0"/>
              <w:jc w:val="center"/>
            </w:pPr>
            <w:r>
              <w:rPr>
                <w:rFonts w:ascii="Arial" w:cs="Arial" w:eastAsia="Arial" w:hAnsi="Arial"/>
                <w:color w:val="1A2B26"/>
                <w:sz w:val="32"/>
                <w:szCs w:val="32"/>
              </w:rPr>
              <w:t xml:space="preserve">📍</w:t>
            </w:r>
          </w:p>
          <w:p>
            <w:pPr>
              <w:spacing w:before="0" w:after="0"/>
              <w:jc w:val="center"/>
            </w:pPr>
            <w:r>
              <w:rPr>
                <w:rFonts w:ascii="Arial" w:cs="Arial" w:eastAsia="Arial" w:hAnsi="Arial"/>
                <w:color w:val="5C7A74"/>
                <w:sz w:val="17"/>
                <w:szCs w:val="17"/>
              </w:rPr>
              <w:t xml:space="preserve">Zone cible initiale</w:t>
            </w:r>
          </w:p>
          <w:p>
            <w:pPr>
              <w:spacing w:before="0" w:after="0"/>
              <w:jc w:val="center"/>
            </w:pPr>
            <w:r>
              <w:rPr>
                <w:rFonts w:ascii="Arial" w:cs="Arial" w:eastAsia="Arial" w:hAnsi="Arial"/>
                <w:b/>
                <w:bCs/>
                <w:color w:val="064D40"/>
                <w:sz w:val="20"/>
                <w:szCs w:val="20"/>
              </w:rPr>
              <w:t xml:space="preserve">Yopougon</w:t>
            </w:r>
          </w:p>
        </w:tc>
        <w:tc>
          <w:tcPr>
            <w:tcW w:type="dxa" w:w="2340"/>
            <w:tcBorders>
              <w:top w:val="single" w:color="0A6E5C" w:sz="4"/>
              <w:left w:val="single" w:color="0A6E5C" w:sz="4"/>
              <w:bottom w:val="single" w:color="0A6E5C" w:sz="4"/>
              <w:right w:val="single" w:color="0A6E5C" w:sz="4"/>
            </w:tcBorders>
            <w:shd w:fill="E8F5F2" w:val="clear"/>
            <w:tcMar>
              <w:top w:type="dxa" w:w="90"/>
              <w:left w:type="dxa" w:w="100"/>
              <w:bottom w:type="dxa" w:w="90"/>
              <w:right w:type="dxa" w:w="100"/>
            </w:tcMar>
            <w:vAlign w:val="top"/>
          </w:tcPr>
          <w:p>
            <w:pPr>
              <w:spacing w:before="0" w:after="0"/>
              <w:jc w:val="center"/>
            </w:pPr>
            <w:r>
              <w:rPr>
                <w:rFonts w:ascii="Arial" w:cs="Arial" w:eastAsia="Arial" w:hAnsi="Arial"/>
                <w:color w:val="1A2B26"/>
                <w:sz w:val="32"/>
                <w:szCs w:val="32"/>
              </w:rPr>
              <w:t xml:space="preserve">🤖</w:t>
            </w:r>
          </w:p>
          <w:p>
            <w:pPr>
              <w:spacing w:before="0" w:after="0"/>
              <w:jc w:val="center"/>
            </w:pPr>
            <w:r>
              <w:rPr>
                <w:rFonts w:ascii="Arial" w:cs="Arial" w:eastAsia="Arial" w:hAnsi="Arial"/>
                <w:color w:val="5C7A74"/>
                <w:sz w:val="17"/>
                <w:szCs w:val="17"/>
              </w:rPr>
              <w:t xml:space="preserve">OCR automatique</w:t>
            </w:r>
          </w:p>
          <w:p>
            <w:pPr>
              <w:spacing w:before="0" w:after="0"/>
              <w:jc w:val="center"/>
            </w:pPr>
            <w:r>
              <w:rPr>
                <w:rFonts w:ascii="Arial" w:cs="Arial" w:eastAsia="Arial" w:hAnsi="Arial"/>
                <w:b/>
                <w:bCs/>
                <w:color w:val="064D40"/>
                <w:sz w:val="20"/>
                <w:szCs w:val="20"/>
              </w:rPr>
              <w:t xml:space="preserve">Bulletins analysés</w:t>
            </w:r>
          </w:p>
        </w:tc>
        <w:tc>
          <w:tcPr>
            <w:tcW w:type="dxa" w:w="2340"/>
            <w:tcBorders>
              <w:top w:val="single" w:color="0A6E5C" w:sz="4"/>
              <w:left w:val="single" w:color="0A6E5C" w:sz="4"/>
              <w:bottom w:val="single" w:color="0A6E5C" w:sz="4"/>
              <w:right w:val="single" w:color="0A6E5C" w:sz="4"/>
            </w:tcBorders>
            <w:shd w:fill="E8F5F2" w:val="clear"/>
            <w:tcMar>
              <w:top w:type="dxa" w:w="90"/>
              <w:left w:type="dxa" w:w="100"/>
              <w:bottom w:type="dxa" w:w="90"/>
              <w:right w:type="dxa" w:w="100"/>
            </w:tcMar>
            <w:vAlign w:val="top"/>
          </w:tcPr>
          <w:p>
            <w:pPr>
              <w:spacing w:before="0" w:after="0"/>
              <w:jc w:val="center"/>
            </w:pPr>
            <w:r>
              <w:rPr>
                <w:rFonts w:ascii="Arial" w:cs="Arial" w:eastAsia="Arial" w:hAnsi="Arial"/>
                <w:color w:val="1A2B26"/>
                <w:sz w:val="32"/>
                <w:szCs w:val="32"/>
              </w:rPr>
              <w:t xml:space="preserve">💳</w:t>
            </w:r>
          </w:p>
          <w:p>
            <w:pPr>
              <w:spacing w:before="0" w:after="0"/>
              <w:jc w:val="center"/>
            </w:pPr>
            <w:r>
              <w:rPr>
                <w:rFonts w:ascii="Arial" w:cs="Arial" w:eastAsia="Arial" w:hAnsi="Arial"/>
                <w:color w:val="5C7A74"/>
                <w:sz w:val="17"/>
                <w:szCs w:val="17"/>
              </w:rPr>
              <w:t xml:space="preserve">Paiement terrain</w:t>
            </w:r>
          </w:p>
          <w:p>
            <w:pPr>
              <w:spacing w:before="0" w:after="0"/>
              <w:jc w:val="center"/>
            </w:pPr>
            <w:r>
              <w:rPr>
                <w:rFonts w:ascii="Arial" w:cs="Arial" w:eastAsia="Arial" w:hAnsi="Arial"/>
                <w:b/>
                <w:bCs/>
                <w:color w:val="064D40"/>
                <w:sz w:val="20"/>
                <w:szCs w:val="20"/>
              </w:rPr>
              <w:t xml:space="preserve">Après prélèvement</w:t>
            </w:r>
          </w:p>
        </w:tc>
      </w:tr>
    </w:tbl>
    <w:p>
      <w:pPr>
        <w:spacing w:before="400" w:after="160"/>
      </w:pPr>
    </w:p>
    <w:p>
      <w:pPr>
        <w:jc w:val="center"/>
      </w:pPr>
      <w:r>
        <w:rPr>
          <w:rFonts w:ascii="Arial" w:cs="Arial" w:eastAsia="Arial" w:hAnsi="Arial"/>
          <w:i/>
          <w:iCs/>
          <w:color w:val="5C7A74"/>
          <w:sz w:val="20"/>
          <w:szCs w:val="20"/>
        </w:rPr>
        <w:t xml:space="preserve">Version 2.0 — Mars 2026    |    Document confidentiel Prelevia</w:t>
      </w:r>
    </w:p>
    <w:p>
      <w:pPr>
        <w:spacing w:before="0" w:after="0"/>
      </w:pPr>
      <w:r>
        <w:br w:type="page"/>
      </w:r>
    </w:p>
    <w:p>
      <w:pPr>
        <w:sectPr>
          <w:pgSz w:w="12240" w:h="15840" w:orient="portrait"/>
          <w:pgMar w:top="1080" w:right="1080" w:bottom="1080" w:left="1080" w:header="708" w:footer="708" w:gutter="0"/>
          <w:pgNumType/>
          <w:docGrid w:linePitch="360"/>
        </w:sectPr>
      </w:pP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SOMMAIRE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1</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Concept et Positionnement Stratégique</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2</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Cadre Juridique et Administratif</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3</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Structure Organisationnelle</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4</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Processus Opérationnels — Parcours Client</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5</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OCR Bulletin et Gestion des Examens</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6</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Gestion des Assurances</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7</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Paiement Immédiat après Prélèvement</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8</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Plateforme Digitale — Web + Mobile</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9</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Ressources Humaines et Formation</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10</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Stock, Matériel et Logistique</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11</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Finance et Projections</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33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12</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Plan de Lancement Phase par Phase</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7980"/>
        <w:gridCol w:w="500"/>
      </w:tblGrid>
      <w:tr>
        <w:tc>
          <w:tcPr>
            <w:tcW w:type="dxa" w:w="880"/>
            <w:tcBorders>
              <w:top w:val="single" w:color="E8F5F2" w:sz="4"/>
              <w:left w:val="single" w:color="E8F5F2" w:sz="4"/>
              <w:bottom w:val="single" w:color="E8F5F2" w:sz="4"/>
              <w:right w:val="single" w:color="E8F5F2" w:sz="4"/>
            </w:tcBorders>
            <w:shd w:fill="E8F5F2" w:val="clear"/>
            <w:tcMar>
              <w:top w:type="dxa" w:w="55"/>
              <w:left w:type="dxa" w:w="140"/>
              <w:bottom w:type="dxa" w:w="55"/>
              <w:right w:type="dxa" w:w="140"/>
            </w:tcMar>
            <w:vAlign w:val="top"/>
          </w:tcPr>
          <w:p>
            <w:pPr>
              <w:spacing w:before="0" w:after="0"/>
              <w:jc w:val="left"/>
            </w:pPr>
            <w:r>
              <w:rPr>
                <w:rFonts w:ascii="Arial" w:cs="Arial" w:eastAsia="Arial" w:hAnsi="Arial"/>
                <w:b/>
                <w:bCs/>
                <w:color w:val="0A6E5C"/>
                <w:sz w:val="19"/>
                <w:szCs w:val="19"/>
              </w:rPr>
              <w:t xml:space="preserve">PARTIE 13</w:t>
            </w:r>
          </w:p>
        </w:tc>
        <w:tc>
          <w:tcPr>
            <w:tcW w:type="dxa" w:w="798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left"/>
            </w:pPr>
            <w:r>
              <w:rPr>
                <w:rFonts w:ascii="Arial" w:cs="Arial" w:eastAsia="Arial" w:hAnsi="Arial"/>
                <w:color w:val="1A2B26"/>
                <w:sz w:val="21"/>
                <w:szCs w:val="21"/>
              </w:rPr>
              <w:t xml:space="preserve">Risques et Plan de Mitigation</w:t>
            </w:r>
          </w:p>
        </w:tc>
        <w:tc>
          <w:tcPr>
            <w:tcW w:type="dxa" w:w="500"/>
            <w:tcBorders>
              <w:top w:val="single" w:color="FFFFFF" w:sz="4"/>
              <w:left w:val="single" w:color="FFFFFF" w:sz="4"/>
              <w:bottom w:val="single" w:color="FFFFFF" w:sz="4"/>
              <w:right w:val="single" w:color="FFFFFF" w:sz="4"/>
            </w:tcBorders>
            <w:shd w:fill="FFFFFF" w:val="clear"/>
            <w:tcMar>
              <w:top w:type="dxa" w:w="55"/>
              <w:left w:type="dxa" w:w="140"/>
              <w:bottom w:type="dxa" w:w="55"/>
              <w:right w:type="dxa" w:w="140"/>
            </w:tcMar>
            <w:vAlign w:val="top"/>
          </w:tcPr>
          <w:p>
            <w:pPr>
              <w:spacing w:before="0" w:after="0"/>
              <w:jc w:val="right"/>
            </w:pPr>
            <w:r>
              <w:rPr>
                <w:rFonts w:ascii="Arial" w:cs="Arial" w:eastAsia="Arial" w:hAnsi="Arial"/>
                <w:b/>
                <w:bCs/>
                <w:color w:val="5C7A74"/>
                <w:sz w:val="19"/>
                <w:szCs w:val="19"/>
              </w:rPr>
              <w:t xml:space="preserve">40</w:t>
            </w:r>
          </w:p>
        </w:tc>
      </w:tr>
    </w:tbl>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1 — CONCEPT ET POSITIONNEMENT STRATÉGIQUE</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1.1 Présentation de Prelevia</w:t>
      </w:r>
    </w:p>
    <w:p>
      <w:pPr>
        <w:spacing w:before="60" w:after="80"/>
        <w:jc w:val="both"/>
      </w:pPr>
      <w:r>
        <w:rPr>
          <w:rFonts w:ascii="Arial" w:cs="Arial" w:eastAsia="Arial" w:hAnsi="Arial"/>
          <w:color w:val="1A2B26"/>
          <w:sz w:val="22"/>
          <w:szCs w:val="22"/>
        </w:rPr>
        <w:t xml:space="preserve">Prelevia est un service de prélèvement biologique à domicile opérant à Abidjan, Côte d'Ivoire. Son modèle repose sur l'envoi d'agents qualifiés directement chez le patient, éliminant les déplacements en laboratoire — souvent contraignants pour des personnes malades, âgées ou à mobilité réduite.</w:t>
      </w:r>
    </w:p>
    <w:p>
      <w:pPr>
        <w:spacing w:before="40" w:after="40"/>
      </w:pP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Vision</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Devenir le service de prélèvement à domicile de référence à Abidjan, accessible, fiable et connecté,</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en offrant une expérience patient digne des standards internationaux dans un cadre africain adapté.</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1.2 Modèle de couverture provisoire</w:t>
      </w:r>
    </w:p>
    <w:p>
      <w:pPr>
        <w:spacing w:before="60" w:after="80"/>
        <w:jc w:val="both"/>
      </w:pPr>
      <w:r>
        <w:rPr>
          <w:rFonts w:ascii="Arial" w:cs="Arial" w:eastAsia="Arial" w:hAnsi="Arial"/>
          <w:color w:val="1A2B26"/>
          <w:sz w:val="22"/>
          <w:szCs w:val="22"/>
        </w:rPr>
        <w:t xml:space="preserve">Dans une première phase, Prelevia opère sous la couverture juridique et agrément du Laboratoire Maison Blanche, situé à Yopougon. Cette structure hôte permet à Prelevia de :</w:t>
      </w:r>
    </w:p>
    <w:p>
      <w:pPr>
        <w:pStyle w:val="ListParagraph"/>
        <w:numPr>
          <w:ilvl w:val="0"/>
          <w:numId w:val="2"/>
        </w:numPr>
        <w:spacing w:before="40" w:after="40"/>
      </w:pPr>
      <w:r>
        <w:rPr>
          <w:rFonts w:ascii="Arial" w:cs="Arial" w:eastAsia="Arial" w:hAnsi="Arial"/>
          <w:color w:val="1A2B26"/>
          <w:sz w:val="22"/>
          <w:szCs w:val="22"/>
        </w:rPr>
        <w:t xml:space="preserve">Opérer légalement sous un agrément existant sans attendre ses propres autorisations</w:t>
      </w:r>
    </w:p>
    <w:p>
      <w:pPr>
        <w:pStyle w:val="ListParagraph"/>
        <w:numPr>
          <w:ilvl w:val="0"/>
          <w:numId w:val="2"/>
        </w:numPr>
        <w:spacing w:before="40" w:after="40"/>
      </w:pPr>
      <w:r>
        <w:rPr>
          <w:rFonts w:ascii="Arial" w:cs="Arial" w:eastAsia="Arial" w:hAnsi="Arial"/>
          <w:color w:val="1A2B26"/>
          <w:sz w:val="22"/>
          <w:szCs w:val="22"/>
        </w:rPr>
        <w:t xml:space="preserve">Bénéficier de la logistique laboratoire pour le traitement des analyses</w:t>
      </w:r>
    </w:p>
    <w:p>
      <w:pPr>
        <w:pStyle w:val="ListParagraph"/>
        <w:numPr>
          <w:ilvl w:val="0"/>
          <w:numId w:val="2"/>
        </w:numPr>
        <w:spacing w:before="40" w:after="40"/>
      </w:pPr>
      <w:r>
        <w:rPr>
          <w:rFonts w:ascii="Arial" w:cs="Arial" w:eastAsia="Arial" w:hAnsi="Arial"/>
          <w:color w:val="1A2B26"/>
          <w:sz w:val="22"/>
          <w:szCs w:val="22"/>
        </w:rPr>
        <w:t xml:space="preserve">Soumettre les dossiers d'assurance via les canaux déjà établis du labo partenaire</w:t>
      </w:r>
    </w:p>
    <w:p>
      <w:pPr>
        <w:pStyle w:val="ListParagraph"/>
        <w:numPr>
          <w:ilvl w:val="0"/>
          <w:numId w:val="2"/>
        </w:numPr>
        <w:spacing w:before="40" w:after="40"/>
      </w:pPr>
      <w:r>
        <w:rPr>
          <w:rFonts w:ascii="Arial" w:cs="Arial" w:eastAsia="Arial" w:hAnsi="Arial"/>
          <w:color w:val="1A2B26"/>
          <w:sz w:val="22"/>
          <w:szCs w:val="22"/>
        </w:rPr>
        <w:t xml:space="preserve">Construire sa réputation et son portefeuille clients avant autonomisation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60"/>
        <w:gridCol w:w="2700"/>
      </w:tblGrid>
      <w:tr>
        <w:trPr>
          <w:tblHeader/>
        </w:trPr>
        <w:tc>
          <w:tcPr>
            <w:tcW w:type="dxa" w:w="1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Phase</w:t>
            </w:r>
          </w:p>
        </w:tc>
        <w:tc>
          <w:tcPr>
            <w:tcW w:type="dxa" w:w="50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Description</w:t>
            </w:r>
          </w:p>
        </w:tc>
        <w:tc>
          <w:tcPr>
            <w:tcW w:type="dxa" w:w="27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Durée estimée</w:t>
            </w:r>
          </w:p>
        </w:tc>
      </w:tr>
      <w:tr>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Phase 1 — Couverture</w:t>
            </w:r>
          </w:p>
        </w:tc>
        <w:tc>
          <w:tcPr>
            <w:tcW w:type="dxa" w:w="50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Intégration sous Labo Maison Blanche. Prelevia opère comme service annexe. Clientèle Yopougon exclusive au labo.</w:t>
            </w:r>
          </w:p>
        </w:tc>
        <w:tc>
          <w:tcPr>
            <w:tcW w:type="dxa" w:w="27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Mois 1 à 6</w:t>
            </w:r>
          </w:p>
        </w:tc>
      </w:tr>
      <w:tr>
        <w:tc>
          <w:tcPr>
            <w:tcW w:type="dxa" w:w="1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Phase 2 — Détachement</w:t>
            </w:r>
          </w:p>
        </w:tc>
        <w:tc>
          <w:tcPr>
            <w:tcW w:type="dxa" w:w="50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Prelevia obtient ses propres agréments. Labo Maison Blanche reste partenaire technique. Extension géographique.</w:t>
            </w:r>
          </w:p>
        </w:tc>
        <w:tc>
          <w:tcPr>
            <w:tcW w:type="dxa" w:w="27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Mois 7 à 12</w:t>
            </w:r>
          </w:p>
        </w:tc>
      </w:tr>
      <w:tr>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Phase 3 — Autonomie</w:t>
            </w:r>
          </w:p>
        </w:tc>
        <w:tc>
          <w:tcPr>
            <w:tcW w:type="dxa" w:w="50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Prelevia est une entité 100% indépendante avec ses propres partenariats assurance et son réseau d'agents.</w:t>
            </w:r>
          </w:p>
        </w:tc>
        <w:tc>
          <w:tcPr>
            <w:tcW w:type="dxa" w:w="27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À partir de M12</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1.3 Proposition de valeur — 4 piliers</w:t>
      </w:r>
    </w:p>
    <w:p>
      <w:pPr>
        <w:spacing w:before="60" w:after="6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700"/>
        <w:gridCol w:w="8660"/>
      </w:tblGrid>
      <w:tr>
        <w:tc>
          <w:tcPr>
            <w:tcW w:type="dxa" w:w="700"/>
            <w:tcBorders>
              <w:top w:val="single" w:color="0A6E5C" w:sz="4"/>
              <w:left w:val="single" w:color="0A6E5C" w:sz="4"/>
              <w:bottom w:val="single" w:color="0A6E5C" w:sz="4"/>
              <w:right w:val="single" w:color="0A6E5C" w:sz="4"/>
            </w:tcBorders>
            <w:shd w:fill="0A6E5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01</w:t>
            </w:r>
          </w:p>
        </w:tc>
        <w:tc>
          <w:tcPr>
            <w:tcW w:type="dxa" w:w="866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0A6E5C"/>
                <w:sz w:val="23"/>
                <w:szCs w:val="23"/>
              </w:rPr>
              <w:t xml:space="preserve">Accessibilité</w:t>
            </w:r>
          </w:p>
          <w:p>
            <w:pPr>
              <w:spacing w:before="20" w:after="20"/>
              <w:jc w:val="left"/>
            </w:pPr>
            <w:r>
              <w:rPr>
                <w:rFonts w:ascii="Arial" w:cs="Arial" w:eastAsia="Arial" w:hAnsi="Arial"/>
                <w:color w:val="1A2B26"/>
                <w:sz w:val="21"/>
                <w:szCs w:val="21"/>
              </w:rPr>
              <w:t xml:space="preserve">Le patient n'a plus à se déplacer. L'agent vient à domicile à l'horaire convenu. Particulièrement utile pour les personnes âgées, hospitalisées à domicile ou en convalescence.</w:t>
            </w:r>
          </w:p>
        </w:tc>
      </w:tr>
    </w:tbl>
    <w:p>
      <w:pPr>
        <w:spacing w:before="60" w:after="60"/>
      </w:pPr>
    </w:p>
    <w:tbl>
      <w:tblPr>
        <w:tblW w:type="dxa" w:w="9360"/>
        <w:tblBorders>
          <w:top w:val="single" w:color="F4A726" w:sz="4"/>
          <w:left w:val="single" w:color="F4A726" w:sz="4"/>
          <w:bottom w:val="single" w:color="F4A726" w:sz="4"/>
          <w:right w:val="single" w:color="F4A726" w:sz="4"/>
          <w:insideH w:val="single" w:color="auto" w:sz="4"/>
          <w:insideV w:val="single" w:color="auto" w:sz="4"/>
        </w:tblBorders>
      </w:tblPr>
      <w:tblGrid>
        <w:gridCol w:w="700"/>
        <w:gridCol w:w="8660"/>
      </w:tblGrid>
      <w:tr>
        <w:tc>
          <w:tcPr>
            <w:tcW w:type="dxa" w:w="700"/>
            <w:tcBorders>
              <w:top w:val="single" w:color="F4A726" w:sz="4"/>
              <w:left w:val="single" w:color="F4A726" w:sz="4"/>
              <w:bottom w:val="single" w:color="F4A726" w:sz="4"/>
              <w:right w:val="single" w:color="F4A726" w:sz="4"/>
            </w:tcBorders>
            <w:shd w:fill="F4A726"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02</w:t>
            </w:r>
          </w:p>
        </w:tc>
        <w:tc>
          <w:tcPr>
            <w:tcW w:type="dxa" w:w="8660"/>
            <w:tcBorders>
              <w:top w:val="single" w:color="F4A726" w:sz="4"/>
              <w:left w:val="single" w:color="F4A726" w:sz="4"/>
              <w:bottom w:val="single" w:color="F4A726" w:sz="4"/>
              <w:right w:val="single" w:color="F4A726"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F4A726"/>
                <w:sz w:val="23"/>
                <w:szCs w:val="23"/>
              </w:rPr>
              <w:t xml:space="preserve">Rapidité et préparation</w:t>
            </w:r>
          </w:p>
          <w:p>
            <w:pPr>
              <w:spacing w:before="20" w:after="20"/>
              <w:jc w:val="left"/>
            </w:pPr>
            <w:r>
              <w:rPr>
                <w:rFonts w:ascii="Arial" w:cs="Arial" w:eastAsia="Arial" w:hAnsi="Arial"/>
                <w:color w:val="1A2B26"/>
                <w:sz w:val="21"/>
                <w:szCs w:val="21"/>
              </w:rPr>
              <w:t xml:space="preserve">Grâce à l'upload du bulletin dès le RDV et à l'OCR automatique, l'agent connaît les examens AVANT d'arriver. Zéro perte de temps sur place.</w:t>
            </w:r>
          </w:p>
        </w:tc>
      </w:tr>
    </w:tbl>
    <w:p>
      <w:pPr>
        <w:spacing w:before="60" w:after="60"/>
      </w:pPr>
    </w:p>
    <w:tbl>
      <w:tblPr>
        <w:tblW w:type="dxa" w:w="9360"/>
        <w:tblBorders>
          <w:top w:val="single" w:color="1E40AF" w:sz="4"/>
          <w:left w:val="single" w:color="1E40AF" w:sz="4"/>
          <w:bottom w:val="single" w:color="1E40AF" w:sz="4"/>
          <w:right w:val="single" w:color="1E40AF" w:sz="4"/>
          <w:insideH w:val="single" w:color="auto" w:sz="4"/>
          <w:insideV w:val="single" w:color="auto" w:sz="4"/>
        </w:tblBorders>
      </w:tblPr>
      <w:tblGrid>
        <w:gridCol w:w="700"/>
        <w:gridCol w:w="8660"/>
      </w:tblGrid>
      <w:tr>
        <w:tc>
          <w:tcPr>
            <w:tcW w:type="dxa" w:w="700"/>
            <w:tcBorders>
              <w:top w:val="single" w:color="1E40AF" w:sz="4"/>
              <w:left w:val="single" w:color="1E40AF" w:sz="4"/>
              <w:bottom w:val="single" w:color="1E40AF" w:sz="4"/>
              <w:right w:val="single" w:color="1E40AF" w:sz="4"/>
            </w:tcBorders>
            <w:shd w:fill="1E40AF"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03</w:t>
            </w:r>
          </w:p>
        </w:tc>
        <w:tc>
          <w:tcPr>
            <w:tcW w:type="dxa" w:w="8660"/>
            <w:tcBorders>
              <w:top w:val="single" w:color="1E40AF" w:sz="4"/>
              <w:left w:val="single" w:color="1E40AF" w:sz="4"/>
              <w:bottom w:val="single" w:color="1E40AF" w:sz="4"/>
              <w:right w:val="single" w:color="1E40AF"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1E40AF"/>
                <w:sz w:val="23"/>
                <w:szCs w:val="23"/>
              </w:rPr>
              <w:t xml:space="preserve">Gestion assurance intégrée</w:t>
            </w:r>
          </w:p>
          <w:p>
            <w:pPr>
              <w:spacing w:before="20" w:after="20"/>
              <w:jc w:val="left"/>
            </w:pPr>
            <w:r>
              <w:rPr>
                <w:rFonts w:ascii="Arial" w:cs="Arial" w:eastAsia="Arial" w:hAnsi="Arial"/>
                <w:color w:val="1A2B26"/>
                <w:sz w:val="21"/>
                <w:szCs w:val="21"/>
              </w:rPr>
              <w:t xml:space="preserve">Prelevia gère entièrement le circuit assurance. Docs uploadés dès le RDV, soumis au labo avant la visite. La validation peut être disponible à l'arrivée de l'agent.</w:t>
            </w:r>
          </w:p>
        </w:tc>
      </w:tr>
    </w:tbl>
    <w:p>
      <w:pPr>
        <w:spacing w:before="60" w:after="60"/>
      </w:pPr>
    </w:p>
    <w:tbl>
      <w:tblPr>
        <w:tblW w:type="dxa" w:w="9360"/>
        <w:tblBorders>
          <w:top w:val="single" w:color="C2410C" w:sz="4"/>
          <w:left w:val="single" w:color="C2410C" w:sz="4"/>
          <w:bottom w:val="single" w:color="C2410C" w:sz="4"/>
          <w:right w:val="single" w:color="C2410C" w:sz="4"/>
          <w:insideH w:val="single" w:color="auto" w:sz="4"/>
          <w:insideV w:val="single" w:color="auto" w:sz="4"/>
        </w:tblBorders>
      </w:tblPr>
      <w:tblGrid>
        <w:gridCol w:w="700"/>
        <w:gridCol w:w="8660"/>
      </w:tblGrid>
      <w:tr>
        <w:tc>
          <w:tcPr>
            <w:tcW w:type="dxa" w:w="700"/>
            <w:tcBorders>
              <w:top w:val="single" w:color="C2410C" w:sz="4"/>
              <w:left w:val="single" w:color="C2410C" w:sz="4"/>
              <w:bottom w:val="single" w:color="C2410C" w:sz="4"/>
              <w:right w:val="single" w:color="C2410C" w:sz="4"/>
            </w:tcBorders>
            <w:shd w:fill="C2410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04</w:t>
            </w:r>
          </w:p>
        </w:tc>
        <w:tc>
          <w:tcPr>
            <w:tcW w:type="dxa" w:w="8660"/>
            <w:tcBorders>
              <w:top w:val="single" w:color="C2410C" w:sz="4"/>
              <w:left w:val="single" w:color="C2410C" w:sz="4"/>
              <w:bottom w:val="single" w:color="C2410C" w:sz="4"/>
              <w:right w:val="single" w:color="C2410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C2410C"/>
                <w:sz w:val="23"/>
                <w:szCs w:val="23"/>
              </w:rPr>
              <w:t xml:space="preserve">Paiement immédiat et simplifié</w:t>
            </w:r>
          </w:p>
          <w:p>
            <w:pPr>
              <w:spacing w:before="20" w:after="20"/>
              <w:jc w:val="left"/>
            </w:pPr>
            <w:r>
              <w:rPr>
                <w:rFonts w:ascii="Arial" w:cs="Arial" w:eastAsia="Arial" w:hAnsi="Arial"/>
                <w:color w:val="1A2B26"/>
                <w:sz w:val="21"/>
                <w:szCs w:val="21"/>
              </w:rPr>
              <w:t xml:space="preserve">L'agent encaisse sur place juste après le prélèvement : cash ou mobile money (Orange Money, MTN, Wave). Le patient paie uniquement sa part nette.</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2 — CADRE JURIDIQUE ET ADMINISTRATIF</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2.1 Structure juridique recommandée</w:t>
      </w:r>
    </w:p>
    <w:p>
      <w:pPr>
        <w:spacing w:before="60" w:after="80"/>
        <w:jc w:val="both"/>
      </w:pPr>
      <w:r>
        <w:rPr>
          <w:rFonts w:ascii="Arial" w:cs="Arial" w:eastAsia="Arial" w:hAnsi="Arial"/>
          <w:color w:val="1A2B26"/>
          <w:sz w:val="22"/>
          <w:szCs w:val="22"/>
        </w:rPr>
        <w:t xml:space="preserve">Prelevia doit être constituée en Société à Responsabilité Limitée (SARL) de droit ivoirien. Cette forme juridique offre le meilleur équilibre entre protection des associés, crédibilité auprès des assureurs et flexibilité opérationnelle.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rPr>
          <w:tblHeader/>
        </w:trPr>
        <w:tc>
          <w:tcPr>
            <w:tcW w:type="dxa" w:w="2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Démarche</w:t>
            </w:r>
          </w:p>
        </w:tc>
        <w:tc>
          <w:tcPr>
            <w:tcW w:type="dxa" w:w="2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Organisme</w:t>
            </w:r>
          </w:p>
        </w:tc>
        <w:tc>
          <w:tcPr>
            <w:tcW w:type="dxa" w:w="1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Délai</w:t>
            </w:r>
          </w:p>
        </w:tc>
        <w:tc>
          <w:tcPr>
            <w:tcW w:type="dxa" w:w="21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Coût estimé</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Immatriculation RCCM</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Tribunal de commerce d'Abidjan</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 à 10 jours</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50 000 – 80 000 XOF</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Enregistrement fiscal (DGI)</w:t>
            </w:r>
          </w:p>
        </w:tc>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Direction Générale des Impôts</w:t>
            </w:r>
          </w:p>
        </w:tc>
        <w:tc>
          <w:tcPr>
            <w:tcW w:type="dxa" w:w="1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à 5 jours</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Gratuit</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Compte bancaire professionnel</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SGBCI / BICICI / Ecobank</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7 à 14 jours</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Variable</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Numéro de contribuable</w:t>
            </w:r>
          </w:p>
        </w:tc>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DGI</w:t>
            </w:r>
          </w:p>
        </w:tc>
        <w:tc>
          <w:tcPr>
            <w:tcW w:type="dxa" w:w="1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à 3 jours</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Gratuit</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Déclaration à la CNPS</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Caisse Nationale de Prévoyance Sociale</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 jours</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Gratuit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2.2 Agréments sanitaires</w:t>
      </w:r>
    </w:p>
    <w:tbl>
      <w:tblPr>
        <w:tblW w:type="dxa" w:w="9360"/>
        <w:tblBorders>
          <w:top w:val="single" w:color="991B1B" w:sz="6"/>
          <w:left w:val="single" w:color="991B1B" w:sz="6"/>
          <w:bottom w:val="single" w:color="991B1B" w:sz="6"/>
          <w:right w:val="single" w:color="991B1B" w:sz="6"/>
          <w:insideH w:val="single" w:color="auto" w:sz="4"/>
          <w:insideV w:val="single" w:color="auto" w:sz="4"/>
        </w:tblBorders>
      </w:tblPr>
      <w:tblGrid>
        <w:gridCol w:w="9360"/>
      </w:tblGrid>
      <w:tr>
        <w:tc>
          <w:tcPr>
            <w:tcBorders>
              <w:top w:val="single" w:color="991B1B" w:sz="4"/>
              <w:left w:val="single" w:color="991B1B" w:sz="4"/>
              <w:bottom w:val="single" w:color="991B1B" w:sz="4"/>
              <w:right w:val="single" w:color="991B1B" w:sz="4"/>
            </w:tcBorders>
            <w:shd w:fill="991B1B"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Attention — Phase de couverture provisoire</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Durant la Phase 1, Prelevia opère SOUS l'agrément du Laboratoire Maison Blanche.</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Prelevia n'a PAS besoin de ses propres agréments sanitaires en Phase 1.</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Les agréments listés ci-dessous sont nécessaires pour la Phase 2 (autonomisation).</w:t>
            </w:r>
          </w:p>
        </w:tc>
      </w:tr>
    </w:tbl>
    <w:p>
      <w:pPr>
        <w:spacing w:before="80" w:after="80"/>
      </w:pPr>
    </w:p>
    <w:p>
      <w:pPr>
        <w:spacing w:before="60" w:after="80"/>
        <w:jc w:val="both"/>
      </w:pPr>
      <w:r>
        <w:rPr>
          <w:rFonts w:ascii="Arial" w:cs="Arial" w:eastAsia="Arial" w:hAnsi="Arial"/>
          <w:color w:val="1A2B26"/>
          <w:sz w:val="22"/>
          <w:szCs w:val="22"/>
        </w:rPr>
        <w:t xml:space="preserve">Pour l'autonomisation (Phase 2), les autorisations suivantes seront requises :</w:t>
      </w:r>
    </w:p>
    <w:p>
      <w:pPr>
        <w:pStyle w:val="ListParagraph"/>
        <w:numPr>
          <w:ilvl w:val="0"/>
          <w:numId w:val="2"/>
        </w:numPr>
        <w:spacing w:before="40" w:after="40"/>
      </w:pPr>
      <w:r>
        <w:rPr>
          <w:rFonts w:ascii="Arial" w:cs="Arial" w:eastAsia="Arial" w:hAnsi="Arial"/>
          <w:color w:val="1A2B26"/>
          <w:sz w:val="22"/>
          <w:szCs w:val="22"/>
        </w:rPr>
        <w:t xml:space="preserve">Autorisation d'exercice des professions paramédicales — Ministère de la Santé</w:t>
      </w:r>
    </w:p>
    <w:p>
      <w:pPr>
        <w:pStyle w:val="ListParagraph"/>
        <w:numPr>
          <w:ilvl w:val="0"/>
          <w:numId w:val="2"/>
        </w:numPr>
        <w:spacing w:before="40" w:after="40"/>
      </w:pPr>
      <w:r>
        <w:rPr>
          <w:rFonts w:ascii="Arial" w:cs="Arial" w:eastAsia="Arial" w:hAnsi="Arial"/>
          <w:color w:val="1A2B26"/>
          <w:sz w:val="22"/>
          <w:szCs w:val="22"/>
        </w:rPr>
        <w:t xml:space="preserve">Agrément de laboratoire d'analyses biologiques — Direction de la Pharmacie et du Médicament (DPM)</w:t>
      </w:r>
    </w:p>
    <w:p>
      <w:pPr>
        <w:pStyle w:val="ListParagraph"/>
        <w:numPr>
          <w:ilvl w:val="0"/>
          <w:numId w:val="2"/>
        </w:numPr>
        <w:spacing w:before="40" w:after="40"/>
      </w:pPr>
      <w:r>
        <w:rPr>
          <w:rFonts w:ascii="Arial" w:cs="Arial" w:eastAsia="Arial" w:hAnsi="Arial"/>
          <w:color w:val="1A2B26"/>
          <w:sz w:val="22"/>
          <w:szCs w:val="22"/>
        </w:rPr>
        <w:t xml:space="preserve">Autorisation de transport de prélèvements biologiques — Ministère de la Santé</w:t>
      </w:r>
    </w:p>
    <w:p>
      <w:pPr>
        <w:pStyle w:val="ListParagraph"/>
        <w:numPr>
          <w:ilvl w:val="0"/>
          <w:numId w:val="2"/>
        </w:numPr>
        <w:spacing w:before="40" w:after="40"/>
      </w:pPr>
      <w:r>
        <w:rPr>
          <w:rFonts w:ascii="Arial" w:cs="Arial" w:eastAsia="Arial" w:hAnsi="Arial"/>
          <w:color w:val="1A2B26"/>
          <w:sz w:val="22"/>
          <w:szCs w:val="22"/>
        </w:rPr>
        <w:t xml:space="preserve">Enregistrement auprès de l'Ordre des Biologistes Médicaux de Côte d'Ivoire</w:t>
      </w:r>
    </w:p>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2.3 Partenariat avec le Laboratoire Maison Blanche</w:t>
      </w:r>
    </w:p>
    <w:p>
      <w:pPr>
        <w:spacing w:before="60" w:after="80"/>
        <w:jc w:val="both"/>
      </w:pPr>
      <w:r>
        <w:rPr>
          <w:rFonts w:ascii="Arial" w:cs="Arial" w:eastAsia="Arial" w:hAnsi="Arial"/>
          <w:color w:val="1A2B26"/>
          <w:sz w:val="22"/>
          <w:szCs w:val="22"/>
        </w:rPr>
        <w:t xml:space="preserve">Une convention de partenariat formelle doit être signée. Ce document doit préciser :</w:t>
      </w:r>
    </w:p>
    <w:p>
      <w:pPr>
        <w:pStyle w:val="ListParagraph"/>
        <w:numPr>
          <w:ilvl w:val="0"/>
          <w:numId w:val="3"/>
        </w:numPr>
        <w:spacing w:before="50" w:after="50"/>
      </w:pPr>
      <w:r>
        <w:rPr>
          <w:rFonts w:ascii="Arial" w:cs="Arial" w:eastAsia="Arial" w:hAnsi="Arial"/>
          <w:color w:val="1A2B26"/>
          <w:sz w:val="22"/>
          <w:szCs w:val="22"/>
        </w:rPr>
        <w:t xml:space="preserve">Périmètre de la couverture : liste des actes autorisés sous l'agrément du labo</w:t>
      </w:r>
    </w:p>
    <w:p>
      <w:pPr>
        <w:pStyle w:val="ListParagraph"/>
        <w:numPr>
          <w:ilvl w:val="0"/>
          <w:numId w:val="3"/>
        </w:numPr>
        <w:spacing w:before="50" w:after="50"/>
      </w:pPr>
      <w:r>
        <w:rPr>
          <w:rFonts w:ascii="Arial" w:cs="Arial" w:eastAsia="Arial" w:hAnsi="Arial"/>
          <w:color w:val="1A2B26"/>
          <w:sz w:val="22"/>
          <w:szCs w:val="22"/>
        </w:rPr>
        <w:t xml:space="preserve">Répartition financière : pourcentage reversé au labo pour chaque prélèvement effectué</w:t>
      </w:r>
    </w:p>
    <w:p>
      <w:pPr>
        <w:pStyle w:val="ListParagraph"/>
        <w:numPr>
          <w:ilvl w:val="0"/>
          <w:numId w:val="3"/>
        </w:numPr>
        <w:spacing w:before="50" w:after="50"/>
      </w:pPr>
      <w:r>
        <w:rPr>
          <w:rFonts w:ascii="Arial" w:cs="Arial" w:eastAsia="Arial" w:hAnsi="Arial"/>
          <w:color w:val="1A2B26"/>
          <w:sz w:val="22"/>
          <w:szCs w:val="22"/>
        </w:rPr>
        <w:t xml:space="preserve">Gestion exclusive Yopougon : le labo conserve exclusivement les patients de la commune</w:t>
      </w:r>
    </w:p>
    <w:p>
      <w:pPr>
        <w:pStyle w:val="ListParagraph"/>
        <w:numPr>
          <w:ilvl w:val="0"/>
          <w:numId w:val="3"/>
        </w:numPr>
        <w:spacing w:before="50" w:after="50"/>
      </w:pPr>
      <w:r>
        <w:rPr>
          <w:rFonts w:ascii="Arial" w:cs="Arial" w:eastAsia="Arial" w:hAnsi="Arial"/>
          <w:color w:val="1A2B26"/>
          <w:sz w:val="22"/>
          <w:szCs w:val="22"/>
        </w:rPr>
        <w:t xml:space="preserve">Procédure de soumission assurance : flux documentaire, délais, responsabilités</w:t>
      </w:r>
    </w:p>
    <w:p>
      <w:pPr>
        <w:pStyle w:val="ListParagraph"/>
        <w:numPr>
          <w:ilvl w:val="0"/>
          <w:numId w:val="3"/>
        </w:numPr>
        <w:spacing w:before="50" w:after="50"/>
      </w:pPr>
      <w:r>
        <w:rPr>
          <w:rFonts w:ascii="Arial" w:cs="Arial" w:eastAsia="Arial" w:hAnsi="Arial"/>
          <w:color w:val="1A2B26"/>
          <w:sz w:val="22"/>
          <w:szCs w:val="22"/>
        </w:rPr>
        <w:t xml:space="preserve">Conditions de sortie : modalités de détachement à l'issue de la Phase 1</w:t>
      </w:r>
    </w:p>
    <w:p>
      <w:pPr>
        <w:pStyle w:val="ListParagraph"/>
        <w:numPr>
          <w:ilvl w:val="0"/>
          <w:numId w:val="3"/>
        </w:numPr>
        <w:spacing w:before="50" w:after="50"/>
      </w:pPr>
      <w:r>
        <w:rPr>
          <w:rFonts w:ascii="Arial" w:cs="Arial" w:eastAsia="Arial" w:hAnsi="Arial"/>
          <w:color w:val="1A2B26"/>
          <w:sz w:val="22"/>
          <w:szCs w:val="22"/>
        </w:rPr>
        <w:t xml:space="preserve">Clause de non-concurrence : protections mutuelles après séparation</w:t>
      </w:r>
    </w:p>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3 — STRUCTURE ORGANISATIONNELLE</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3.1 Organigramme Phase 1</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64D40" w:val="clear"/>
            <w:tcMar>
              <w:top w:type="dxa" w:w="100"/>
              <w:left w:type="dxa" w:w="200"/>
              <w:bottom w:type="dxa" w:w="100"/>
              <w:right w:type="dxa" w:w="200"/>
            </w:tcMar>
            <w:vAlign w:val="top"/>
          </w:tcPr>
          <w:p>
            <w:pPr>
              <w:jc w:val="center"/>
            </w:pPr>
            <w:r>
              <w:rPr>
                <w:rFonts w:ascii="Arial" w:cs="Arial" w:eastAsia="Arial" w:hAnsi="Arial"/>
                <w:b/>
                <w:bCs/>
                <w:color w:val="FFFFFF"/>
                <w:sz w:val="24"/>
                <w:szCs w:val="24"/>
              </w:rPr>
              <w:t xml:space="preserve">DIRECTEUR GÉNÉRAL — Prelevia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6E5C" w:sz="4"/>
              <w:left w:val="single" w:color="0A6E5C" w:sz="4"/>
              <w:bottom w:val="single" w:color="0A6E5C" w:sz="4"/>
              <w:right w:val="single" w:color="0A6E5C" w:sz="4"/>
            </w:tcBorders>
            <w:shd w:fill="0A6E5C" w:val="clear"/>
            <w:tcMar>
              <w:top w:type="dxa" w:w="100"/>
              <w:left w:type="dxa" w:w="120"/>
              <w:bottom w:type="dxa" w:w="100"/>
              <w:right w:type="dxa" w:w="120"/>
            </w:tcMar>
            <w:vAlign w:val="top"/>
          </w:tcPr>
          <w:p>
            <w:pPr>
              <w:spacing w:before="0" w:after="0"/>
              <w:jc w:val="center"/>
            </w:pPr>
            <w:r>
              <w:rPr>
                <w:rFonts w:ascii="Arial" w:cs="Arial" w:eastAsia="Arial" w:hAnsi="Arial"/>
                <w:b/>
                <w:bCs/>
                <w:color w:val="FFFFFF"/>
                <w:sz w:val="20"/>
                <w:szCs w:val="20"/>
              </w:rPr>
              <w:t xml:space="preserve">COORDINATEUR OPÉRATIONS</w:t>
            </w:r>
          </w:p>
          <w:p>
            <w:pPr>
              <w:spacing w:before="0" w:after="0"/>
              <w:jc w:val="center"/>
            </w:pPr>
            <w:r>
              <w:rPr>
                <w:rFonts w:ascii="Arial" w:cs="Arial" w:eastAsia="Arial" w:hAnsi="Arial"/>
                <w:i/>
                <w:iCs/>
                <w:color w:val="C8E8E0"/>
                <w:sz w:val="18"/>
                <w:szCs w:val="18"/>
              </w:rPr>
              <w:t xml:space="preserve">Tournées, agents, terrain</w:t>
            </w:r>
          </w:p>
        </w:tc>
        <w:tc>
          <w:tcPr>
            <w:tcW w:type="dxa" w:w="3120"/>
            <w:tcBorders>
              <w:top w:val="single" w:color="1E40AF" w:sz="4"/>
              <w:left w:val="single" w:color="1E40AF" w:sz="4"/>
              <w:bottom w:val="single" w:color="1E40AF" w:sz="4"/>
              <w:right w:val="single" w:color="1E40AF" w:sz="4"/>
            </w:tcBorders>
            <w:shd w:fill="1E40AF" w:val="clear"/>
            <w:tcMar>
              <w:top w:type="dxa" w:w="100"/>
              <w:left w:type="dxa" w:w="120"/>
              <w:bottom w:type="dxa" w:w="100"/>
              <w:right w:type="dxa" w:w="120"/>
            </w:tcMar>
            <w:vAlign w:val="top"/>
          </w:tcPr>
          <w:p>
            <w:pPr>
              <w:spacing w:before="0" w:after="0"/>
              <w:jc w:val="center"/>
            </w:pPr>
            <w:r>
              <w:rPr>
                <w:rFonts w:ascii="Arial" w:cs="Arial" w:eastAsia="Arial" w:hAnsi="Arial"/>
                <w:b/>
                <w:bCs/>
                <w:color w:val="FFFFFF"/>
                <w:sz w:val="20"/>
                <w:szCs w:val="20"/>
              </w:rPr>
              <w:t xml:space="preserve">ADMIN &amp; FINANCE</w:t>
            </w:r>
          </w:p>
          <w:p>
            <w:pPr>
              <w:spacing w:before="0" w:after="0"/>
              <w:jc w:val="center"/>
            </w:pPr>
            <w:r>
              <w:rPr>
                <w:rFonts w:ascii="Arial" w:cs="Arial" w:eastAsia="Arial" w:hAnsi="Arial"/>
                <w:i/>
                <w:iCs/>
                <w:color w:val="C8D8F8"/>
                <w:sz w:val="18"/>
                <w:szCs w:val="18"/>
              </w:rPr>
              <w:t xml:space="preserve">Comptabilité, assurances, paiements</w:t>
            </w:r>
          </w:p>
        </w:tc>
        <w:tc>
          <w:tcPr>
            <w:tcW w:type="dxa" w:w="3120"/>
            <w:tcBorders>
              <w:top w:val="single" w:color="C2410C" w:sz="4"/>
              <w:left w:val="single" w:color="C2410C" w:sz="4"/>
              <w:bottom w:val="single" w:color="C2410C" w:sz="4"/>
              <w:right w:val="single" w:color="C2410C" w:sz="4"/>
            </w:tcBorders>
            <w:shd w:fill="C2410C" w:val="clear"/>
            <w:tcMar>
              <w:top w:type="dxa" w:w="100"/>
              <w:left w:type="dxa" w:w="120"/>
              <w:bottom w:type="dxa" w:w="100"/>
              <w:right w:type="dxa" w:w="120"/>
            </w:tcMar>
            <w:vAlign w:val="top"/>
          </w:tcPr>
          <w:p>
            <w:pPr>
              <w:spacing w:before="0" w:after="0"/>
              <w:jc w:val="center"/>
            </w:pPr>
            <w:r>
              <w:rPr>
                <w:rFonts w:ascii="Arial" w:cs="Arial" w:eastAsia="Arial" w:hAnsi="Arial"/>
                <w:b/>
                <w:bCs/>
                <w:color w:val="FFFFFF"/>
                <w:sz w:val="20"/>
                <w:szCs w:val="20"/>
              </w:rPr>
              <w:t xml:space="preserve">RESPONSABLE TECHNIQUE</w:t>
            </w:r>
          </w:p>
          <w:p>
            <w:pPr>
              <w:spacing w:before="0" w:after="0"/>
              <w:jc w:val="center"/>
            </w:pPr>
            <w:r>
              <w:rPr>
                <w:rFonts w:ascii="Arial" w:cs="Arial" w:eastAsia="Arial" w:hAnsi="Arial"/>
                <w:i/>
                <w:iCs/>
                <w:color w:val="F8D8C8"/>
                <w:sz w:val="18"/>
                <w:szCs w:val="18"/>
              </w:rPr>
              <w:t xml:space="preserve">Plateforme, OCR, données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6E5C" w:sz="4"/>
              <w:left w:val="single" w:color="0A6E5C" w:sz="4"/>
              <w:bottom w:val="single" w:color="0A6E5C" w:sz="4"/>
              <w:right w:val="single" w:color="0A6E5C" w:sz="4"/>
            </w:tcBorders>
            <w:shd w:fill="E8F5F2" w:val="clear"/>
            <w:tcMar>
              <w:top w:type="dxa" w:w="100"/>
              <w:left w:type="dxa" w:w="120"/>
              <w:bottom w:type="dxa" w:w="100"/>
              <w:right w:type="dxa" w:w="120"/>
            </w:tcMar>
            <w:vAlign w:val="top"/>
          </w:tcPr>
          <w:p>
            <w:pPr>
              <w:spacing w:before="0" w:after="0"/>
              <w:jc w:val="center"/>
            </w:pPr>
            <w:r>
              <w:rPr>
                <w:rFonts w:ascii="Arial" w:cs="Arial" w:eastAsia="Arial" w:hAnsi="Arial"/>
                <w:b/>
                <w:bCs/>
                <w:color w:val="0A6E5C"/>
                <w:sz w:val="20"/>
                <w:szCs w:val="20"/>
              </w:rPr>
              <w:t xml:space="preserve">AGENTS DE PRÉLÈVEMENT</w:t>
            </w:r>
          </w:p>
          <w:p>
            <w:pPr>
              <w:spacing w:before="0" w:after="0"/>
              <w:jc w:val="center"/>
            </w:pPr>
            <w:r>
              <w:rPr>
                <w:rFonts w:ascii="Arial" w:cs="Arial" w:eastAsia="Arial" w:hAnsi="Arial"/>
                <w:i/>
                <w:iCs/>
                <w:color w:val="5C7A74"/>
                <w:sz w:val="18"/>
                <w:szCs w:val="18"/>
              </w:rPr>
              <w:t xml:space="preserve">Techniciens itinérants, tournées quotidiennes</w:t>
            </w:r>
          </w:p>
        </w:tc>
        <w:tc>
          <w:tcPr>
            <w:tcW w:type="dxa" w:w="4680"/>
            <w:tcBorders>
              <w:top w:val="single" w:color="C2410C" w:sz="4"/>
              <w:left w:val="single" w:color="C2410C" w:sz="4"/>
              <w:bottom w:val="single" w:color="C2410C" w:sz="4"/>
              <w:right w:val="single" w:color="C2410C" w:sz="4"/>
            </w:tcBorders>
            <w:shd w:fill="FFF8E8" w:val="clear"/>
            <w:tcMar>
              <w:top w:type="dxa" w:w="100"/>
              <w:left w:type="dxa" w:w="120"/>
              <w:bottom w:type="dxa" w:w="100"/>
              <w:right w:type="dxa" w:w="120"/>
            </w:tcMar>
            <w:vAlign w:val="top"/>
          </w:tcPr>
          <w:p>
            <w:pPr>
              <w:spacing w:before="0" w:after="0"/>
              <w:jc w:val="center"/>
            </w:pPr>
            <w:r>
              <w:rPr>
                <w:rFonts w:ascii="Arial" w:cs="Arial" w:eastAsia="Arial" w:hAnsi="Arial"/>
                <w:b/>
                <w:bCs/>
                <w:color w:val="C2410C"/>
                <w:sz w:val="20"/>
                <w:szCs w:val="20"/>
              </w:rPr>
              <w:t xml:space="preserve">RELATION CLIENT</w:t>
            </w:r>
          </w:p>
          <w:p>
            <w:pPr>
              <w:spacing w:before="0" w:after="0"/>
              <w:jc w:val="center"/>
            </w:pPr>
            <w:r>
              <w:rPr>
                <w:rFonts w:ascii="Arial" w:cs="Arial" w:eastAsia="Arial" w:hAnsi="Arial"/>
                <w:i/>
                <w:iCs/>
                <w:color w:val="5C7A74"/>
                <w:sz w:val="18"/>
                <w:szCs w:val="18"/>
              </w:rPr>
              <w:t xml:space="preserve">Prise de RDV, suivi patient, notifications</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3.2 Fiche de poste — Agent de Prélèvement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Critère</w:t>
            </w:r>
          </w:p>
        </w:tc>
        <w:tc>
          <w:tcPr>
            <w:tcW w:type="dxa" w:w="63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Détail</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Formation requise</w:t>
            </w:r>
          </w:p>
        </w:tc>
        <w:tc>
          <w:tcPr>
            <w:tcW w:type="dxa" w:w="6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BTS Analyses Biologiques ou équivalent reconnu par le Ministère de la Santé</w:t>
            </w:r>
          </w:p>
        </w:tc>
      </w:tr>
      <w:tr>
        <w:tc>
          <w:tcPr>
            <w:tcW w:type="dxa" w:w="3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Expérience</w:t>
            </w:r>
          </w:p>
        </w:tc>
        <w:tc>
          <w:tcPr>
            <w:tcW w:type="dxa" w:w="6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Minimum 1 an en laboratoire ou en prélèvement à domicile</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Compétences techniques</w:t>
            </w:r>
          </w:p>
        </w:tc>
        <w:tc>
          <w:tcPr>
            <w:tcW w:type="dxa" w:w="6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Phlébotomie, prélèvements capillaires, gestion des tubes, chaîne du froid</w:t>
            </w:r>
          </w:p>
        </w:tc>
      </w:tr>
      <w:tr>
        <w:tc>
          <w:tcPr>
            <w:tcW w:type="dxa" w:w="3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Compétences numériques</w:t>
            </w:r>
          </w:p>
        </w:tc>
        <w:tc>
          <w:tcPr>
            <w:tcW w:type="dxa" w:w="6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Maîtrise de l'application mobile agent : missions, OCR, paiement sur place</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Compétences relationnelles</w:t>
            </w:r>
          </w:p>
        </w:tc>
        <w:tc>
          <w:tcPr>
            <w:tcW w:type="dxa" w:w="6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Empathie, ponctualité, communication, gestion du stress au domicile</w:t>
            </w:r>
          </w:p>
        </w:tc>
      </w:tr>
      <w:tr>
        <w:tc>
          <w:tcPr>
            <w:tcW w:type="dxa" w:w="3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Équipement fourni</w:t>
            </w:r>
          </w:p>
        </w:tc>
        <w:tc>
          <w:tcPr>
            <w:tcW w:type="dxa" w:w="6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Kit de prélèvement, glacière isotherme, application mobile agent, badge Prelevia</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Rémunération Phase 1</w:t>
            </w:r>
          </w:p>
        </w:tc>
        <w:tc>
          <w:tcPr>
            <w:tcW w:type="dxa" w:w="6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Fixe mensuel + prime par prélèvement effectué + prime qualité + commission encaissement</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4 — PROCESSUS OPÉRATIONNELS — PARCOURS CLIENT</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4.1 Nouveau parcours client — 8 étapes</w:t>
      </w:r>
    </w:p>
    <w:p>
      <w:pPr>
        <w:spacing w:before="60" w:after="80"/>
        <w:jc w:val="both"/>
      </w:pPr>
      <w:r>
        <w:rPr>
          <w:rFonts w:ascii="Arial" w:cs="Arial" w:eastAsia="Arial" w:hAnsi="Arial"/>
          <w:color w:val="1A2B26"/>
          <w:sz w:val="22"/>
          <w:szCs w:val="22"/>
        </w:rPr>
        <w:t xml:space="preserve">Le parcours Prelevia v2 intègre l'upload des documents et l'OCR dès la prise de RDV, permettant au labo de soumettre le dossier assurance avant même la visite de l'agent. Le paiement s'effectue immédiatement après le prélèvement, sur place.</w:t>
      </w:r>
    </w:p>
    <w:p>
      <w:pPr>
        <w:spacing w:before="80" w:after="8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700"/>
        <w:gridCol w:w="8660"/>
      </w:tblGrid>
      <w:tr>
        <w:tc>
          <w:tcPr>
            <w:tcW w:type="dxa" w:w="700"/>
            <w:tcBorders>
              <w:top w:val="single" w:color="0A6E5C" w:sz="4"/>
              <w:left w:val="single" w:color="0A6E5C" w:sz="4"/>
              <w:bottom w:val="single" w:color="0A6E5C" w:sz="4"/>
              <w:right w:val="single" w:color="0A6E5C" w:sz="4"/>
            </w:tcBorders>
            <w:shd w:fill="0A6E5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01</w:t>
            </w:r>
          </w:p>
        </w:tc>
        <w:tc>
          <w:tcPr>
            <w:tcW w:type="dxa" w:w="866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0A6E5C"/>
                <w:sz w:val="23"/>
                <w:szCs w:val="23"/>
              </w:rPr>
              <w:t xml:space="preserve">Prise de RDV + Upload documents</w:t>
            </w:r>
          </w:p>
          <w:p>
            <w:pPr>
              <w:spacing w:before="20" w:after="20"/>
              <w:jc w:val="left"/>
            </w:pPr>
            <w:r>
              <w:rPr>
                <w:rFonts w:ascii="Arial" w:cs="Arial" w:eastAsia="Arial" w:hAnsi="Arial"/>
                <w:color w:val="1A2B26"/>
                <w:sz w:val="21"/>
                <w:szCs w:val="21"/>
              </w:rPr>
              <w:t xml:space="preserve">Le client prend rendez-vous via l'app, WhatsApp ou téléphone.</w:t>
            </w:r>
          </w:p>
          <w:p>
            <w:pPr>
              <w:spacing w:before="20" w:after="20"/>
              <w:jc w:val="left"/>
            </w:pPr>
            <w:r>
              <w:rPr>
                <w:rFonts w:ascii="Arial" w:cs="Arial" w:eastAsia="Arial" w:hAnsi="Arial"/>
                <w:color w:val="1A2B26"/>
                <w:sz w:val="21"/>
                <w:szCs w:val="21"/>
              </w:rPr>
              <w:t xml:space="preserve">S'il est assuré : il uploade IMMÉDIATEMENT son bulletin d'analyses, sa carte d'assurance et sa CNI.</w:t>
            </w:r>
          </w:p>
          <w:p>
            <w:pPr>
              <w:spacing w:before="20" w:after="20"/>
              <w:jc w:val="left"/>
            </w:pPr>
            <w:r>
              <w:rPr>
                <w:rFonts w:ascii="Arial" w:cs="Arial" w:eastAsia="Arial" w:hAnsi="Arial"/>
                <w:color w:val="1A2B26"/>
                <w:sz w:val="21"/>
                <w:szCs w:val="21"/>
              </w:rPr>
              <w:t xml:space="preserve">L'upload dès le RDV déclenche la procédure assurance en parallèle de la planification de la visite.</w:t>
            </w:r>
          </w:p>
        </w:tc>
      </w:tr>
    </w:tbl>
    <w:p>
      <w:pPr>
        <w:spacing w:before="50" w:after="50"/>
      </w:pPr>
    </w:p>
    <w:tbl>
      <w:tblPr>
        <w:tblW w:type="dxa" w:w="9360"/>
        <w:tblBorders>
          <w:top w:val="single" w:color="F4A726" w:sz="4"/>
          <w:left w:val="single" w:color="F4A726" w:sz="4"/>
          <w:bottom w:val="single" w:color="F4A726" w:sz="4"/>
          <w:right w:val="single" w:color="F4A726" w:sz="4"/>
          <w:insideH w:val="single" w:color="auto" w:sz="4"/>
          <w:insideV w:val="single" w:color="auto" w:sz="4"/>
        </w:tblBorders>
      </w:tblPr>
      <w:tblGrid>
        <w:gridCol w:w="700"/>
        <w:gridCol w:w="8660"/>
      </w:tblGrid>
      <w:tr>
        <w:tc>
          <w:tcPr>
            <w:tcW w:type="dxa" w:w="700"/>
            <w:tcBorders>
              <w:top w:val="single" w:color="F4A726" w:sz="4"/>
              <w:left w:val="single" w:color="F4A726" w:sz="4"/>
              <w:bottom w:val="single" w:color="F4A726" w:sz="4"/>
              <w:right w:val="single" w:color="F4A726" w:sz="4"/>
            </w:tcBorders>
            <w:shd w:fill="F4A726"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02</w:t>
            </w:r>
          </w:p>
        </w:tc>
        <w:tc>
          <w:tcPr>
            <w:tcW w:type="dxa" w:w="8660"/>
            <w:tcBorders>
              <w:top w:val="single" w:color="F4A726" w:sz="4"/>
              <w:left w:val="single" w:color="F4A726" w:sz="4"/>
              <w:bottom w:val="single" w:color="F4A726" w:sz="4"/>
              <w:right w:val="single" w:color="F4A726"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F4A726"/>
                <w:sz w:val="23"/>
                <w:szCs w:val="23"/>
              </w:rPr>
              <w:t xml:space="preserve">OCR automatique des examens</w:t>
            </w:r>
          </w:p>
          <w:p>
            <w:pPr>
              <w:spacing w:before="20" w:after="20"/>
              <w:jc w:val="left"/>
            </w:pPr>
            <w:r>
              <w:rPr>
                <w:rFonts w:ascii="Arial" w:cs="Arial" w:eastAsia="Arial" w:hAnsi="Arial"/>
                <w:color w:val="1A2B26"/>
                <w:sz w:val="21"/>
                <w:szCs w:val="21"/>
              </w:rPr>
              <w:t xml:space="preserve">Le système Prelevia analyse le bulletin uploadé par reconnaissance optique de caractères (OCR).</w:t>
            </w:r>
          </w:p>
          <w:p>
            <w:pPr>
              <w:spacing w:before="20" w:after="20"/>
              <w:jc w:val="left"/>
            </w:pPr>
            <w:r>
              <w:rPr>
                <w:rFonts w:ascii="Arial" w:cs="Arial" w:eastAsia="Arial" w:hAnsi="Arial"/>
                <w:color w:val="1A2B26"/>
                <w:sz w:val="21"/>
                <w:szCs w:val="21"/>
              </w:rPr>
              <w:t xml:space="preserve">Les examens sont extraits automatiquement et ajoutés au dossier patient.</w:t>
            </w:r>
          </w:p>
          <w:p>
            <w:pPr>
              <w:spacing w:before="20" w:after="20"/>
              <w:jc w:val="left"/>
            </w:pPr>
            <w:r>
              <w:rPr>
                <w:rFonts w:ascii="Arial" w:cs="Arial" w:eastAsia="Arial" w:hAnsi="Arial"/>
                <w:color w:val="1A2B26"/>
                <w:sz w:val="21"/>
                <w:szCs w:val="21"/>
              </w:rPr>
              <w:t xml:space="preserve">Le patient confirme la liste, corrige les erreurs ou ajoute manuellement des examens manquants.</w:t>
            </w:r>
          </w:p>
        </w:tc>
      </w:tr>
    </w:tbl>
    <w:p>
      <w:pPr>
        <w:spacing w:before="50" w:after="50"/>
      </w:pPr>
    </w:p>
    <w:tbl>
      <w:tblPr>
        <w:tblW w:type="dxa" w:w="9360"/>
        <w:tblBorders>
          <w:top w:val="single" w:color="1E40AF" w:sz="4"/>
          <w:left w:val="single" w:color="1E40AF" w:sz="4"/>
          <w:bottom w:val="single" w:color="1E40AF" w:sz="4"/>
          <w:right w:val="single" w:color="1E40AF" w:sz="4"/>
          <w:insideH w:val="single" w:color="auto" w:sz="4"/>
          <w:insideV w:val="single" w:color="auto" w:sz="4"/>
        </w:tblBorders>
      </w:tblPr>
      <w:tblGrid>
        <w:gridCol w:w="700"/>
        <w:gridCol w:w="8660"/>
      </w:tblGrid>
      <w:tr>
        <w:tc>
          <w:tcPr>
            <w:tcW w:type="dxa" w:w="700"/>
            <w:tcBorders>
              <w:top w:val="single" w:color="1E40AF" w:sz="4"/>
              <w:left w:val="single" w:color="1E40AF" w:sz="4"/>
              <w:bottom w:val="single" w:color="1E40AF" w:sz="4"/>
              <w:right w:val="single" w:color="1E40AF" w:sz="4"/>
            </w:tcBorders>
            <w:shd w:fill="1E40AF"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03</w:t>
            </w:r>
          </w:p>
        </w:tc>
        <w:tc>
          <w:tcPr>
            <w:tcW w:type="dxa" w:w="8660"/>
            <w:tcBorders>
              <w:top w:val="single" w:color="1E40AF" w:sz="4"/>
              <w:left w:val="single" w:color="1E40AF" w:sz="4"/>
              <w:bottom w:val="single" w:color="1E40AF" w:sz="4"/>
              <w:right w:val="single" w:color="1E40AF"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1E40AF"/>
                <w:sz w:val="23"/>
                <w:szCs w:val="23"/>
              </w:rPr>
              <w:t xml:space="preserve">Soumission anticipée à l'assureur</w:t>
            </w:r>
          </w:p>
          <w:p>
            <w:pPr>
              <w:spacing w:before="20" w:after="20"/>
              <w:jc w:val="left"/>
            </w:pPr>
            <w:r>
              <w:rPr>
                <w:rFonts w:ascii="Arial" w:cs="Arial" w:eastAsia="Arial" w:hAnsi="Arial"/>
                <w:color w:val="1A2B26"/>
                <w:sz w:val="21"/>
                <w:szCs w:val="21"/>
              </w:rPr>
              <w:t xml:space="preserve">Avec tous les documents disponibles dès le RDV, le dossier est transmis au Labo Maison Blanche immédiatement.</w:t>
            </w:r>
          </w:p>
          <w:p>
            <w:pPr>
              <w:spacing w:before="20" w:after="20"/>
              <w:jc w:val="left"/>
            </w:pPr>
            <w:r>
              <w:rPr>
                <w:rFonts w:ascii="Arial" w:cs="Arial" w:eastAsia="Arial" w:hAnsi="Arial"/>
                <w:color w:val="1A2B26"/>
                <w:sz w:val="21"/>
                <w:szCs w:val="21"/>
              </w:rPr>
              <w:t xml:space="preserve">Le labo soumet sur le portail de l'assureur AVANT la visite de l'agent.</w:t>
            </w:r>
          </w:p>
          <w:p>
            <w:pPr>
              <w:spacing w:before="20" w:after="20"/>
              <w:jc w:val="left"/>
            </w:pPr>
            <w:r>
              <w:rPr>
                <w:rFonts w:ascii="Arial" w:cs="Arial" w:eastAsia="Arial" w:hAnsi="Arial"/>
                <w:color w:val="1A2B26"/>
                <w:sz w:val="21"/>
                <w:szCs w:val="21"/>
              </w:rPr>
              <w:t xml:space="preserve">La décision peut être disponible au moment où l'agent arrive au domicile.</w:t>
            </w:r>
          </w:p>
        </w:tc>
      </w:tr>
    </w:tbl>
    <w:p>
      <w:pPr>
        <w:spacing w:before="50" w:after="5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700"/>
        <w:gridCol w:w="8660"/>
      </w:tblGrid>
      <w:tr>
        <w:tc>
          <w:tcPr>
            <w:tcW w:type="dxa" w:w="700"/>
            <w:tcBorders>
              <w:top w:val="single" w:color="0A6E5C" w:sz="4"/>
              <w:left w:val="single" w:color="0A6E5C" w:sz="4"/>
              <w:bottom w:val="single" w:color="0A6E5C" w:sz="4"/>
              <w:right w:val="single" w:color="0A6E5C" w:sz="4"/>
            </w:tcBorders>
            <w:shd w:fill="0A6E5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04</w:t>
            </w:r>
          </w:p>
        </w:tc>
        <w:tc>
          <w:tcPr>
            <w:tcW w:type="dxa" w:w="866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0A6E5C"/>
                <w:sz w:val="23"/>
                <w:szCs w:val="23"/>
              </w:rPr>
              <w:t xml:space="preserve">Affectation de l'agent informé</w:t>
            </w:r>
          </w:p>
          <w:p>
            <w:pPr>
              <w:spacing w:before="20" w:after="20"/>
              <w:jc w:val="left"/>
            </w:pPr>
            <w:r>
              <w:rPr>
                <w:rFonts w:ascii="Arial" w:cs="Arial" w:eastAsia="Arial" w:hAnsi="Arial"/>
                <w:color w:val="1A2B26"/>
                <w:sz w:val="21"/>
                <w:szCs w:val="21"/>
              </w:rPr>
              <w:t xml:space="preserve">Le back-office affecte l'agent le plus proche et disponible.</w:t>
            </w:r>
          </w:p>
          <w:p>
            <w:pPr>
              <w:spacing w:before="20" w:after="20"/>
              <w:jc w:val="left"/>
            </w:pPr>
            <w:r>
              <w:rPr>
                <w:rFonts w:ascii="Arial" w:cs="Arial" w:eastAsia="Arial" w:hAnsi="Arial"/>
                <w:color w:val="1A2B26"/>
                <w:sz w:val="21"/>
                <w:szCs w:val="21"/>
              </w:rPr>
              <w:t xml:space="preserve">L'agent reçoit la mission complète : adresse, liste des examens extraits par OCR, statut assurance.</w:t>
            </w:r>
          </w:p>
          <w:p>
            <w:pPr>
              <w:spacing w:before="20" w:after="20"/>
              <w:jc w:val="left"/>
            </w:pPr>
            <w:r>
              <w:rPr>
                <w:rFonts w:ascii="Arial" w:cs="Arial" w:eastAsia="Arial" w:hAnsi="Arial"/>
                <w:color w:val="1A2B26"/>
                <w:sz w:val="21"/>
                <w:szCs w:val="21"/>
              </w:rPr>
              <w:t xml:space="preserve">Zéro incertitude terrain — l'agent sait exactement quels tubes préparer.</w:t>
            </w:r>
          </w:p>
        </w:tc>
      </w:tr>
    </w:tbl>
    <w:p>
      <w:pPr>
        <w:spacing w:before="50" w:after="50"/>
      </w:pPr>
    </w:p>
    <w:tbl>
      <w:tblPr>
        <w:tblW w:type="dxa" w:w="9360"/>
        <w:tblBorders>
          <w:top w:val="single" w:color="C2410C" w:sz="4"/>
          <w:left w:val="single" w:color="C2410C" w:sz="4"/>
          <w:bottom w:val="single" w:color="C2410C" w:sz="4"/>
          <w:right w:val="single" w:color="C2410C" w:sz="4"/>
          <w:insideH w:val="single" w:color="auto" w:sz="4"/>
          <w:insideV w:val="single" w:color="auto" w:sz="4"/>
        </w:tblBorders>
      </w:tblPr>
      <w:tblGrid>
        <w:gridCol w:w="700"/>
        <w:gridCol w:w="8660"/>
      </w:tblGrid>
      <w:tr>
        <w:tc>
          <w:tcPr>
            <w:tcW w:type="dxa" w:w="700"/>
            <w:tcBorders>
              <w:top w:val="single" w:color="C2410C" w:sz="4"/>
              <w:left w:val="single" w:color="C2410C" w:sz="4"/>
              <w:bottom w:val="single" w:color="C2410C" w:sz="4"/>
              <w:right w:val="single" w:color="C2410C" w:sz="4"/>
            </w:tcBorders>
            <w:shd w:fill="C2410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05</w:t>
            </w:r>
          </w:p>
        </w:tc>
        <w:tc>
          <w:tcPr>
            <w:tcW w:type="dxa" w:w="8660"/>
            <w:tcBorders>
              <w:top w:val="single" w:color="C2410C" w:sz="4"/>
              <w:left w:val="single" w:color="C2410C" w:sz="4"/>
              <w:bottom w:val="single" w:color="C2410C" w:sz="4"/>
              <w:right w:val="single" w:color="C2410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C2410C"/>
                <w:sz w:val="23"/>
                <w:szCs w:val="23"/>
              </w:rPr>
              <w:t xml:space="preserve">Saisie de rattrapage par l'agent (si besoin)</w:t>
            </w:r>
          </w:p>
          <w:p>
            <w:pPr>
              <w:spacing w:before="20" w:after="20"/>
              <w:jc w:val="left"/>
            </w:pPr>
            <w:r>
              <w:rPr>
                <w:rFonts w:ascii="Arial" w:cs="Arial" w:eastAsia="Arial" w:hAnsi="Arial"/>
                <w:color w:val="1A2B26"/>
                <w:sz w:val="21"/>
                <w:szCs w:val="21"/>
              </w:rPr>
              <w:t xml:space="preserve">Si le patient n'a pas uploadé son bulletin, l'agent peut saisir les examens lui-même depuis son app.</w:t>
            </w:r>
          </w:p>
          <w:p>
            <w:pPr>
              <w:spacing w:before="20" w:after="20"/>
              <w:jc w:val="left"/>
            </w:pPr>
            <w:r>
              <w:rPr>
                <w:rFonts w:ascii="Arial" w:cs="Arial" w:eastAsia="Arial" w:hAnsi="Arial"/>
                <w:color w:val="1A2B26"/>
                <w:sz w:val="21"/>
                <w:szCs w:val="21"/>
              </w:rPr>
              <w:t xml:space="preserve">Il sélectionne les examens dans un catalogue complet directement sur sa mission.</w:t>
            </w:r>
          </w:p>
          <w:p>
            <w:pPr>
              <w:spacing w:before="20" w:after="20"/>
              <w:jc w:val="left"/>
            </w:pPr>
            <w:r>
              <w:rPr>
                <w:rFonts w:ascii="Arial" w:cs="Arial" w:eastAsia="Arial" w:hAnsi="Arial"/>
                <w:color w:val="1A2B26"/>
                <w:sz w:val="21"/>
                <w:szCs w:val="21"/>
              </w:rPr>
              <w:t xml:space="preserve">Cette saisie agent est tracée avec la mention 'Source : Agent'.</w:t>
            </w:r>
          </w:p>
        </w:tc>
      </w:tr>
    </w:tbl>
    <w:p>
      <w:pPr>
        <w:spacing w:before="50" w:after="5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700"/>
        <w:gridCol w:w="8660"/>
      </w:tblGrid>
      <w:tr>
        <w:tc>
          <w:tcPr>
            <w:tcW w:type="dxa" w:w="700"/>
            <w:tcBorders>
              <w:top w:val="single" w:color="0A6E5C" w:sz="4"/>
              <w:left w:val="single" w:color="0A6E5C" w:sz="4"/>
              <w:bottom w:val="single" w:color="0A6E5C" w:sz="4"/>
              <w:right w:val="single" w:color="0A6E5C" w:sz="4"/>
            </w:tcBorders>
            <w:shd w:fill="0A6E5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06</w:t>
            </w:r>
          </w:p>
        </w:tc>
        <w:tc>
          <w:tcPr>
            <w:tcW w:type="dxa" w:w="866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0A6E5C"/>
                <w:sz w:val="23"/>
                <w:szCs w:val="23"/>
              </w:rPr>
              <w:t xml:space="preserve">Prélèvement à domicile</w:t>
            </w:r>
          </w:p>
          <w:p>
            <w:pPr>
              <w:spacing w:before="20" w:after="20"/>
              <w:jc w:val="left"/>
            </w:pPr>
            <w:r>
              <w:rPr>
                <w:rFonts w:ascii="Arial" w:cs="Arial" w:eastAsia="Arial" w:hAnsi="Arial"/>
                <w:color w:val="1A2B26"/>
                <w:sz w:val="21"/>
                <w:szCs w:val="21"/>
              </w:rPr>
              <w:t xml:space="preserve">L'agent effectue le prélèvement selon les protocoles (voir Partie 10).</w:t>
            </w:r>
          </w:p>
          <w:p>
            <w:pPr>
              <w:spacing w:before="20" w:after="20"/>
              <w:jc w:val="left"/>
            </w:pPr>
            <w:r>
              <w:rPr>
                <w:rFonts w:ascii="Arial" w:cs="Arial" w:eastAsia="Arial" w:hAnsi="Arial"/>
                <w:color w:val="1A2B26"/>
                <w:sz w:val="21"/>
                <w:szCs w:val="21"/>
              </w:rPr>
              <w:t xml:space="preserve">Tubes étiquetés, conditionnés, placés en glacière isotherme. Statut mis à jour dans l'app.</w:t>
            </w:r>
          </w:p>
          <w:p>
            <w:pPr>
              <w:spacing w:before="20" w:after="20"/>
              <w:jc w:val="left"/>
            </w:pPr>
            <w:r>
              <w:rPr>
                <w:rFonts w:ascii="Arial" w:cs="Arial" w:eastAsia="Arial" w:hAnsi="Arial"/>
                <w:color w:val="1A2B26"/>
                <w:sz w:val="21"/>
                <w:szCs w:val="21"/>
              </w:rPr>
              <w:t xml:space="preserve">Le patient est informé en temps réel via la timeline de l'app patient.</w:t>
            </w:r>
          </w:p>
        </w:tc>
      </w:tr>
    </w:tbl>
    <w:p>
      <w:pPr>
        <w:spacing w:before="50" w:after="50"/>
      </w:pPr>
    </w:p>
    <w:tbl>
      <w:tblPr>
        <w:tblW w:type="dxa" w:w="9360"/>
        <w:tblBorders>
          <w:top w:val="single" w:color="F4A726" w:sz="4"/>
          <w:left w:val="single" w:color="F4A726" w:sz="4"/>
          <w:bottom w:val="single" w:color="F4A726" w:sz="4"/>
          <w:right w:val="single" w:color="F4A726" w:sz="4"/>
          <w:insideH w:val="single" w:color="auto" w:sz="4"/>
          <w:insideV w:val="single" w:color="auto" w:sz="4"/>
        </w:tblBorders>
      </w:tblPr>
      <w:tblGrid>
        <w:gridCol w:w="700"/>
        <w:gridCol w:w="8660"/>
      </w:tblGrid>
      <w:tr>
        <w:tc>
          <w:tcPr>
            <w:tcW w:type="dxa" w:w="700"/>
            <w:tcBorders>
              <w:top w:val="single" w:color="F4A726" w:sz="4"/>
              <w:left w:val="single" w:color="F4A726" w:sz="4"/>
              <w:bottom w:val="single" w:color="F4A726" w:sz="4"/>
              <w:right w:val="single" w:color="F4A726" w:sz="4"/>
            </w:tcBorders>
            <w:shd w:fill="F4A726"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07</w:t>
            </w:r>
          </w:p>
        </w:tc>
        <w:tc>
          <w:tcPr>
            <w:tcW w:type="dxa" w:w="8660"/>
            <w:tcBorders>
              <w:top w:val="single" w:color="F4A726" w:sz="4"/>
              <w:left w:val="single" w:color="F4A726" w:sz="4"/>
              <w:bottom w:val="single" w:color="F4A726" w:sz="4"/>
              <w:right w:val="single" w:color="F4A726"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F4A726"/>
                <w:sz w:val="23"/>
                <w:szCs w:val="23"/>
              </w:rPr>
              <w:t xml:space="preserve">Paiement immédiat sur place</w:t>
            </w:r>
          </w:p>
          <w:p>
            <w:pPr>
              <w:spacing w:before="20" w:after="20"/>
              <w:jc w:val="left"/>
            </w:pPr>
            <w:r>
              <w:rPr>
                <w:rFonts w:ascii="Arial" w:cs="Arial" w:eastAsia="Arial" w:hAnsi="Arial"/>
                <w:color w:val="1A2B26"/>
                <w:sz w:val="21"/>
                <w:szCs w:val="21"/>
              </w:rPr>
              <w:t xml:space="preserve">Juste après le prélèvement, l'agent encaisse le montant dû : cash ou mobile money.</w:t>
            </w:r>
          </w:p>
          <w:p>
            <w:pPr>
              <w:spacing w:before="20" w:after="20"/>
              <w:jc w:val="left"/>
            </w:pPr>
            <w:r>
              <w:rPr>
                <w:rFonts w:ascii="Arial" w:cs="Arial" w:eastAsia="Arial" w:hAnsi="Arial"/>
                <w:color w:val="1A2B26"/>
                <w:sz w:val="21"/>
                <w:szCs w:val="21"/>
              </w:rPr>
              <w:t xml:space="preserve">Si l'assurance est déjà validée : le patient paie uniquement sa part (quote-part + examens non couverts).</w:t>
            </w:r>
          </w:p>
          <w:p>
            <w:pPr>
              <w:spacing w:before="20" w:after="20"/>
              <w:jc w:val="left"/>
            </w:pPr>
            <w:r>
              <w:rPr>
                <w:rFonts w:ascii="Arial" w:cs="Arial" w:eastAsia="Arial" w:hAnsi="Arial"/>
                <w:color w:val="1A2B26"/>
                <w:sz w:val="21"/>
                <w:szCs w:val="21"/>
              </w:rPr>
              <w:t xml:space="preserve">Si validation en attente : le patient paie le montant confirmé dès réception de la décision.</w:t>
            </w:r>
          </w:p>
        </w:tc>
      </w:tr>
    </w:tbl>
    <w:p>
      <w:pPr>
        <w:spacing w:before="50" w:after="5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700"/>
        <w:gridCol w:w="8660"/>
      </w:tblGrid>
      <w:tr>
        <w:tc>
          <w:tcPr>
            <w:tcW w:type="dxa" w:w="700"/>
            <w:tcBorders>
              <w:top w:val="single" w:color="0A6E5C" w:sz="4"/>
              <w:left w:val="single" w:color="0A6E5C" w:sz="4"/>
              <w:bottom w:val="single" w:color="0A6E5C" w:sz="4"/>
              <w:right w:val="single" w:color="0A6E5C" w:sz="4"/>
            </w:tcBorders>
            <w:shd w:fill="0A6E5C"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08</w:t>
            </w:r>
          </w:p>
        </w:tc>
        <w:tc>
          <w:tcPr>
            <w:tcW w:type="dxa" w:w="866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30"/>
              <w:jc w:val="left"/>
            </w:pPr>
            <w:r>
              <w:rPr>
                <w:rFonts w:ascii="Arial" w:cs="Arial" w:eastAsia="Arial" w:hAnsi="Arial"/>
                <w:b/>
                <w:bCs/>
                <w:color w:val="0A6E5C"/>
                <w:sz w:val="23"/>
                <w:szCs w:val="23"/>
              </w:rPr>
              <w:t xml:space="preserve">Résultats disponibles + clôture</w:t>
            </w:r>
          </w:p>
          <w:p>
            <w:pPr>
              <w:spacing w:before="20" w:after="20"/>
              <w:jc w:val="left"/>
            </w:pPr>
            <w:r>
              <w:rPr>
                <w:rFonts w:ascii="Arial" w:cs="Arial" w:eastAsia="Arial" w:hAnsi="Arial"/>
                <w:color w:val="1A2B26"/>
                <w:sz w:val="21"/>
                <w:szCs w:val="21"/>
              </w:rPr>
              <w:t xml:space="preserve">Les prélèvements sont déposés au Labo Maison Blanche. Analyses lancées.</w:t>
            </w:r>
          </w:p>
          <w:p>
            <w:pPr>
              <w:spacing w:before="20" w:after="20"/>
              <w:jc w:val="left"/>
            </w:pPr>
            <w:r>
              <w:rPr>
                <w:rFonts w:ascii="Arial" w:cs="Arial" w:eastAsia="Arial" w:hAnsi="Arial"/>
                <w:color w:val="1A2B26"/>
                <w:sz w:val="21"/>
                <w:szCs w:val="21"/>
              </w:rPr>
              <w:t xml:space="preserve">Résultats disponibles dans l'app patient avec notification SMS.</w:t>
            </w:r>
          </w:p>
          <w:p>
            <w:pPr>
              <w:spacing w:before="20" w:after="20"/>
              <w:jc w:val="left"/>
            </w:pPr>
            <w:r>
              <w:rPr>
                <w:rFonts w:ascii="Arial" w:cs="Arial" w:eastAsia="Arial" w:hAnsi="Arial"/>
                <w:color w:val="1A2B26"/>
                <w:sz w:val="21"/>
                <w:szCs w:val="21"/>
              </w:rPr>
              <w:t xml:space="preserve">Dossier clôturé dans le système back-office.</w:t>
            </w:r>
          </w:p>
        </w:tc>
      </w:tr>
    </w:tbl>
    <w:p>
      <w:pPr>
        <w:spacing w:before="0" w:after="160"/>
      </w:pPr>
    </w:p>
    <w:p>
      <w:pPr>
        <w:spacing w:before="0" w:after="0"/>
      </w:pPr>
      <w:r>
        <w:br w:type="page"/>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4.2 Gestion des tournées quotidiennes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Horaire</w:t>
            </w:r>
          </w:p>
        </w:tc>
        <w:tc>
          <w:tcPr>
            <w:tcW w:type="dxa" w:w="75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Action</w:t>
            </w:r>
          </w:p>
        </w:tc>
      </w:tr>
      <w:tr>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07:00 – 07:30</w:t>
            </w:r>
          </w:p>
        </w:tc>
        <w:tc>
          <w:tcPr>
            <w:tcW w:type="dxa" w:w="7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Réception de la tournée sur l'app. Vérification stock matériel. Consultation des dossiers patients (examens OCR déjà disponibles).</w:t>
            </w:r>
          </w:p>
        </w:tc>
      </w:tr>
      <w:tr>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07:30 – 08:00</w:t>
            </w:r>
          </w:p>
        </w:tc>
        <w:tc>
          <w:tcPr>
            <w:tcW w:type="dxa" w:w="7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Trajet vers le premier domicile. Préparation des tubes en fonction des examens connus à l'avance.</w:t>
            </w:r>
          </w:p>
        </w:tc>
      </w:tr>
      <w:tr>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08:00 – 12:30</w:t>
            </w:r>
          </w:p>
        </w:tc>
        <w:tc>
          <w:tcPr>
            <w:tcW w:type="dxa" w:w="7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Prélèvements à domicile (4 à 8 missions). Encaissement immédiat après chaque prélèvement.</w:t>
            </w:r>
          </w:p>
        </w:tc>
      </w:tr>
      <w:tr>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12:30 – 13:00</w:t>
            </w:r>
          </w:p>
        </w:tc>
        <w:tc>
          <w:tcPr>
            <w:tcW w:type="dxa" w:w="7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Dépôt des prélèvements au Laboratoire Maison Blanche.</w:t>
            </w:r>
          </w:p>
        </w:tc>
      </w:tr>
      <w:tr>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13:30 – 17:30</w:t>
            </w:r>
          </w:p>
        </w:tc>
        <w:tc>
          <w:tcPr>
            <w:tcW w:type="dxa" w:w="7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Missions après-midi si planifiées. Deuxième dépôt si nécessaire.</w:t>
            </w:r>
          </w:p>
        </w:tc>
      </w:tr>
      <w:tr>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17:30 – 18:00</w:t>
            </w:r>
          </w:p>
        </w:tc>
        <w:tc>
          <w:tcPr>
            <w:tcW w:type="dxa" w:w="7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Clôture : validation des missions, rapport de stock, revenus du jour.</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4.3 Protocoles qualité des prélèvements</w:t>
      </w:r>
    </w:p>
    <w:tbl>
      <w:tblPr>
        <w:tblW w:type="dxa" w:w="9360"/>
        <w:tblBorders>
          <w:top w:val="single" w:color="991B1B" w:sz="6"/>
          <w:left w:val="single" w:color="991B1B" w:sz="6"/>
          <w:bottom w:val="single" w:color="991B1B" w:sz="6"/>
          <w:right w:val="single" w:color="991B1B" w:sz="6"/>
          <w:insideH w:val="single" w:color="auto" w:sz="4"/>
          <w:insideV w:val="single" w:color="auto" w:sz="4"/>
        </w:tblBorders>
      </w:tblPr>
      <w:tblGrid>
        <w:gridCol w:w="9360"/>
      </w:tblGrid>
      <w:tr>
        <w:tc>
          <w:tcPr>
            <w:tcBorders>
              <w:top w:val="single" w:color="991B1B" w:sz="4"/>
              <w:left w:val="single" w:color="991B1B" w:sz="4"/>
              <w:bottom w:val="single" w:color="991B1B" w:sz="4"/>
              <w:right w:val="single" w:color="991B1B" w:sz="4"/>
            </w:tcBorders>
            <w:shd w:fill="991B1B"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Règle d'or</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Aucun prélèvement ne doit être réalisé sans vérification préalable de l'identité du patient</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et de la concordance avec la liste des examens (OCR ou saisie agent). Tout doute = report.</w:t>
            </w:r>
          </w:p>
        </w:tc>
      </w:tr>
    </w:tbl>
    <w:p>
      <w:pPr>
        <w:spacing w:before="80" w:after="80"/>
      </w:pPr>
    </w:p>
    <w:p>
      <w:pPr>
        <w:pStyle w:val="Heading3"/>
        <w:spacing w:before="220" w:after="70"/>
      </w:pPr>
      <w:r>
        <w:rPr>
          <w:rFonts w:ascii="Arial" w:cs="Arial" w:eastAsia="Arial" w:hAnsi="Arial"/>
          <w:b/>
          <w:bCs/>
          <w:color w:val="0A6E5C"/>
          <w:sz w:val="26"/>
          <w:szCs w:val="26"/>
        </w:rPr>
        <w:t xml:space="preserve">Protocole standard — Prélèvement veineux</w:t>
      </w:r>
    </w:p>
    <w:p>
      <w:pPr>
        <w:pStyle w:val="ListParagraph"/>
        <w:numPr>
          <w:ilvl w:val="0"/>
          <w:numId w:val="4"/>
        </w:numPr>
        <w:spacing w:before="50" w:after="50"/>
      </w:pPr>
      <w:r>
        <w:rPr>
          <w:rFonts w:ascii="Arial" w:cs="Arial" w:eastAsia="Arial" w:hAnsi="Arial"/>
          <w:color w:val="1A2B26"/>
          <w:sz w:val="22"/>
          <w:szCs w:val="22"/>
        </w:rPr>
        <w:t xml:space="preserve">Lavage des mains + port des gants stériles</w:t>
      </w:r>
    </w:p>
    <w:p>
      <w:pPr>
        <w:pStyle w:val="ListParagraph"/>
        <w:numPr>
          <w:ilvl w:val="0"/>
          <w:numId w:val="4"/>
        </w:numPr>
        <w:spacing w:before="50" w:after="50"/>
      </w:pPr>
      <w:r>
        <w:rPr>
          <w:rFonts w:ascii="Arial" w:cs="Arial" w:eastAsia="Arial" w:hAnsi="Arial"/>
          <w:color w:val="1A2B26"/>
          <w:sz w:val="22"/>
          <w:szCs w:val="22"/>
        </w:rPr>
        <w:t xml:space="preserve">Vérification identité patient : nom, date de naissance, liste des examens (app agent)</w:t>
      </w:r>
    </w:p>
    <w:p>
      <w:pPr>
        <w:pStyle w:val="ListParagraph"/>
        <w:numPr>
          <w:ilvl w:val="0"/>
          <w:numId w:val="4"/>
        </w:numPr>
        <w:spacing w:before="50" w:after="50"/>
      </w:pPr>
      <w:r>
        <w:rPr>
          <w:rFonts w:ascii="Arial" w:cs="Arial" w:eastAsia="Arial" w:hAnsi="Arial"/>
          <w:color w:val="1A2B26"/>
          <w:sz w:val="22"/>
          <w:szCs w:val="22"/>
        </w:rPr>
        <w:t xml:space="preserve">Installation du patient (assis ou allongé selon état)</w:t>
      </w:r>
    </w:p>
    <w:p>
      <w:pPr>
        <w:pStyle w:val="ListParagraph"/>
        <w:numPr>
          <w:ilvl w:val="0"/>
          <w:numId w:val="4"/>
        </w:numPr>
        <w:spacing w:before="50" w:after="50"/>
      </w:pPr>
      <w:r>
        <w:rPr>
          <w:rFonts w:ascii="Arial" w:cs="Arial" w:eastAsia="Arial" w:hAnsi="Arial"/>
          <w:color w:val="1A2B26"/>
          <w:sz w:val="22"/>
          <w:szCs w:val="22"/>
        </w:rPr>
        <w:t xml:space="preserve">Pose du garrot, désinfection du site de ponction à l'alcool 70°</w:t>
      </w:r>
    </w:p>
    <w:p>
      <w:pPr>
        <w:pStyle w:val="ListParagraph"/>
        <w:numPr>
          <w:ilvl w:val="0"/>
          <w:numId w:val="4"/>
        </w:numPr>
        <w:spacing w:before="50" w:after="50"/>
      </w:pPr>
      <w:r>
        <w:rPr>
          <w:rFonts w:ascii="Arial" w:cs="Arial" w:eastAsia="Arial" w:hAnsi="Arial"/>
          <w:color w:val="1A2B26"/>
          <w:sz w:val="22"/>
          <w:szCs w:val="22"/>
        </w:rPr>
        <w:t xml:space="preserve">Prélèvement dans l'ordre des tubes (SST, EDTA, citrate...)</w:t>
      </w:r>
    </w:p>
    <w:p>
      <w:pPr>
        <w:pStyle w:val="ListParagraph"/>
        <w:numPr>
          <w:ilvl w:val="0"/>
          <w:numId w:val="4"/>
        </w:numPr>
        <w:spacing w:before="50" w:after="50"/>
      </w:pPr>
      <w:r>
        <w:rPr>
          <w:rFonts w:ascii="Arial" w:cs="Arial" w:eastAsia="Arial" w:hAnsi="Arial"/>
          <w:color w:val="1A2B26"/>
          <w:sz w:val="22"/>
          <w:szCs w:val="22"/>
        </w:rPr>
        <w:t xml:space="preserve">Retrait aiguille, compression immédiate, pansement adhésif</w:t>
      </w:r>
    </w:p>
    <w:p>
      <w:pPr>
        <w:pStyle w:val="ListParagraph"/>
        <w:numPr>
          <w:ilvl w:val="0"/>
          <w:numId w:val="4"/>
        </w:numPr>
        <w:spacing w:before="50" w:after="50"/>
      </w:pPr>
      <w:r>
        <w:rPr>
          <w:rFonts w:ascii="Arial" w:cs="Arial" w:eastAsia="Arial" w:hAnsi="Arial"/>
          <w:color w:val="1A2B26"/>
          <w:sz w:val="22"/>
          <w:szCs w:val="22"/>
        </w:rPr>
        <w:t xml:space="preserve">Étiquetage immédiat des tubes avec code-barres patient</w:t>
      </w:r>
    </w:p>
    <w:p>
      <w:pPr>
        <w:pStyle w:val="ListParagraph"/>
        <w:numPr>
          <w:ilvl w:val="0"/>
          <w:numId w:val="4"/>
        </w:numPr>
        <w:spacing w:before="50" w:after="50"/>
      </w:pPr>
      <w:r>
        <w:rPr>
          <w:rFonts w:ascii="Arial" w:cs="Arial" w:eastAsia="Arial" w:hAnsi="Arial"/>
          <w:color w:val="1A2B26"/>
          <w:sz w:val="22"/>
          <w:szCs w:val="22"/>
        </w:rPr>
        <w:t xml:space="preserve">Conditionnement en glacière isotherme maintenue à 4°C</w:t>
      </w:r>
    </w:p>
    <w:p>
      <w:pPr>
        <w:pStyle w:val="ListParagraph"/>
        <w:numPr>
          <w:ilvl w:val="0"/>
          <w:numId w:val="4"/>
        </w:numPr>
        <w:spacing w:before="50" w:after="50"/>
      </w:pPr>
      <w:r>
        <w:rPr>
          <w:rFonts w:ascii="Arial" w:cs="Arial" w:eastAsia="Arial" w:hAnsi="Arial"/>
          <w:color w:val="1A2B26"/>
          <w:sz w:val="22"/>
          <w:szCs w:val="22"/>
        </w:rPr>
        <w:t xml:space="preserve">Encaissement immédiat — cash ou mobile money — reçu généré</w:t>
      </w:r>
    </w:p>
    <w:p>
      <w:pPr>
        <w:pStyle w:val="ListParagraph"/>
        <w:numPr>
          <w:ilvl w:val="0"/>
          <w:numId w:val="4"/>
        </w:numPr>
        <w:spacing w:before="50" w:after="50"/>
      </w:pPr>
      <w:r>
        <w:rPr>
          <w:rFonts w:ascii="Arial" w:cs="Arial" w:eastAsia="Arial" w:hAnsi="Arial"/>
          <w:color w:val="1A2B26"/>
          <w:sz w:val="22"/>
          <w:szCs w:val="22"/>
        </w:rPr>
        <w:t xml:space="preserve">Mise à jour du statut dans l'application agent : 'Mission terminée et payée'</w:t>
      </w:r>
    </w:p>
    <w:p>
      <w:pPr>
        <w:pStyle w:val="ListParagraph"/>
        <w:numPr>
          <w:ilvl w:val="0"/>
          <w:numId w:val="4"/>
        </w:numPr>
        <w:spacing w:before="50" w:after="50"/>
      </w:pPr>
      <w:r>
        <w:rPr>
          <w:rFonts w:ascii="Arial" w:cs="Arial" w:eastAsia="Arial" w:hAnsi="Arial"/>
          <w:color w:val="1A2B26"/>
          <w:sz w:val="22"/>
          <w:szCs w:val="22"/>
        </w:rPr>
        <w:t xml:space="preserve">Élimination des déchets dans conteneur DASRI agréé</w:t>
      </w:r>
    </w:p>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5 — OCR BULLETIN ET GESTION DES EXAMENS</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5.1 Concept et objectif</w:t>
      </w:r>
    </w:p>
    <w:p>
      <w:pPr>
        <w:spacing w:before="60" w:after="80"/>
        <w:jc w:val="both"/>
      </w:pPr>
      <w:r>
        <w:rPr>
          <w:rFonts w:ascii="Arial" w:cs="Arial" w:eastAsia="Arial" w:hAnsi="Arial"/>
          <w:color w:val="1A2B26"/>
          <w:sz w:val="22"/>
          <w:szCs w:val="22"/>
        </w:rPr>
        <w:t xml:space="preserve">L'OCR (Optical Character Recognition — Reconnaissance Optique de Caractères) est une technologie qui analyse une image ou un document scanné pour en extraire le texte. Appliqué au bulletin d'analyses médicales, il permet d'identifier automatiquement les examens prescrits par le médecin sans saisie manuelle.</w:t>
      </w:r>
    </w:p>
    <w:p>
      <w:pPr>
        <w:spacing w:before="80" w:after="80"/>
      </w:pP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Bénéfice clé</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L'agent connaît la liste complète des examens AVANT d'arriver au domicile du patient.</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Il prépare ses tubes à l'avance, optimise son temps sur place et réduit le risque d'erreur.</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Le patient n'a pas besoin d'expliquer ses examens à l'agent — tout est déjà dans le système.</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5.2 Flux OCR — 6 étapes</w:t>
      </w:r>
    </w:p>
    <w:p>
      <w:pPr>
        <w:spacing w:before="60" w:after="6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580"/>
        <w:gridCol w:w="8780"/>
      </w:tblGrid>
      <w:tr>
        <w:tc>
          <w:tcPr>
            <w:tcW w:type="dxa" w:w="580"/>
            <w:tcBorders>
              <w:top w:val="single" w:color="0A6E5C" w:sz="4"/>
              <w:left w:val="single" w:color="0A6E5C" w:sz="4"/>
              <w:bottom w:val="single" w:color="0A6E5C" w:sz="4"/>
              <w:right w:val="single" w:color="0A6E5C" w:sz="4"/>
            </w:tcBorders>
            <w:shd w:fill="0A6E5C"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1</w:t>
            </w:r>
          </w:p>
        </w:tc>
        <w:tc>
          <w:tcPr>
            <w:tcW w:type="dxa" w:w="878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0A6E5C"/>
                <w:sz w:val="23"/>
                <w:szCs w:val="23"/>
              </w:rPr>
              <w:t xml:space="preserve">Patient prend RDV</w:t>
            </w:r>
          </w:p>
          <w:p>
            <w:pPr>
              <w:spacing w:before="0" w:after="0"/>
              <w:jc w:val="left"/>
            </w:pPr>
            <w:r>
              <w:rPr>
                <w:rFonts w:ascii="Arial" w:cs="Arial" w:eastAsia="Arial" w:hAnsi="Arial"/>
                <w:color w:val="1A2B26"/>
                <w:sz w:val="21"/>
                <w:szCs w:val="21"/>
              </w:rPr>
              <w:t xml:space="preserve">Via app, WhatsApp ou téléphone. Déclare s'il a une assurance.</w:t>
            </w:r>
          </w:p>
        </w:tc>
      </w:tr>
    </w:tbl>
    <w:p>
      <w:pPr>
        <w:spacing w:before="50" w:after="50"/>
      </w:pPr>
    </w:p>
    <w:tbl>
      <w:tblPr>
        <w:tblW w:type="dxa" w:w="9360"/>
        <w:tblBorders>
          <w:top w:val="single" w:color="1E40AF" w:sz="4"/>
          <w:left w:val="single" w:color="1E40AF" w:sz="4"/>
          <w:bottom w:val="single" w:color="1E40AF" w:sz="4"/>
          <w:right w:val="single" w:color="1E40AF" w:sz="4"/>
          <w:insideH w:val="single" w:color="auto" w:sz="4"/>
          <w:insideV w:val="single" w:color="auto" w:sz="4"/>
        </w:tblBorders>
      </w:tblPr>
      <w:tblGrid>
        <w:gridCol w:w="580"/>
        <w:gridCol w:w="8780"/>
      </w:tblGrid>
      <w:tr>
        <w:tc>
          <w:tcPr>
            <w:tcW w:type="dxa" w:w="580"/>
            <w:tcBorders>
              <w:top w:val="single" w:color="1E40AF" w:sz="4"/>
              <w:left w:val="single" w:color="1E40AF" w:sz="4"/>
              <w:bottom w:val="single" w:color="1E40AF" w:sz="4"/>
              <w:right w:val="single" w:color="1E40AF" w:sz="4"/>
            </w:tcBorders>
            <w:shd w:fill="1E40AF"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2</w:t>
            </w:r>
          </w:p>
        </w:tc>
        <w:tc>
          <w:tcPr>
            <w:tcW w:type="dxa" w:w="8780"/>
            <w:tcBorders>
              <w:top w:val="single" w:color="1E40AF" w:sz="4"/>
              <w:left w:val="single" w:color="1E40AF" w:sz="4"/>
              <w:bottom w:val="single" w:color="1E40AF" w:sz="4"/>
              <w:right w:val="single" w:color="1E40AF"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1E40AF"/>
                <w:sz w:val="23"/>
                <w:szCs w:val="23"/>
              </w:rPr>
              <w:t xml:space="preserve">Upload bulletin + docs</w:t>
            </w:r>
          </w:p>
          <w:p>
            <w:pPr>
              <w:spacing w:before="0" w:after="0"/>
              <w:jc w:val="left"/>
            </w:pPr>
            <w:r>
              <w:rPr>
                <w:rFonts w:ascii="Arial" w:cs="Arial" w:eastAsia="Arial" w:hAnsi="Arial"/>
                <w:color w:val="1A2B26"/>
                <w:sz w:val="21"/>
                <w:szCs w:val="21"/>
              </w:rPr>
              <w:t xml:space="preserve">Le patient photo/scanne son bulletin d'analyses, carte assurance et CNI directement depuis l'app.</w:t>
            </w:r>
          </w:p>
        </w:tc>
      </w:tr>
    </w:tbl>
    <w:p>
      <w:pPr>
        <w:spacing w:before="50" w:after="50"/>
      </w:pPr>
    </w:p>
    <w:tbl>
      <w:tblPr>
        <w:tblW w:type="dxa" w:w="9360"/>
        <w:tblBorders>
          <w:top w:val="single" w:color="F4A726" w:sz="4"/>
          <w:left w:val="single" w:color="F4A726" w:sz="4"/>
          <w:bottom w:val="single" w:color="F4A726" w:sz="4"/>
          <w:right w:val="single" w:color="F4A726" w:sz="4"/>
          <w:insideH w:val="single" w:color="auto" w:sz="4"/>
          <w:insideV w:val="single" w:color="auto" w:sz="4"/>
        </w:tblBorders>
      </w:tblPr>
      <w:tblGrid>
        <w:gridCol w:w="580"/>
        <w:gridCol w:w="8780"/>
      </w:tblGrid>
      <w:tr>
        <w:tc>
          <w:tcPr>
            <w:tcW w:type="dxa" w:w="580"/>
            <w:tcBorders>
              <w:top w:val="single" w:color="F4A726" w:sz="4"/>
              <w:left w:val="single" w:color="F4A726" w:sz="4"/>
              <w:bottom w:val="single" w:color="F4A726" w:sz="4"/>
              <w:right w:val="single" w:color="F4A726" w:sz="4"/>
            </w:tcBorders>
            <w:shd w:fill="F4A726"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3</w:t>
            </w:r>
          </w:p>
        </w:tc>
        <w:tc>
          <w:tcPr>
            <w:tcW w:type="dxa" w:w="8780"/>
            <w:tcBorders>
              <w:top w:val="single" w:color="F4A726" w:sz="4"/>
              <w:left w:val="single" w:color="F4A726" w:sz="4"/>
              <w:bottom w:val="single" w:color="F4A726" w:sz="4"/>
              <w:right w:val="single" w:color="F4A726"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F4A726"/>
                <w:sz w:val="23"/>
                <w:szCs w:val="23"/>
              </w:rPr>
              <w:t xml:space="preserve">OCR automatique</w:t>
            </w:r>
          </w:p>
          <w:p>
            <w:pPr>
              <w:spacing w:before="0" w:after="0"/>
              <w:jc w:val="left"/>
            </w:pPr>
            <w:r>
              <w:rPr>
                <w:rFonts w:ascii="Arial" w:cs="Arial" w:eastAsia="Arial" w:hAnsi="Arial"/>
                <w:color w:val="1A2B26"/>
                <w:sz w:val="21"/>
                <w:szCs w:val="21"/>
              </w:rPr>
              <w:t xml:space="preserve">Le système Prelevia analyse le bulletin. Les examens sont extraits automatiquement et ajoutés au dossier.</w:t>
            </w:r>
          </w:p>
        </w:tc>
      </w:tr>
    </w:tbl>
    <w:p>
      <w:pPr>
        <w:spacing w:before="50" w:after="50"/>
      </w:pPr>
    </w:p>
    <w:tbl>
      <w:tblPr>
        <w:tblW w:type="dxa" w:w="9360"/>
        <w:tblBorders>
          <w:top w:val="single" w:color="0A6E5C" w:sz="4"/>
          <w:left w:val="single" w:color="0A6E5C" w:sz="4"/>
          <w:bottom w:val="single" w:color="0A6E5C" w:sz="4"/>
          <w:right w:val="single" w:color="0A6E5C" w:sz="4"/>
          <w:insideH w:val="single" w:color="auto" w:sz="4"/>
          <w:insideV w:val="single" w:color="auto" w:sz="4"/>
        </w:tblBorders>
      </w:tblPr>
      <w:tblGrid>
        <w:gridCol w:w="580"/>
        <w:gridCol w:w="8780"/>
      </w:tblGrid>
      <w:tr>
        <w:tc>
          <w:tcPr>
            <w:tcW w:type="dxa" w:w="580"/>
            <w:tcBorders>
              <w:top w:val="single" w:color="0A6E5C" w:sz="4"/>
              <w:left w:val="single" w:color="0A6E5C" w:sz="4"/>
              <w:bottom w:val="single" w:color="0A6E5C" w:sz="4"/>
              <w:right w:val="single" w:color="0A6E5C" w:sz="4"/>
            </w:tcBorders>
            <w:shd w:fill="0A6E5C"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4</w:t>
            </w:r>
          </w:p>
        </w:tc>
        <w:tc>
          <w:tcPr>
            <w:tcW w:type="dxa" w:w="8780"/>
            <w:tcBorders>
              <w:top w:val="single" w:color="0A6E5C" w:sz="4"/>
              <w:left w:val="single" w:color="0A6E5C" w:sz="4"/>
              <w:bottom w:val="single" w:color="0A6E5C" w:sz="4"/>
              <w:right w:val="single" w:color="0A6E5C"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0A6E5C"/>
                <w:sz w:val="23"/>
                <w:szCs w:val="23"/>
              </w:rPr>
              <w:t xml:space="preserve">Confirmation / correction</w:t>
            </w:r>
          </w:p>
          <w:p>
            <w:pPr>
              <w:spacing w:before="0" w:after="0"/>
              <w:jc w:val="left"/>
            </w:pPr>
            <w:r>
              <w:rPr>
                <w:rFonts w:ascii="Arial" w:cs="Arial" w:eastAsia="Arial" w:hAnsi="Arial"/>
                <w:color w:val="1A2B26"/>
                <w:sz w:val="21"/>
                <w:szCs w:val="21"/>
              </w:rPr>
              <w:t xml:space="preserve">Le patient confirme la liste, désélectionne les erreurs, ou ajoute manuellement des examens manquants.</w:t>
            </w:r>
          </w:p>
        </w:tc>
      </w:tr>
    </w:tbl>
    <w:p>
      <w:pPr>
        <w:spacing w:before="50" w:after="50"/>
      </w:pPr>
    </w:p>
    <w:tbl>
      <w:tblPr>
        <w:tblW w:type="dxa" w:w="9360"/>
        <w:tblBorders>
          <w:top w:val="single" w:color="C2410C" w:sz="4"/>
          <w:left w:val="single" w:color="C2410C" w:sz="4"/>
          <w:bottom w:val="single" w:color="C2410C" w:sz="4"/>
          <w:right w:val="single" w:color="C2410C" w:sz="4"/>
          <w:insideH w:val="single" w:color="auto" w:sz="4"/>
          <w:insideV w:val="single" w:color="auto" w:sz="4"/>
        </w:tblBorders>
      </w:tblPr>
      <w:tblGrid>
        <w:gridCol w:w="580"/>
        <w:gridCol w:w="8780"/>
      </w:tblGrid>
      <w:tr>
        <w:tc>
          <w:tcPr>
            <w:tcW w:type="dxa" w:w="580"/>
            <w:tcBorders>
              <w:top w:val="single" w:color="C2410C" w:sz="4"/>
              <w:left w:val="single" w:color="C2410C" w:sz="4"/>
              <w:bottom w:val="single" w:color="C2410C" w:sz="4"/>
              <w:right w:val="single" w:color="C2410C" w:sz="4"/>
            </w:tcBorders>
            <w:shd w:fill="C2410C"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5</w:t>
            </w:r>
          </w:p>
        </w:tc>
        <w:tc>
          <w:tcPr>
            <w:tcW w:type="dxa" w:w="8780"/>
            <w:tcBorders>
              <w:top w:val="single" w:color="C2410C" w:sz="4"/>
              <w:left w:val="single" w:color="C2410C" w:sz="4"/>
              <w:bottom w:val="single" w:color="C2410C" w:sz="4"/>
              <w:right w:val="single" w:color="C2410C"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C2410C"/>
                <w:sz w:val="23"/>
                <w:szCs w:val="23"/>
              </w:rPr>
              <w:t xml:space="preserve">Agent informé avant visite</w:t>
            </w:r>
          </w:p>
          <w:p>
            <w:pPr>
              <w:spacing w:before="0" w:after="0"/>
              <w:jc w:val="left"/>
            </w:pPr>
            <w:r>
              <w:rPr>
                <w:rFonts w:ascii="Arial" w:cs="Arial" w:eastAsia="Arial" w:hAnsi="Arial"/>
                <w:color w:val="1A2B26"/>
                <w:sz w:val="21"/>
                <w:szCs w:val="21"/>
              </w:rPr>
              <w:t xml:space="preserve">L'agent reçoit la liste complète des examens sur son app AVANT d'arriver au domicile. Plus d'incertitude terrain.</w:t>
            </w:r>
          </w:p>
        </w:tc>
      </w:tr>
    </w:tbl>
    <w:p>
      <w:pPr>
        <w:spacing w:before="50" w:after="50"/>
      </w:pPr>
    </w:p>
    <w:tbl>
      <w:tblPr>
        <w:tblW w:type="dxa" w:w="9360"/>
        <w:tblBorders>
          <w:top w:val="single" w:color="991B1B" w:sz="4"/>
          <w:left w:val="single" w:color="991B1B" w:sz="4"/>
          <w:bottom w:val="single" w:color="991B1B" w:sz="4"/>
          <w:right w:val="single" w:color="991B1B" w:sz="4"/>
          <w:insideH w:val="single" w:color="auto" w:sz="4"/>
          <w:insideV w:val="single" w:color="auto" w:sz="4"/>
        </w:tblBorders>
      </w:tblPr>
      <w:tblGrid>
        <w:gridCol w:w="580"/>
        <w:gridCol w:w="8780"/>
      </w:tblGrid>
      <w:tr>
        <w:tc>
          <w:tcPr>
            <w:tcW w:type="dxa" w:w="580"/>
            <w:tcBorders>
              <w:top w:val="single" w:color="991B1B" w:sz="4"/>
              <w:left w:val="single" w:color="991B1B" w:sz="4"/>
              <w:bottom w:val="single" w:color="991B1B" w:sz="4"/>
              <w:right w:val="single" w:color="991B1B" w:sz="4"/>
            </w:tcBorders>
            <w:shd w:fill="991B1B" w:val="clear"/>
            <w:tcMar>
              <w:top w:type="dxa" w:w="110"/>
              <w:left w:type="dxa" w:w="100"/>
              <w:bottom w:type="dxa" w:w="110"/>
              <w:right w:type="dxa" w:w="100"/>
            </w:tcMar>
            <w:vAlign w:val="center"/>
          </w:tcPr>
          <w:p>
            <w:pPr>
              <w:jc w:val="center"/>
            </w:pPr>
            <w:r>
              <w:rPr>
                <w:rFonts w:ascii="Arial" w:cs="Arial" w:eastAsia="Arial" w:hAnsi="Arial"/>
                <w:b/>
                <w:bCs/>
                <w:color w:val="FFFFFF"/>
                <w:sz w:val="32"/>
                <w:szCs w:val="32"/>
              </w:rPr>
              <w:t xml:space="preserve">6</w:t>
            </w:r>
          </w:p>
        </w:tc>
        <w:tc>
          <w:tcPr>
            <w:tcW w:type="dxa" w:w="8780"/>
            <w:tcBorders>
              <w:top w:val="single" w:color="991B1B" w:sz="4"/>
              <w:left w:val="single" w:color="991B1B" w:sz="4"/>
              <w:bottom w:val="single" w:color="991B1B" w:sz="4"/>
              <w:right w:val="single" w:color="991B1B" w:sz="4"/>
            </w:tcBorders>
            <w:shd w:fill="F5F7F6" w:val="clear"/>
            <w:tcMar>
              <w:top w:type="dxa" w:w="100"/>
              <w:left w:type="dxa" w:w="180"/>
              <w:bottom w:type="dxa" w:w="100"/>
              <w:right w:type="dxa" w:w="120"/>
            </w:tcMar>
            <w:vAlign w:val="top"/>
          </w:tcPr>
          <w:p>
            <w:pPr>
              <w:spacing w:before="0" w:after="24"/>
              <w:jc w:val="left"/>
            </w:pPr>
            <w:r>
              <w:rPr>
                <w:rFonts w:ascii="Arial" w:cs="Arial" w:eastAsia="Arial" w:hAnsi="Arial"/>
                <w:b/>
                <w:bCs/>
                <w:color w:val="991B1B"/>
                <w:sz w:val="23"/>
                <w:szCs w:val="23"/>
              </w:rPr>
              <w:t xml:space="preserve">Rattrapages si nécessaire</w:t>
            </w:r>
          </w:p>
          <w:p>
            <w:pPr>
              <w:spacing w:before="0" w:after="0"/>
              <w:jc w:val="left"/>
            </w:pPr>
            <w:r>
              <w:rPr>
                <w:rFonts w:ascii="Arial" w:cs="Arial" w:eastAsia="Arial" w:hAnsi="Arial"/>
                <w:color w:val="1A2B26"/>
                <w:sz w:val="21"/>
                <w:szCs w:val="21"/>
              </w:rPr>
              <w:t xml:space="preserve">Si aucun upload — l'agent saisit lui-même les examens depuis son accès agent, sur place ou en amont.</w:t>
            </w:r>
          </w:p>
        </w:tc>
      </w:tr>
    </w:tbl>
    <w:p>
      <w:pPr>
        <w:spacing w:before="0" w:after="160"/>
      </w:pPr>
    </w:p>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5.3 3 sources possibles pour les examens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6E5C" w:sz="4"/>
              <w:left w:val="single" w:color="0A6E5C" w:sz="4"/>
              <w:bottom w:val="single" w:color="0A6E5C" w:sz="4"/>
              <w:right w:val="single" w:color="0A6E5C" w:sz="4"/>
            </w:tcBorders>
            <w:shd w:fill="0A6E5C" w:val="clear"/>
            <w:tcMar>
              <w:top w:type="dxa" w:w="120"/>
              <w:left w:type="dxa" w:w="120"/>
              <w:bottom w:type="dxa" w:w="120"/>
              <w:right w:type="dxa" w:w="120"/>
            </w:tcMar>
            <w:vAlign w:val="top"/>
          </w:tcPr>
          <w:p>
            <w:pPr>
              <w:spacing w:before="0" w:after="0"/>
              <w:jc w:val="center"/>
            </w:pPr>
            <w:r>
              <w:rPr>
                <w:rFonts w:ascii="Arial" w:cs="Arial" w:eastAsia="Arial" w:hAnsi="Arial"/>
                <w:color w:val="1A2B26"/>
                <w:sz w:val="40"/>
                <w:szCs w:val="40"/>
              </w:rPr>
              <w:t xml:space="preserve">🤖</w:t>
            </w:r>
          </w:p>
          <w:p>
            <w:pPr>
              <w:spacing w:before="0" w:after="0"/>
              <w:jc w:val="center"/>
            </w:pPr>
            <w:r>
              <w:rPr>
                <w:rFonts w:ascii="Arial" w:cs="Arial" w:eastAsia="Arial" w:hAnsi="Arial"/>
                <w:b/>
                <w:bCs/>
                <w:color w:val="FFFFFF"/>
                <w:sz w:val="22"/>
                <w:szCs w:val="22"/>
              </w:rPr>
              <w:t xml:space="preserve">OCR Automatique</w:t>
            </w:r>
          </w:p>
          <w:p>
            <w:pPr>
              <w:spacing w:before="0" w:after="0"/>
              <w:jc w:val="center"/>
            </w:pPr>
            <w:r>
              <w:rPr>
                <w:rFonts w:ascii="Arial" w:cs="Arial" w:eastAsia="Arial" w:hAnsi="Arial"/>
                <w:color w:val="C8E8E0"/>
                <w:sz w:val="18"/>
                <w:szCs w:val="18"/>
              </w:rPr>
              <w:t xml:space="preserve">Le patient uploade son bulletin. L'IA extrait les examens automatiquement. Source la plus fiable et la plus rapide.</w:t>
            </w:r>
          </w:p>
        </w:tc>
        <w:tc>
          <w:tcPr>
            <w:tcW w:type="dxa" w:w="3120"/>
            <w:tcBorders>
              <w:top w:val="single" w:color="1E40AF" w:sz="4"/>
              <w:left w:val="single" w:color="1E40AF" w:sz="4"/>
              <w:bottom w:val="single" w:color="1E40AF" w:sz="4"/>
              <w:right w:val="single" w:color="1E40AF" w:sz="4"/>
            </w:tcBorders>
            <w:shd w:fill="1E40AF" w:val="clear"/>
            <w:tcMar>
              <w:top w:type="dxa" w:w="120"/>
              <w:left w:type="dxa" w:w="120"/>
              <w:bottom w:type="dxa" w:w="120"/>
              <w:right w:type="dxa" w:w="120"/>
            </w:tcMar>
            <w:vAlign w:val="top"/>
          </w:tcPr>
          <w:p>
            <w:pPr>
              <w:spacing w:before="0" w:after="0"/>
              <w:jc w:val="center"/>
            </w:pPr>
            <w:r>
              <w:rPr>
                <w:rFonts w:ascii="Arial" w:cs="Arial" w:eastAsia="Arial" w:hAnsi="Arial"/>
                <w:color w:val="1A2B26"/>
                <w:sz w:val="40"/>
                <w:szCs w:val="40"/>
              </w:rPr>
              <w:t xml:space="preserve">✋</w:t>
            </w:r>
          </w:p>
          <w:p>
            <w:pPr>
              <w:spacing w:before="0" w:after="0"/>
              <w:jc w:val="center"/>
            </w:pPr>
            <w:r>
              <w:rPr>
                <w:rFonts w:ascii="Arial" w:cs="Arial" w:eastAsia="Arial" w:hAnsi="Arial"/>
                <w:b/>
                <w:bCs/>
                <w:color w:val="FFFFFF"/>
                <w:sz w:val="22"/>
                <w:szCs w:val="22"/>
              </w:rPr>
              <w:t xml:space="preserve">Sélection Manuelle</w:t>
            </w:r>
          </w:p>
          <w:p>
            <w:pPr>
              <w:spacing w:before="0" w:after="0"/>
              <w:jc w:val="center"/>
            </w:pPr>
            <w:r>
              <w:rPr>
                <w:rFonts w:ascii="Arial" w:cs="Arial" w:eastAsia="Arial" w:hAnsi="Arial"/>
                <w:color w:val="C8D8F8"/>
                <w:sz w:val="18"/>
                <w:szCs w:val="18"/>
              </w:rPr>
              <w:t xml:space="preserve">Le patient n'a pas son bulletin. Il sélectionne ses examens dans un catalogue depuis l'app. Source tracée 'Sélection patient'.</w:t>
            </w:r>
          </w:p>
        </w:tc>
        <w:tc>
          <w:tcPr>
            <w:tcW w:type="dxa" w:w="3120"/>
            <w:tcBorders>
              <w:top w:val="single" w:color="C2410C" w:sz="4"/>
              <w:left w:val="single" w:color="C2410C" w:sz="4"/>
              <w:bottom w:val="single" w:color="C2410C" w:sz="4"/>
              <w:right w:val="single" w:color="C2410C" w:sz="4"/>
            </w:tcBorders>
            <w:shd w:fill="C2410C" w:val="clear"/>
            <w:tcMar>
              <w:top w:type="dxa" w:w="120"/>
              <w:left w:type="dxa" w:w="120"/>
              <w:bottom w:type="dxa" w:w="120"/>
              <w:right w:type="dxa" w:w="120"/>
            </w:tcMar>
            <w:vAlign w:val="top"/>
          </w:tcPr>
          <w:p>
            <w:pPr>
              <w:spacing w:before="0" w:after="0"/>
              <w:jc w:val="center"/>
            </w:pPr>
            <w:r>
              <w:rPr>
                <w:rFonts w:ascii="Arial" w:cs="Arial" w:eastAsia="Arial" w:hAnsi="Arial"/>
                <w:color w:val="1A2B26"/>
                <w:sz w:val="40"/>
                <w:szCs w:val="40"/>
              </w:rPr>
              <w:t xml:space="preserve">🏍️</w:t>
            </w:r>
          </w:p>
          <w:p>
            <w:pPr>
              <w:spacing w:before="0" w:after="0"/>
              <w:jc w:val="center"/>
            </w:pPr>
            <w:r>
              <w:rPr>
                <w:rFonts w:ascii="Arial" w:cs="Arial" w:eastAsia="Arial" w:hAnsi="Arial"/>
                <w:b/>
                <w:bCs/>
                <w:color w:val="FFFFFF"/>
                <w:sz w:val="22"/>
                <w:szCs w:val="22"/>
              </w:rPr>
              <w:t xml:space="preserve">Saisie Agent</w:t>
            </w:r>
          </w:p>
          <w:p>
            <w:pPr>
              <w:spacing w:before="0" w:after="0"/>
              <w:jc w:val="center"/>
            </w:pPr>
            <w:r>
              <w:rPr>
                <w:rFonts w:ascii="Arial" w:cs="Arial" w:eastAsia="Arial" w:hAnsi="Arial"/>
                <w:color w:val="F8D8C8"/>
                <w:sz w:val="18"/>
                <w:szCs w:val="18"/>
              </w:rPr>
              <w:t xml:space="preserve">Aucun upload effectué. L'agent saisit les examens sur place depuis son accès agent. Source tracée 'Saisi par agent'.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5.4 Documents uploadables par le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400"/>
        <w:gridCol w:w="2360"/>
      </w:tblGrid>
      <w:tr>
        <w:trPr>
          <w:tblHeader/>
        </w:trPr>
        <w:tc>
          <w:tcPr>
            <w:tcW w:type="dxa" w:w="3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Document</w:t>
            </w:r>
          </w:p>
        </w:tc>
        <w:tc>
          <w:tcPr>
            <w:tcW w:type="dxa" w:w="2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Utilité</w:t>
            </w:r>
          </w:p>
        </w:tc>
        <w:tc>
          <w:tcPr>
            <w:tcW w:type="dxa" w:w="14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Obligatoire</w:t>
            </w:r>
          </w:p>
        </w:tc>
        <w:tc>
          <w:tcPr>
            <w:tcW w:type="dxa" w:w="23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Format accepté</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Bulletin d'analyses</w:t>
            </w:r>
          </w:p>
        </w:tc>
        <w:tc>
          <w:tcPr>
            <w:tcW w:type="dxa" w:w="2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OCR des examens prescrits</w:t>
            </w:r>
          </w:p>
        </w:tc>
        <w:tc>
          <w:tcPr>
            <w:tcW w:type="dxa" w:w="1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Recommandé fortement</w:t>
            </w:r>
          </w:p>
        </w:tc>
        <w:tc>
          <w:tcPr>
            <w:tcW w:type="dxa" w:w="2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Photo JPG/PNG ou PDF</w:t>
            </w:r>
          </w:p>
        </w:tc>
      </w:tr>
      <w:tr>
        <w:tc>
          <w:tcPr>
            <w:tcW w:type="dxa" w:w="3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Carte d'assurance (recto/verso)</w:t>
            </w:r>
          </w:p>
        </w:tc>
        <w:tc>
          <w:tcPr>
            <w:tcW w:type="dxa" w:w="2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Identification du contrat assurance + soumission</w:t>
            </w:r>
          </w:p>
        </w:tc>
        <w:tc>
          <w:tcPr>
            <w:tcW w:type="dxa" w:w="1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Si assuré : Oui</w:t>
            </w:r>
          </w:p>
        </w:tc>
        <w:tc>
          <w:tcPr>
            <w:tcW w:type="dxa" w:w="2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Photo JPG/PNG</w:t>
            </w:r>
          </w:p>
        </w:tc>
      </w:tr>
      <w:tr>
        <w:tc>
          <w:tcPr>
            <w:tcW w:type="dxa" w:w="3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Pièce d'identité nationale</w:t>
            </w:r>
          </w:p>
        </w:tc>
        <w:tc>
          <w:tcPr>
            <w:tcW w:type="dxa" w:w="2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Vérification identité pour l'assureur</w:t>
            </w:r>
          </w:p>
        </w:tc>
        <w:tc>
          <w:tcPr>
            <w:tcW w:type="dxa" w:w="1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Si assuré : Oui</w:t>
            </w:r>
          </w:p>
        </w:tc>
        <w:tc>
          <w:tcPr>
            <w:tcW w:type="dxa" w:w="2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Photo JPG/PNG</w:t>
            </w:r>
          </w:p>
        </w:tc>
      </w:tr>
      <w:tr>
        <w:tc>
          <w:tcPr>
            <w:tcW w:type="dxa" w:w="3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Bon de prise en charge</w:t>
            </w:r>
          </w:p>
        </w:tc>
        <w:tc>
          <w:tcPr>
            <w:tcW w:type="dxa" w:w="2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Si déjà obtenu auprès de l'assureur</w:t>
            </w:r>
          </w:p>
        </w:tc>
        <w:tc>
          <w:tcPr>
            <w:tcW w:type="dxa" w:w="1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Non</w:t>
            </w:r>
          </w:p>
        </w:tc>
        <w:tc>
          <w:tcPr>
            <w:tcW w:type="dxa" w:w="2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Photo ou PDF</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5.5 Gestion des erreurs OCR</w:t>
      </w:r>
    </w:p>
    <w:p>
      <w:pPr>
        <w:spacing w:before="60" w:after="80"/>
        <w:jc w:val="both"/>
      </w:pPr>
      <w:r>
        <w:rPr>
          <w:rFonts w:ascii="Arial" w:cs="Arial" w:eastAsia="Arial" w:hAnsi="Arial"/>
          <w:color w:val="1A2B26"/>
          <w:sz w:val="22"/>
          <w:szCs w:val="22"/>
        </w:rPr>
        <w:t xml:space="preserve">Le système OCR peut commettre des erreurs de lecture (écriture manuscrite, mauvaise qualité photo, abréviations non standards). Plusieurs niveaux de correction sont prévus :</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Niveau</w:t>
            </w:r>
          </w:p>
        </w:tc>
        <w:tc>
          <w:tcPr>
            <w:tcW w:type="dxa" w:w="1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Qui corrige</w:t>
            </w:r>
          </w:p>
        </w:tc>
        <w:tc>
          <w:tcPr>
            <w:tcW w:type="dxa" w:w="3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Comment</w:t>
            </w:r>
          </w:p>
        </w:tc>
        <w:tc>
          <w:tcPr>
            <w:tcW w:type="dxa" w:w="25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Moment</w:t>
            </w:r>
          </w:p>
        </w:tc>
      </w:tr>
      <w:tr>
        <w:tc>
          <w:tcPr>
            <w:tcW w:type="dxa" w:w="1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Niveau 1 — Patient</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Le patient lui-même</w:t>
            </w:r>
          </w:p>
        </w:tc>
        <w:tc>
          <w:tcPr>
            <w:tcW w:type="dxa" w:w="3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Après l'OCR, il désélectionne les examens incorrects et ajoute les manquants depuis l'app</w:t>
            </w:r>
          </w:p>
        </w:tc>
        <w:tc>
          <w:tcPr>
            <w:tcW w:type="dxa" w:w="2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Avant confirmation du RDV</w:t>
            </w:r>
          </w:p>
        </w:tc>
      </w:tr>
      <w:tr>
        <w:tc>
          <w:tcPr>
            <w:tcW w:type="dxa" w:w="1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Niveau 2 — Agent</w:t>
            </w:r>
          </w:p>
        </w:tc>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L'agent de prélèvement</w:t>
            </w:r>
          </w:p>
        </w:tc>
        <w:tc>
          <w:tcPr>
            <w:tcW w:type="dxa" w:w="3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Il peut modifier la liste depuis son accès agent avant de démarrer la mission</w:t>
            </w:r>
          </w:p>
        </w:tc>
        <w:tc>
          <w:tcPr>
            <w:tcW w:type="dxa" w:w="2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Avant ou pendant la visite</w:t>
            </w:r>
          </w:p>
        </w:tc>
      </w:tr>
      <w:tr>
        <w:tc>
          <w:tcPr>
            <w:tcW w:type="dxa" w:w="1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Niveau 3 — Admin</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Le back-office Prelevia</w:t>
            </w:r>
          </w:p>
        </w:tc>
        <w:tc>
          <w:tcPr>
            <w:tcW w:type="dxa" w:w="3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Correction dans le dossier patient via le back-office web</w:t>
            </w:r>
          </w:p>
        </w:tc>
        <w:tc>
          <w:tcPr>
            <w:tcW w:type="dxa" w:w="2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À tout moment avant analyse</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6 — GESTION DES ASSURANCES</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6.1 Principe et nouveau flux accéléré</w:t>
      </w:r>
    </w:p>
    <w:p>
      <w:pPr>
        <w:spacing w:before="60" w:after="80"/>
        <w:jc w:val="both"/>
      </w:pPr>
      <w:r>
        <w:rPr>
          <w:rFonts w:ascii="Arial" w:cs="Arial" w:eastAsia="Arial" w:hAnsi="Arial"/>
          <w:color w:val="1A2B26"/>
          <w:sz w:val="22"/>
          <w:szCs w:val="22"/>
        </w:rPr>
        <w:t xml:space="preserve">Grâce à l'upload des documents dès la prise de RDV, Prelevia peut initier la procédure de soumission à l'assureur AVANT même que l'agent se déplace. Dans le meilleur des cas, la décision de l'assureur est disponible quand l'agent arrive au domicile.</w:t>
      </w:r>
    </w:p>
    <w:p>
      <w:pPr>
        <w:spacing w:before="80" w:after="80"/>
      </w:pP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Nouveau flux accéléré</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AVANT : Documents collectés par l'agent lors de la visite → soumission post-visite → délai 2 à 5 jours</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MAINTENANT : Documents uploadés dès le RDV → soumission immédiate → décision possible avant ou pendant la visite</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Avantage : l'agent sait déjà ce que doit payer le patient au moment d'encaisser.</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6.2 Workflow assurance — 5 étapes</w:t>
      </w:r>
    </w:p>
    <w:p>
      <w:pPr>
        <w:spacing w:before="60" w:after="60"/>
      </w:pPr>
    </w:p>
    <w:p>
      <w:pPr>
        <w:pBdr>
          <w:top w:val="single" w:color="1E40AF" w:sz="4"/>
          <w:bottom w:val="single" w:color="1E40AF" w:sz="4"/>
        </w:pBdr>
        <w:shd w:fill="1E40AF" w:val="clear"/>
        <w:spacing w:before="140" w:after="0"/>
        <w:ind w:left="160" w:right="160"/>
      </w:pPr>
      <w:r>
        <w:rPr>
          <w:rFonts w:ascii="Arial" w:cs="Arial" w:eastAsia="Arial" w:hAnsi="Arial"/>
          <w:b/>
          <w:bCs/>
          <w:color w:val="FFFFFF"/>
          <w:sz w:val="22"/>
          <w:szCs w:val="22"/>
        </w:rPr>
        <w:t xml:space="preserve">ÉTAPE 1 — UPLOAD DOCUMENTS LORS DU RDV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EFF6FF" w:val="clear"/>
            <w:tcMar>
              <w:top w:type="dxa" w:w="60"/>
              <w:left w:type="dxa" w:w="200"/>
              <w:bottom w:type="dxa" w:w="20"/>
              <w:right w:type="dxa" w:w="140"/>
            </w:tcMar>
            <w:vAlign w:val="top"/>
          </w:tcPr>
          <w:p>
            <w:pPr>
              <w:spacing w:before="0" w:after="0"/>
              <w:jc w:val="left"/>
            </w:pPr>
            <w:r>
              <w:rPr>
                <w:rFonts w:ascii="Arial" w:cs="Arial" w:eastAsia="Arial" w:hAnsi="Arial"/>
                <w:color w:val="1A2B26"/>
                <w:sz w:val="21"/>
                <w:szCs w:val="21"/>
              </w:rPr>
              <w:t xml:space="preserve">Le patient uploade depuis l'app patient : bulletin d'analyses + carte assurance + pièce d'identité.</w:t>
            </w:r>
          </w:p>
        </w:tc>
      </w:tr>
      <w:tr>
        <w:tc>
          <w:tcPr>
            <w:tcBorders>
              <w:top w:val="single" w:color="1E40AF" w:sz="8"/>
              <w:left w:val="single" w:color="1E40AF" w:sz="8"/>
              <w:bottom w:val="single" w:color="1E40AF" w:sz="8"/>
              <w:right w:val="single" w:color="1E40AF" w:sz="8"/>
            </w:tcBorders>
            <w:shd w:fill="EFF6FF" w:val="clear"/>
            <w:tcMar>
              <w:top w:type="dxa" w:w="20"/>
              <w:left w:type="dxa" w:w="200"/>
              <w:bottom w:type="dxa" w:w="60"/>
              <w:right w:type="dxa" w:w="140"/>
            </w:tcMar>
            <w:vAlign w:val="top"/>
          </w:tcPr>
          <w:p>
            <w:pPr>
              <w:spacing w:before="0" w:after="0"/>
              <w:jc w:val="left"/>
            </w:pPr>
            <w:r>
              <w:rPr>
                <w:rFonts w:ascii="Arial" w:cs="Arial" w:eastAsia="Arial" w:hAnsi="Arial"/>
                <w:color w:val="1A2B26"/>
                <w:sz w:val="21"/>
                <w:szCs w:val="21"/>
              </w:rPr>
              <w:t xml:space="preserve">L'OCR extrait automatiquement les examens. Le dossier est immédiatement complet et transmissible.</w:t>
            </w:r>
          </w:p>
        </w:tc>
      </w:tr>
    </w:tbl>
    <w:p>
      <w:pPr>
        <w:spacing w:before="70" w:after="70"/>
      </w:pPr>
    </w:p>
    <w:p>
      <w:pPr>
        <w:pBdr>
          <w:top w:val="single" w:color="1E40AF" w:sz="4"/>
          <w:bottom w:val="single" w:color="1E40AF" w:sz="4"/>
        </w:pBdr>
        <w:shd w:fill="1E40AF" w:val="clear"/>
        <w:spacing w:before="140" w:after="0"/>
        <w:ind w:left="160" w:right="160"/>
      </w:pPr>
      <w:r>
        <w:rPr>
          <w:rFonts w:ascii="Arial" w:cs="Arial" w:eastAsia="Arial" w:hAnsi="Arial"/>
          <w:b/>
          <w:bCs/>
          <w:color w:val="FFFFFF"/>
          <w:sz w:val="22"/>
          <w:szCs w:val="22"/>
        </w:rPr>
        <w:t xml:space="preserve">ÉTAPE 2 — TRANSMISSION IMMÉDIATE AU LABORATOIRE MAISON BLANCHE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EFF6FF" w:val="clear"/>
            <w:tcMar>
              <w:top w:type="dxa" w:w="60"/>
              <w:left w:type="dxa" w:w="200"/>
              <w:bottom w:type="dxa" w:w="20"/>
              <w:right w:type="dxa" w:w="140"/>
            </w:tcMar>
            <w:vAlign w:val="top"/>
          </w:tcPr>
          <w:p>
            <w:pPr>
              <w:spacing w:before="0" w:after="0"/>
              <w:jc w:val="left"/>
            </w:pPr>
            <w:r>
              <w:rPr>
                <w:rFonts w:ascii="Arial" w:cs="Arial" w:eastAsia="Arial" w:hAnsi="Arial"/>
                <w:color w:val="1A2B26"/>
                <w:sz w:val="21"/>
                <w:szCs w:val="21"/>
              </w:rPr>
              <w:t xml:space="preserve">Le coordinateur Prelevia transmet le dossier complet au Labo Maison Blanche dès réception des documents.</w:t>
            </w:r>
          </w:p>
        </w:tc>
      </w:tr>
      <w:tr>
        <w:tc>
          <w:tcPr>
            <w:tcBorders>
              <w:top w:val="single" w:color="1E40AF" w:sz="8"/>
              <w:left w:val="single" w:color="1E40AF" w:sz="8"/>
              <w:bottom w:val="single" w:color="1E40AF" w:sz="8"/>
              <w:right w:val="single" w:color="1E40AF" w:sz="8"/>
            </w:tcBorders>
            <w:shd w:fill="EFF6FF" w:val="clear"/>
            <w:tcMar>
              <w:top w:type="dxa" w:w="20"/>
              <w:left w:type="dxa" w:w="200"/>
              <w:bottom w:type="dxa" w:w="60"/>
              <w:right w:type="dxa" w:w="140"/>
            </w:tcMar>
            <w:vAlign w:val="top"/>
          </w:tcPr>
          <w:p>
            <w:pPr>
              <w:spacing w:before="0" w:after="0"/>
              <w:jc w:val="left"/>
            </w:pPr>
            <w:r>
              <w:rPr>
                <w:rFonts w:ascii="Arial" w:cs="Arial" w:eastAsia="Arial" w:hAnsi="Arial"/>
                <w:color w:val="1A2B26"/>
                <w:sz w:val="21"/>
                <w:szCs w:val="21"/>
              </w:rPr>
              <w:t xml:space="preserve">Délai cible : transmission dans les 2 heures suivant l'upload du patient. Statut → 'Soumis au labo'.</w:t>
            </w:r>
          </w:p>
        </w:tc>
      </w:tr>
    </w:tbl>
    <w:p>
      <w:pPr>
        <w:spacing w:before="70" w:after="70"/>
      </w:pPr>
    </w:p>
    <w:p>
      <w:pPr>
        <w:pBdr>
          <w:top w:val="single" w:color="1E40AF" w:sz="4"/>
          <w:bottom w:val="single" w:color="1E40AF" w:sz="4"/>
        </w:pBdr>
        <w:shd w:fill="1E40AF" w:val="clear"/>
        <w:spacing w:before="140" w:after="0"/>
        <w:ind w:left="160" w:right="160"/>
      </w:pPr>
      <w:r>
        <w:rPr>
          <w:rFonts w:ascii="Arial" w:cs="Arial" w:eastAsia="Arial" w:hAnsi="Arial"/>
          <w:b/>
          <w:bCs/>
          <w:color w:val="FFFFFF"/>
          <w:sz w:val="22"/>
          <w:szCs w:val="22"/>
        </w:rPr>
        <w:t xml:space="preserve">ÉTAPE 3 — SOUMISSION SUR LE PORTAIL DE L'ASSUREUR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EFF6FF" w:val="clear"/>
            <w:tcMar>
              <w:top w:type="dxa" w:w="60"/>
              <w:left w:type="dxa" w:w="200"/>
              <w:bottom w:type="dxa" w:w="20"/>
              <w:right w:type="dxa" w:w="140"/>
            </w:tcMar>
            <w:vAlign w:val="top"/>
          </w:tcPr>
          <w:p>
            <w:pPr>
              <w:spacing w:before="0" w:after="0"/>
              <w:jc w:val="left"/>
            </w:pPr>
            <w:r>
              <w:rPr>
                <w:rFonts w:ascii="Arial" w:cs="Arial" w:eastAsia="Arial" w:hAnsi="Arial"/>
                <w:color w:val="1A2B26"/>
                <w:sz w:val="21"/>
                <w:szCs w:val="21"/>
              </w:rPr>
              <w:t xml:space="preserve">Le labo soumet le dossier sur le portail de l'assureur (MUGEFCI, CNPS, Sanlam CI, etc.). Documents envoyés : ordonnance, facture pro forma, CNI, carte assurance.</w:t>
            </w:r>
          </w:p>
        </w:tc>
      </w:tr>
      <w:tr>
        <w:tc>
          <w:tcPr>
            <w:tcBorders>
              <w:top w:val="single" w:color="1E40AF" w:sz="8"/>
              <w:left w:val="single" w:color="1E40AF" w:sz="8"/>
              <w:bottom w:val="single" w:color="1E40AF" w:sz="8"/>
              <w:right w:val="single" w:color="1E40AF" w:sz="8"/>
            </w:tcBorders>
            <w:shd w:fill="EFF6FF" w:val="clear"/>
            <w:tcMar>
              <w:top w:type="dxa" w:w="20"/>
              <w:left w:type="dxa" w:w="200"/>
              <w:bottom w:type="dxa" w:w="60"/>
              <w:right w:type="dxa" w:w="140"/>
            </w:tcMar>
            <w:vAlign w:val="top"/>
          </w:tcPr>
          <w:p>
            <w:pPr>
              <w:spacing w:before="0" w:after="0"/>
              <w:jc w:val="left"/>
            </w:pPr>
            <w:r>
              <w:rPr>
                <w:rFonts w:ascii="Arial" w:cs="Arial" w:eastAsia="Arial" w:hAnsi="Arial"/>
                <w:color w:val="1A2B26"/>
                <w:sz w:val="21"/>
                <w:szCs w:val="21"/>
              </w:rPr>
              <w:t xml:space="preserve">Délai assureur : 24h à 72h selon compagnie. Dans le meilleur cas, décision disponible avant la visite de l'agent.</w:t>
            </w:r>
          </w:p>
        </w:tc>
      </w:tr>
    </w:tbl>
    <w:p>
      <w:pPr>
        <w:spacing w:before="70" w:after="70"/>
      </w:pPr>
    </w:p>
    <w:p>
      <w:pPr>
        <w:pBdr>
          <w:top w:val="single" w:color="1E40AF" w:sz="4"/>
          <w:bottom w:val="single" w:color="1E40AF" w:sz="4"/>
        </w:pBdr>
        <w:shd w:fill="1E40AF" w:val="clear"/>
        <w:spacing w:before="140" w:after="0"/>
        <w:ind w:left="160" w:right="160"/>
      </w:pPr>
      <w:r>
        <w:rPr>
          <w:rFonts w:ascii="Arial" w:cs="Arial" w:eastAsia="Arial" w:hAnsi="Arial"/>
          <w:b/>
          <w:bCs/>
          <w:color w:val="FFFFFF"/>
          <w:sz w:val="22"/>
          <w:szCs w:val="22"/>
        </w:rPr>
        <w:t xml:space="preserve">ÉTAPE 4 — RÉCEPTION DÉCISION ET SAISIE DANS LE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EFF6FF" w:val="clear"/>
            <w:tcMar>
              <w:top w:type="dxa" w:w="60"/>
              <w:left w:type="dxa" w:w="200"/>
              <w:bottom w:type="dxa" w:w="20"/>
              <w:right w:type="dxa" w:w="140"/>
            </w:tcMar>
            <w:vAlign w:val="top"/>
          </w:tcPr>
          <w:p>
            <w:pPr>
              <w:spacing w:before="0" w:after="0"/>
              <w:jc w:val="left"/>
            </w:pPr>
            <w:r>
              <w:rPr>
                <w:rFonts w:ascii="Arial" w:cs="Arial" w:eastAsia="Arial" w:hAnsi="Arial"/>
                <w:color w:val="1A2B26"/>
                <w:sz w:val="21"/>
                <w:szCs w:val="21"/>
              </w:rPr>
              <w:t xml:space="preserve">L'assureur répond : Validation totale / Validation partielle (examen par examen) / Refus. Le labo notifie Prelevia.</w:t>
            </w:r>
          </w:p>
        </w:tc>
      </w:tr>
      <w:tr>
        <w:tc>
          <w:tcPr>
            <w:tcBorders>
              <w:top w:val="single" w:color="1E40AF" w:sz="8"/>
              <w:left w:val="single" w:color="1E40AF" w:sz="8"/>
              <w:bottom w:val="single" w:color="1E40AF" w:sz="8"/>
              <w:right w:val="single" w:color="1E40AF" w:sz="8"/>
            </w:tcBorders>
            <w:shd w:fill="EFF6FF" w:val="clear"/>
            <w:tcMar>
              <w:top w:type="dxa" w:w="20"/>
              <w:left w:type="dxa" w:w="200"/>
              <w:bottom w:type="dxa" w:w="60"/>
              <w:right w:type="dxa" w:w="140"/>
            </w:tcMar>
            <w:vAlign w:val="top"/>
          </w:tcPr>
          <w:p>
            <w:pPr>
              <w:spacing w:before="0" w:after="0"/>
              <w:jc w:val="left"/>
            </w:pPr>
            <w:r>
              <w:rPr>
                <w:rFonts w:ascii="Arial" w:cs="Arial" w:eastAsia="Arial" w:hAnsi="Arial"/>
                <w:color w:val="1A2B26"/>
                <w:sz w:val="21"/>
                <w:szCs w:val="21"/>
              </w:rPr>
              <w:t xml:space="preserve">L'admin saisit le résultat par examen dans le back-office. Le montant patient est calculé automatiquement.</w:t>
            </w:r>
          </w:p>
        </w:tc>
      </w:tr>
    </w:tbl>
    <w:p>
      <w:pPr>
        <w:spacing w:before="70" w:after="70"/>
      </w:pPr>
    </w:p>
    <w:p>
      <w:pPr>
        <w:pBdr>
          <w:top w:val="single" w:color="1E40AF" w:sz="4"/>
          <w:bottom w:val="single" w:color="1E40AF" w:sz="4"/>
        </w:pBdr>
        <w:shd w:fill="1E40AF" w:val="clear"/>
        <w:spacing w:before="140" w:after="0"/>
        <w:ind w:left="160" w:right="160"/>
      </w:pPr>
      <w:r>
        <w:rPr>
          <w:rFonts w:ascii="Arial" w:cs="Arial" w:eastAsia="Arial" w:hAnsi="Arial"/>
          <w:b/>
          <w:bCs/>
          <w:color w:val="FFFFFF"/>
          <w:sz w:val="22"/>
          <w:szCs w:val="22"/>
        </w:rPr>
        <w:t xml:space="preserve">ÉTAPE 5 — ENCAISSEMENT SUR PLACE PAR L'AGENT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EFF6FF" w:val="clear"/>
            <w:tcMar>
              <w:top w:type="dxa" w:w="60"/>
              <w:left w:type="dxa" w:w="200"/>
              <w:bottom w:type="dxa" w:w="20"/>
              <w:right w:type="dxa" w:w="140"/>
            </w:tcMar>
            <w:vAlign w:val="top"/>
          </w:tcPr>
          <w:p>
            <w:pPr>
              <w:spacing w:before="0" w:after="0"/>
              <w:jc w:val="left"/>
            </w:pPr>
            <w:r>
              <w:rPr>
                <w:rFonts w:ascii="Arial" w:cs="Arial" w:eastAsia="Arial" w:hAnsi="Arial"/>
                <w:color w:val="1A2B26"/>
                <w:sz w:val="21"/>
                <w:szCs w:val="21"/>
              </w:rPr>
              <w:t xml:space="preserve">L'agent voit sur son app : examens couverts / non couverts / montant total à encaisser.</w:t>
            </w:r>
          </w:p>
        </w:tc>
      </w:tr>
      <w:tr>
        <w:tc>
          <w:tcPr>
            <w:tcBorders>
              <w:top w:val="single" w:color="1E40AF" w:sz="8"/>
              <w:left w:val="single" w:color="1E40AF" w:sz="8"/>
              <w:bottom w:val="single" w:color="1E40AF" w:sz="8"/>
              <w:right w:val="single" w:color="1E40AF" w:sz="8"/>
            </w:tcBorders>
            <w:shd w:fill="EFF6FF" w:val="clear"/>
            <w:tcMar>
              <w:top w:type="dxa" w:w="20"/>
              <w:left w:type="dxa" w:w="200"/>
              <w:bottom w:type="dxa" w:w="60"/>
              <w:right w:type="dxa" w:w="140"/>
            </w:tcMar>
            <w:vAlign w:val="top"/>
          </w:tcPr>
          <w:p>
            <w:pPr>
              <w:spacing w:before="0" w:after="0"/>
              <w:jc w:val="left"/>
            </w:pPr>
            <w:r>
              <w:rPr>
                <w:rFonts w:ascii="Arial" w:cs="Arial" w:eastAsia="Arial" w:hAnsi="Arial"/>
                <w:color w:val="1A2B26"/>
                <w:sz w:val="21"/>
                <w:szCs w:val="21"/>
              </w:rPr>
              <w:t xml:space="preserve">Formule : part patient = (Σ examens couverts × 20%) + Σ examens non couverts. Encaissement immédiat après prélèvement.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6.3 Assureurs partenaires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800"/>
        <w:gridCol w:w="1900"/>
        <w:gridCol w:w="1660"/>
      </w:tblGrid>
      <w:tr>
        <w:trPr>
          <w:tblHeader/>
        </w:trPr>
        <w:tc>
          <w:tcPr>
            <w:tcW w:type="dxa" w:w="1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Assureur</w:t>
            </w:r>
          </w:p>
        </w:tc>
        <w:tc>
          <w:tcPr>
            <w:tcW w:type="dxa" w:w="21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Type</w:t>
            </w:r>
          </w:p>
        </w:tc>
        <w:tc>
          <w:tcPr>
            <w:tcW w:type="dxa" w:w="1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Prise en charge</w:t>
            </w:r>
          </w:p>
        </w:tc>
        <w:tc>
          <w:tcPr>
            <w:tcW w:type="dxa" w:w="1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Mode soumission</w:t>
            </w:r>
          </w:p>
        </w:tc>
        <w:tc>
          <w:tcPr>
            <w:tcW w:type="dxa" w:w="16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Délai validation</w:t>
            </w:r>
          </w:p>
        </w:tc>
      </w:tr>
      <w:tr>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MUGEFCI</w:t>
            </w:r>
          </w:p>
        </w:tc>
        <w:tc>
          <w:tcPr>
            <w:tcW w:type="dxa" w:w="2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Mutuelle fonctionnaires</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40 à 60%</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Portail web + physique</w:t>
            </w:r>
          </w:p>
        </w:tc>
        <w:tc>
          <w:tcPr>
            <w:tcW w:type="dxa" w:w="16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 – 48h</w:t>
            </w:r>
          </w:p>
        </w:tc>
      </w:tr>
      <w:tr>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CNPS</w:t>
            </w:r>
          </w:p>
        </w:tc>
        <w:tc>
          <w:tcPr>
            <w:tcW w:type="dxa" w:w="2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Sécurité sociale</w:t>
            </w:r>
          </w:p>
        </w:tc>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45%</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Portail CNPS en ligne</w:t>
            </w:r>
          </w:p>
        </w:tc>
        <w:tc>
          <w:tcPr>
            <w:tcW w:type="dxa" w:w="16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48 – 72h</w:t>
            </w:r>
          </w:p>
        </w:tc>
      </w:tr>
      <w:tr>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Sanlam CI</w:t>
            </w:r>
          </w:p>
        </w:tc>
        <w:tc>
          <w:tcPr>
            <w:tcW w:type="dxa" w:w="2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 privée</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50 à 70%</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Portail partenaire</w:t>
            </w:r>
          </w:p>
        </w:tc>
        <w:tc>
          <w:tcPr>
            <w:tcW w:type="dxa" w:w="16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24h</w:t>
            </w:r>
          </w:p>
        </w:tc>
      </w:tr>
      <w:tr>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NSIA Santé</w:t>
            </w:r>
          </w:p>
        </w:tc>
        <w:tc>
          <w:tcPr>
            <w:tcW w:type="dxa" w:w="2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 privée</w:t>
            </w:r>
          </w:p>
        </w:tc>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60 à 80%</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Email + portail</w:t>
            </w:r>
          </w:p>
        </w:tc>
        <w:tc>
          <w:tcPr>
            <w:tcW w:type="dxa" w:w="16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 – 72h</w:t>
            </w:r>
          </w:p>
        </w:tc>
      </w:tr>
      <w:tr>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Allianz CI</w:t>
            </w:r>
          </w:p>
        </w:tc>
        <w:tc>
          <w:tcPr>
            <w:tcW w:type="dxa" w:w="2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 privée</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50 à 75%</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Plateforme Allianz</w:t>
            </w:r>
          </w:p>
        </w:tc>
        <w:tc>
          <w:tcPr>
            <w:tcW w:type="dxa" w:w="16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48h</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7 — PAIEMENT IMMÉDIAT APRÈS PRÉLÈVEMENT</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7.1 Principe — Paiement sur place</w:t>
      </w: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Règle fondamentale Prelevia v2</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Le patient règle IMMÉDIATEMENT après le prélèvement, sur place, à l'agent.</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L'agent encaisse directement via l'app agent (cash ou mobile money).</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Un reçu numérique est généré et envoyé automatiquement par SMS au patient.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7.2 Scénarios de paiement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Scénario</w:t>
            </w:r>
          </w:p>
        </w:tc>
        <w:tc>
          <w:tcPr>
            <w:tcW w:type="dxa" w:w="2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Ce que paie le patient</w:t>
            </w:r>
          </w:p>
        </w:tc>
        <w:tc>
          <w:tcPr>
            <w:tcW w:type="dxa" w:w="2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Quand</w:t>
            </w:r>
          </w:p>
        </w:tc>
        <w:tc>
          <w:tcPr>
            <w:tcW w:type="dxa" w:w="23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Comment</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Sans assurance</w:t>
            </w:r>
          </w:p>
        </w:tc>
        <w:tc>
          <w:tcPr>
            <w:tcW w:type="dxa" w:w="2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100% du montant total des examens</w:t>
            </w:r>
          </w:p>
        </w:tc>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Immédiatement après prélèvement</w:t>
            </w:r>
          </w:p>
        </w:tc>
        <w:tc>
          <w:tcPr>
            <w:tcW w:type="dxa" w:w="2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Cash ou mobile money à l'agent</w:t>
            </w:r>
          </w:p>
        </w:tc>
      </w:tr>
      <w:tr>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 validée avant la visite</w:t>
            </w:r>
          </w:p>
        </w:tc>
        <w:tc>
          <w:tcPr>
            <w:tcW w:type="dxa" w:w="2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Quote-part (20% examens couverts) + examens non couverts</w:t>
            </w:r>
          </w:p>
        </w:tc>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Immédiatement après prélèvement</w:t>
            </w:r>
          </w:p>
        </w:tc>
        <w:tc>
          <w:tcPr>
            <w:tcW w:type="dxa" w:w="2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Cash ou mobile money à l'agent</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 validée après la visite</w:t>
            </w:r>
          </w:p>
        </w:tc>
        <w:tc>
          <w:tcPr>
            <w:tcW w:type="dxa" w:w="2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Idem — dès réception de la décision de l'assureur</w:t>
            </w:r>
          </w:p>
        </w:tc>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Notification app → paiement mobile ou au prochain passage</w:t>
            </w:r>
          </w:p>
        </w:tc>
        <w:tc>
          <w:tcPr>
            <w:tcW w:type="dxa" w:w="23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Orange Money / MTN / Wave / Cash</w:t>
            </w:r>
          </w:p>
        </w:tc>
      </w:tr>
      <w:tr>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Validation partielle de l'assurance</w:t>
            </w:r>
          </w:p>
        </w:tc>
        <w:tc>
          <w:tcPr>
            <w:tcW w:type="dxa" w:w="2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Quote-part sur examens couverts + 100% des non couverts</w:t>
            </w:r>
          </w:p>
        </w:tc>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Immédiatement après prélèvement si décision disponible</w:t>
            </w:r>
          </w:p>
        </w:tc>
        <w:tc>
          <w:tcPr>
            <w:tcW w:type="dxa" w:w="23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Cash ou mobile money à l'agent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7.3 Modes de paiement acceptés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500"/>
        <w:gridCol w:w="2460"/>
      </w:tblGrid>
      <w:tr>
        <w:trPr>
          <w:tblHeader/>
        </w:trPr>
        <w:tc>
          <w:tcPr>
            <w:tcW w:type="dxa" w:w="2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Mode</w:t>
            </w:r>
          </w:p>
        </w:tc>
        <w:tc>
          <w:tcPr>
            <w:tcW w:type="dxa" w:w="1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Opérateur</w:t>
            </w:r>
          </w:p>
        </w:tc>
        <w:tc>
          <w:tcPr>
            <w:tcW w:type="dxa" w:w="1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Code/Accès</w:t>
            </w:r>
          </w:p>
        </w:tc>
        <w:tc>
          <w:tcPr>
            <w:tcW w:type="dxa" w:w="15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Commission</w:t>
            </w:r>
          </w:p>
        </w:tc>
        <w:tc>
          <w:tcPr>
            <w:tcW w:type="dxa" w:w="24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Disponibilité</w:t>
            </w:r>
          </w:p>
        </w:tc>
      </w:tr>
      <w:tr>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Espèces (Cash)</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t>
            </w:r>
          </w:p>
        </w:tc>
        <w:tc>
          <w:tcPr>
            <w:tcW w:type="dxa" w:w="15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0%</w:t>
            </w:r>
          </w:p>
        </w:tc>
        <w:tc>
          <w:tcPr>
            <w:tcW w:type="dxa" w:w="24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Toujours</w:t>
            </w:r>
          </w:p>
        </w:tc>
      </w:tr>
      <w:tr>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Orange Money</w:t>
            </w:r>
          </w:p>
        </w:tc>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Orange CI</w:t>
            </w:r>
          </w:p>
        </w:tc>
        <w:tc>
          <w:tcPr>
            <w:tcW w:type="dxa" w:w="1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*144*1#</w:t>
            </w:r>
          </w:p>
        </w:tc>
        <w:tc>
          <w:tcPr>
            <w:tcW w:type="dxa" w:w="15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4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24h/7j</w:t>
            </w:r>
          </w:p>
        </w:tc>
      </w:tr>
      <w:tr>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MTN Mobile Money</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MTN CI</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*133#</w:t>
            </w:r>
          </w:p>
        </w:tc>
        <w:tc>
          <w:tcPr>
            <w:tcW w:type="dxa" w:w="15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4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24h/7j</w:t>
            </w:r>
          </w:p>
        </w:tc>
      </w:tr>
      <w:tr>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Wave</w:t>
            </w:r>
          </w:p>
        </w:tc>
        <w:tc>
          <w:tcPr>
            <w:tcW w:type="dxa" w:w="1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Wave Mobile Money</w:t>
            </w:r>
          </w:p>
        </w:tc>
        <w:tc>
          <w:tcPr>
            <w:tcW w:type="dxa" w:w="1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App Wave</w:t>
            </w:r>
          </w:p>
        </w:tc>
        <w:tc>
          <w:tcPr>
            <w:tcW w:type="dxa" w:w="15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0%</w:t>
            </w:r>
          </w:p>
        </w:tc>
        <w:tc>
          <w:tcPr>
            <w:tcW w:type="dxa" w:w="24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24h/7j</w:t>
            </w:r>
          </w:p>
        </w:tc>
      </w:tr>
      <w:tr>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Virement bancaire</w:t>
            </w:r>
          </w:p>
        </w:tc>
        <w:tc>
          <w:tcPr>
            <w:tcW w:type="dxa" w:w="1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Banque</w:t>
            </w:r>
          </w:p>
        </w:tc>
        <w:tc>
          <w:tcPr>
            <w:tcW w:type="dxa" w:w="1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RIB Prelevia</w:t>
            </w:r>
          </w:p>
        </w:tc>
        <w:tc>
          <w:tcPr>
            <w:tcW w:type="dxa" w:w="15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Frais bancaires</w:t>
            </w:r>
          </w:p>
        </w:tc>
        <w:tc>
          <w:tcPr>
            <w:tcW w:type="dxa" w:w="24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Jours ouvrés</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7.4 Calcul de la part patient</w:t>
      </w: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Formule de calcul</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TOTAL À ENCAISSER = (Σ Tarifs examens COUVERTS × 20%) + Σ Tarifs examens NON COUVERTS</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Exemple concret :</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  NFS 4 500 XOF (couvert) + Glycémie 3 000 XOF (couverte) + Bilan lipidique 7 500 XOF (non couvert)</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  Part patient = (4 500 + 3 000) × 20% + 7 500 = 1 500 + 7 500 = 9 000 XOF</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  Part assurance = (4 500 + 3 000) × 80% = 6 000 XOF</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  Total facture = 15 000 XOF  |  Assurance : 6 000 XOF  |  Patient : 9 000 XOF</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7.5 Procédure d'encaissement par l'agent</w:t>
      </w:r>
    </w:p>
    <w:p>
      <w:pPr>
        <w:pStyle w:val="ListParagraph"/>
        <w:numPr>
          <w:ilvl w:val="0"/>
          <w:numId w:val="4"/>
        </w:numPr>
        <w:spacing w:before="50" w:after="50"/>
      </w:pPr>
      <w:r>
        <w:rPr>
          <w:rFonts w:ascii="Arial" w:cs="Arial" w:eastAsia="Arial" w:hAnsi="Arial"/>
          <w:color w:val="1A2B26"/>
          <w:sz w:val="22"/>
          <w:szCs w:val="22"/>
        </w:rPr>
        <w:t xml:space="preserve">Effectuer le prélèvement selon le protocole (tubes préparés à l'avance grâce à l'OCR)</w:t>
      </w:r>
    </w:p>
    <w:p>
      <w:pPr>
        <w:pStyle w:val="ListParagraph"/>
        <w:numPr>
          <w:ilvl w:val="0"/>
          <w:numId w:val="4"/>
        </w:numPr>
        <w:spacing w:before="50" w:after="50"/>
      </w:pPr>
      <w:r>
        <w:rPr>
          <w:rFonts w:ascii="Arial" w:cs="Arial" w:eastAsia="Arial" w:hAnsi="Arial"/>
          <w:color w:val="1A2B26"/>
          <w:sz w:val="22"/>
          <w:szCs w:val="22"/>
        </w:rPr>
        <w:t xml:space="preserve">Ouvrir l'app agent → section 'Encaisser' de la mission en cours</w:t>
      </w:r>
    </w:p>
    <w:p>
      <w:pPr>
        <w:pStyle w:val="ListParagraph"/>
        <w:numPr>
          <w:ilvl w:val="0"/>
          <w:numId w:val="4"/>
        </w:numPr>
        <w:spacing w:before="50" w:after="50"/>
      </w:pPr>
      <w:r>
        <w:rPr>
          <w:rFonts w:ascii="Arial" w:cs="Arial" w:eastAsia="Arial" w:hAnsi="Arial"/>
          <w:color w:val="1A2B26"/>
          <w:sz w:val="22"/>
          <w:szCs w:val="22"/>
        </w:rPr>
        <w:t xml:space="preserve">Vérifier le détail : examens couverts vs non couverts, montant affiché</w:t>
      </w:r>
    </w:p>
    <w:p>
      <w:pPr>
        <w:pStyle w:val="ListParagraph"/>
        <w:numPr>
          <w:ilvl w:val="0"/>
          <w:numId w:val="4"/>
        </w:numPr>
        <w:spacing w:before="50" w:after="50"/>
      </w:pPr>
      <w:r>
        <w:rPr>
          <w:rFonts w:ascii="Arial" w:cs="Arial" w:eastAsia="Arial" w:hAnsi="Arial"/>
          <w:color w:val="1A2B26"/>
          <w:sz w:val="22"/>
          <w:szCs w:val="22"/>
        </w:rPr>
        <w:t xml:space="preserve">Sélectionner le mode de paiement choisi par le patient</w:t>
      </w:r>
    </w:p>
    <w:p>
      <w:pPr>
        <w:pStyle w:val="ListParagraph"/>
        <w:numPr>
          <w:ilvl w:val="0"/>
          <w:numId w:val="4"/>
        </w:numPr>
        <w:spacing w:before="50" w:after="50"/>
      </w:pPr>
      <w:r>
        <w:rPr>
          <w:rFonts w:ascii="Arial" w:cs="Arial" w:eastAsia="Arial" w:hAnsi="Arial"/>
          <w:color w:val="1A2B26"/>
          <w:sz w:val="22"/>
          <w:szCs w:val="22"/>
        </w:rPr>
        <w:t xml:space="preserve">Confirmer l'encaissement → reçu SMS envoyé automatiquement au patient</w:t>
      </w:r>
    </w:p>
    <w:p>
      <w:pPr>
        <w:pStyle w:val="ListParagraph"/>
        <w:numPr>
          <w:ilvl w:val="0"/>
          <w:numId w:val="4"/>
        </w:numPr>
        <w:spacing w:before="50" w:after="50"/>
      </w:pPr>
      <w:r>
        <w:rPr>
          <w:rFonts w:ascii="Arial" w:cs="Arial" w:eastAsia="Arial" w:hAnsi="Arial"/>
          <w:color w:val="1A2B26"/>
          <w:sz w:val="22"/>
          <w:szCs w:val="22"/>
        </w:rPr>
        <w:t xml:space="preserve">La mission passe au statut 'Terminée et payée' — revenus mis à jour en temps réel</w:t>
      </w:r>
    </w:p>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8 — PLATEFORME DIGITALE (WEB + MOBILE)</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8.1 Architecture de la solution</w:t>
      </w:r>
    </w:p>
    <w:p>
      <w:pPr>
        <w:spacing w:before="60" w:after="80"/>
        <w:jc w:val="both"/>
      </w:pPr>
      <w:r>
        <w:rPr>
          <w:rFonts w:ascii="Arial" w:cs="Arial" w:eastAsia="Arial" w:hAnsi="Arial"/>
          <w:color w:val="1A2B26"/>
          <w:sz w:val="22"/>
          <w:szCs w:val="22"/>
        </w:rPr>
        <w:t xml:space="preserve">Prelevia s'appuie sur trois interfaces numériques connectées à une base de données centrale :</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64D40" w:sz="4"/>
              <w:left w:val="single" w:color="064D40" w:sz="4"/>
              <w:bottom w:val="single" w:color="064D40" w:sz="4"/>
              <w:right w:val="single" w:color="064D40" w:sz="4"/>
            </w:tcBorders>
            <w:shd w:fill="064D40" w:val="clear"/>
            <w:tcMar>
              <w:top w:type="dxa" w:w="120"/>
              <w:left w:type="dxa" w:w="120"/>
              <w:bottom w:type="dxa" w:w="120"/>
              <w:right w:type="dxa" w:w="120"/>
            </w:tcMar>
            <w:vAlign w:val="top"/>
          </w:tcPr>
          <w:p>
            <w:pPr>
              <w:spacing w:before="0" w:after="6"/>
              <w:jc w:val="center"/>
            </w:pPr>
            <w:r>
              <w:rPr>
                <w:rFonts w:ascii="Arial" w:cs="Arial" w:eastAsia="Arial" w:hAnsi="Arial"/>
                <w:sz w:val="36"/>
                <w:szCs w:val="36"/>
              </w:rPr>
              <w:t xml:space="preserve">🖥️</w:t>
            </w:r>
          </w:p>
          <w:p>
            <w:pPr>
              <w:spacing w:before="0" w:after="6"/>
              <w:jc w:val="center"/>
            </w:pPr>
            <w:r>
              <w:rPr>
                <w:rFonts w:ascii="Arial" w:cs="Arial" w:eastAsia="Arial" w:hAnsi="Arial"/>
                <w:b/>
                <w:bCs/>
                <w:color w:val="FFFFFF"/>
                <w:sz w:val="22"/>
                <w:szCs w:val="22"/>
              </w:rPr>
              <w:t xml:space="preserve">Back-Office Web</w:t>
            </w:r>
          </w:p>
          <w:p>
            <w:pPr>
              <w:spacing w:before="0" w:after="0"/>
              <w:jc w:val="center"/>
            </w:pPr>
            <w:r>
              <w:rPr>
                <w:rFonts w:ascii="Arial" w:cs="Arial" w:eastAsia="Arial" w:hAnsi="Arial"/>
                <w:i/>
                <w:iCs/>
                <w:color w:val="C8E6E0"/>
                <w:sz w:val="17"/>
                <w:szCs w:val="17"/>
              </w:rPr>
              <w:t xml:space="preserve">Gestion patients, OCR, assurances, paiements, agents, stock, rapports.</w:t>
            </w:r>
          </w:p>
        </w:tc>
        <w:tc>
          <w:tcPr>
            <w:tcBorders>
              <w:top w:val="single" w:color="1E40AF" w:sz="4"/>
              <w:left w:val="single" w:color="1E40AF" w:sz="4"/>
              <w:bottom w:val="single" w:color="1E40AF" w:sz="4"/>
              <w:right w:val="single" w:color="1E40AF" w:sz="4"/>
            </w:tcBorders>
            <w:shd w:fill="1E40AF" w:val="clear"/>
            <w:tcMar>
              <w:top w:type="dxa" w:w="120"/>
              <w:left w:type="dxa" w:w="120"/>
              <w:bottom w:type="dxa" w:w="120"/>
              <w:right w:type="dxa" w:w="120"/>
            </w:tcMar>
            <w:vAlign w:val="top"/>
          </w:tcPr>
          <w:p>
            <w:pPr>
              <w:spacing w:before="0" w:after="6"/>
              <w:jc w:val="center"/>
            </w:pPr>
            <w:r>
              <w:rPr>
                <w:rFonts w:ascii="Arial" w:cs="Arial" w:eastAsia="Arial" w:hAnsi="Arial"/>
                <w:sz w:val="36"/>
                <w:szCs w:val="36"/>
              </w:rPr>
              <w:t xml:space="preserve">📱</w:t>
            </w:r>
          </w:p>
          <w:p>
            <w:pPr>
              <w:spacing w:before="0" w:after="6"/>
              <w:jc w:val="center"/>
            </w:pPr>
            <w:r>
              <w:rPr>
                <w:rFonts w:ascii="Arial" w:cs="Arial" w:eastAsia="Arial" w:hAnsi="Arial"/>
                <w:b/>
                <w:bCs/>
                <w:color w:val="FFFFFF"/>
                <w:sz w:val="22"/>
                <w:szCs w:val="22"/>
              </w:rPr>
              <w:t xml:space="preserve">Application Patient</w:t>
            </w:r>
          </w:p>
          <w:p>
            <w:pPr>
              <w:spacing w:before="0" w:after="0"/>
              <w:jc w:val="center"/>
            </w:pPr>
            <w:r>
              <w:rPr>
                <w:rFonts w:ascii="Arial" w:cs="Arial" w:eastAsia="Arial" w:hAnsi="Arial"/>
                <w:i/>
                <w:iCs/>
                <w:color w:val="C8E6E0"/>
                <w:sz w:val="17"/>
                <w:szCs w:val="17"/>
              </w:rPr>
              <w:t xml:space="preserve">Upload bulletin, OCR, suivi agent temps réel, résultats, historique.</w:t>
            </w:r>
          </w:p>
        </w:tc>
        <w:tc>
          <w:tcPr>
            <w:tcBorders>
              <w:top w:val="single" w:color="C2410C" w:sz="4"/>
              <w:left w:val="single" w:color="C2410C" w:sz="4"/>
              <w:bottom w:val="single" w:color="C2410C" w:sz="4"/>
              <w:right w:val="single" w:color="C2410C" w:sz="4"/>
            </w:tcBorders>
            <w:shd w:fill="C2410C" w:val="clear"/>
            <w:tcMar>
              <w:top w:type="dxa" w:w="120"/>
              <w:left w:type="dxa" w:w="120"/>
              <w:bottom w:type="dxa" w:w="120"/>
              <w:right w:type="dxa" w:w="120"/>
            </w:tcMar>
            <w:vAlign w:val="top"/>
          </w:tcPr>
          <w:p>
            <w:pPr>
              <w:spacing w:before="0" w:after="6"/>
              <w:jc w:val="center"/>
            </w:pPr>
            <w:r>
              <w:rPr>
                <w:rFonts w:ascii="Arial" w:cs="Arial" w:eastAsia="Arial" w:hAnsi="Arial"/>
                <w:sz w:val="36"/>
                <w:szCs w:val="36"/>
              </w:rPr>
              <w:t xml:space="preserve">📱</w:t>
            </w:r>
          </w:p>
          <w:p>
            <w:pPr>
              <w:spacing w:before="0" w:after="6"/>
              <w:jc w:val="center"/>
            </w:pPr>
            <w:r>
              <w:rPr>
                <w:rFonts w:ascii="Arial" w:cs="Arial" w:eastAsia="Arial" w:hAnsi="Arial"/>
                <w:b/>
                <w:bCs/>
                <w:color w:val="FFFFFF"/>
                <w:sz w:val="22"/>
                <w:szCs w:val="22"/>
              </w:rPr>
              <w:t xml:space="preserve">Application Agent</w:t>
            </w:r>
          </w:p>
          <w:p>
            <w:pPr>
              <w:spacing w:before="0" w:after="0"/>
              <w:jc w:val="center"/>
            </w:pPr>
            <w:r>
              <w:rPr>
                <w:rFonts w:ascii="Arial" w:cs="Arial" w:eastAsia="Arial" w:hAnsi="Arial"/>
                <w:i/>
                <w:iCs/>
                <w:color w:val="C8E6E0"/>
                <w:sz w:val="17"/>
                <w:szCs w:val="17"/>
              </w:rPr>
              <w:t xml:space="preserve">Tournée, examens OCR, saisie rattrapage, encaissement terrain, revenus, stock.</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8.2 Fonctionnalités — Back-office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Module</w:t>
            </w:r>
          </w:p>
        </w:tc>
        <w:tc>
          <w:tcPr>
            <w:tcW w:type="dxa" w:w="71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Fonctionnalités clés</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Tableau de bord</w:t>
            </w:r>
          </w:p>
        </w:tc>
        <w:tc>
          <w:tcPr>
            <w:tcW w:type="dxa" w:w="7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KPIs temps réel, stat OCR (auto/manuel/agent), alertes examens manquants, pipeline assurances</w:t>
            </w:r>
          </w:p>
        </w:tc>
      </w:tr>
      <w:tr>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Dossiers patients</w:t>
            </w:r>
          </w:p>
        </w:tc>
        <w:tc>
          <w:tcPr>
            <w:tcW w:type="dxa" w:w="7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Création avec upload + OCR, source des examens tracée, documents uploadés visibles</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Assurances</w:t>
            </w:r>
          </w:p>
        </w:tc>
        <w:tc>
          <w:tcPr>
            <w:tcW w:type="dxa" w:w="7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Workflow 5 étapes accéléré (upload dès RDV), saisie validation examen par examen</w:t>
            </w:r>
          </w:p>
        </w:tc>
      </w:tr>
      <w:tr>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Paiements</w:t>
            </w:r>
          </w:p>
        </w:tc>
        <w:tc>
          <w:tcPr>
            <w:tcW w:type="dxa" w:w="7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Historique encaissements sur place, rapprochement assurance, CA temps réel</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Agents &amp; Tournées</w:t>
            </w:r>
          </w:p>
        </w:tc>
        <w:tc>
          <w:tcPr>
            <w:tcW w:type="dxa" w:w="7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Attribution missions, examens OCR visibles, alertes examens manquants, validation missions</w:t>
            </w:r>
          </w:p>
        </w:tc>
      </w:tr>
      <w:tr>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Stock matériel</w:t>
            </w:r>
          </w:p>
        </w:tc>
        <w:tc>
          <w:tcPr>
            <w:tcW w:type="dxa" w:w="7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Inventaire par agent, alertes seuil bas, demandes réapprovisionnement</w:t>
            </w:r>
          </w:p>
        </w:tc>
      </w:tr>
      <w:tr>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Rapports</w:t>
            </w:r>
          </w:p>
        </w:tc>
        <w:tc>
          <w:tcPr>
            <w:tcW w:type="dxa" w:w="7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 sources OCR (%), examens populaires, répartition communes, revenus agents</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8.3 Fonctionnalités — Application Patient</w:t>
      </w:r>
    </w:p>
    <w:p>
      <w:pPr>
        <w:pStyle w:val="Heading3"/>
        <w:spacing w:before="220" w:after="70"/>
      </w:pPr>
      <w:r>
        <w:rPr>
          <w:rFonts w:ascii="Arial" w:cs="Arial" w:eastAsia="Arial" w:hAnsi="Arial"/>
          <w:b/>
          <w:bCs/>
          <w:color w:val="0A6E5C"/>
          <w:sz w:val="26"/>
          <w:szCs w:val="26"/>
        </w:rPr>
        <w:t xml:space="preserve">Onglet 'Mon RDV' (nouveau)</w:t>
      </w:r>
    </w:p>
    <w:p>
      <w:pPr>
        <w:pStyle w:val="ListParagraph"/>
        <w:numPr>
          <w:ilvl w:val="0"/>
          <w:numId w:val="2"/>
        </w:numPr>
        <w:spacing w:before="40" w:after="40"/>
      </w:pPr>
      <w:r>
        <w:rPr>
          <w:rFonts w:ascii="Arial" w:cs="Arial" w:eastAsia="Arial" w:hAnsi="Arial"/>
          <w:color w:val="1A2B26"/>
          <w:sz w:val="22"/>
          <w:szCs w:val="22"/>
        </w:rPr>
        <w:t xml:space="preserve">Upload bulletin d'analyses (photo ou PDF) — déclenche l'OCR automatique</w:t>
      </w:r>
    </w:p>
    <w:p>
      <w:pPr>
        <w:pStyle w:val="ListParagraph"/>
        <w:numPr>
          <w:ilvl w:val="0"/>
          <w:numId w:val="2"/>
        </w:numPr>
        <w:spacing w:before="40" w:after="40"/>
      </w:pPr>
      <w:r>
        <w:rPr>
          <w:rFonts w:ascii="Arial" w:cs="Arial" w:eastAsia="Arial" w:hAnsi="Arial"/>
          <w:color w:val="1A2B26"/>
          <w:sz w:val="22"/>
          <w:szCs w:val="22"/>
        </w:rPr>
        <w:t xml:space="preserve">Animation de scan OCR avec extraction des examens en temps réel</w:t>
      </w:r>
    </w:p>
    <w:p>
      <w:pPr>
        <w:pStyle w:val="ListParagraph"/>
        <w:numPr>
          <w:ilvl w:val="0"/>
          <w:numId w:val="2"/>
        </w:numPr>
        <w:spacing w:before="40" w:after="40"/>
      </w:pPr>
      <w:r>
        <w:rPr>
          <w:rFonts w:ascii="Arial" w:cs="Arial" w:eastAsia="Arial" w:hAnsi="Arial"/>
          <w:color w:val="1A2B26"/>
          <w:sz w:val="22"/>
          <w:szCs w:val="22"/>
        </w:rPr>
        <w:t xml:space="preserve">Confirmation/correction des examens détectés — désélection d'erreurs possible</w:t>
      </w:r>
    </w:p>
    <w:p>
      <w:pPr>
        <w:pStyle w:val="ListParagraph"/>
        <w:numPr>
          <w:ilvl w:val="0"/>
          <w:numId w:val="2"/>
        </w:numPr>
        <w:spacing w:before="40" w:after="40"/>
      </w:pPr>
      <w:r>
        <w:rPr>
          <w:rFonts w:ascii="Arial" w:cs="Arial" w:eastAsia="Arial" w:hAnsi="Arial"/>
          <w:color w:val="1A2B26"/>
          <w:sz w:val="22"/>
          <w:szCs w:val="22"/>
        </w:rPr>
        <w:t xml:space="preserve">Sélection manuelle depuis le catalogue si pas de bulletin ou OCR insuffisant</w:t>
      </w:r>
    </w:p>
    <w:p>
      <w:pPr>
        <w:pStyle w:val="ListParagraph"/>
        <w:numPr>
          <w:ilvl w:val="0"/>
          <w:numId w:val="2"/>
        </w:numPr>
        <w:spacing w:before="40" w:after="40"/>
      </w:pPr>
      <w:r>
        <w:rPr>
          <w:rFonts w:ascii="Arial" w:cs="Arial" w:eastAsia="Arial" w:hAnsi="Arial"/>
          <w:color w:val="1A2B26"/>
          <w:sz w:val="22"/>
          <w:szCs w:val="22"/>
        </w:rPr>
        <w:t xml:space="preserve">Upload carte assurance + pièce d'identité pour soumission anticipée</w:t>
      </w:r>
    </w:p>
    <w:p>
      <w:pPr>
        <w:pStyle w:val="ListParagraph"/>
        <w:numPr>
          <w:ilvl w:val="0"/>
          <w:numId w:val="2"/>
        </w:numPr>
        <w:spacing w:before="40" w:after="40"/>
      </w:pPr>
      <w:r>
        <w:rPr>
          <w:rFonts w:ascii="Arial" w:cs="Arial" w:eastAsia="Arial" w:hAnsi="Arial"/>
          <w:color w:val="1A2B26"/>
          <w:sz w:val="22"/>
          <w:szCs w:val="22"/>
        </w:rPr>
        <w:t xml:space="preserve">Message de confirmation : 'Votre agent connaîtra vos examens avant d'arriver'</w:t>
      </w:r>
    </w:p>
    <w:p>
      <w:pPr>
        <w:spacing w:before="60" w:after="60"/>
      </w:pPr>
    </w:p>
    <w:p>
      <w:pPr>
        <w:pStyle w:val="Heading3"/>
        <w:spacing w:before="220" w:after="70"/>
      </w:pPr>
      <w:r>
        <w:rPr>
          <w:rFonts w:ascii="Arial" w:cs="Arial" w:eastAsia="Arial" w:hAnsi="Arial"/>
          <w:b/>
          <w:bCs/>
          <w:color w:val="0A6E5C"/>
          <w:sz w:val="26"/>
          <w:szCs w:val="26"/>
        </w:rPr>
        <w:t xml:space="preserve">Onglet 'Suivi' (temps réel)</w:t>
      </w:r>
    </w:p>
    <w:p>
      <w:pPr>
        <w:pStyle w:val="ListParagraph"/>
        <w:numPr>
          <w:ilvl w:val="0"/>
          <w:numId w:val="2"/>
        </w:numPr>
        <w:spacing w:before="40" w:after="40"/>
      </w:pPr>
      <w:r>
        <w:rPr>
          <w:rFonts w:ascii="Arial" w:cs="Arial" w:eastAsia="Arial" w:hAnsi="Arial"/>
          <w:color w:val="1A2B26"/>
          <w:sz w:val="22"/>
          <w:szCs w:val="22"/>
        </w:rPr>
        <w:t xml:space="preserve">Résumé des documents uploadés et statut OCR</w:t>
      </w:r>
    </w:p>
    <w:p>
      <w:pPr>
        <w:pStyle w:val="ListParagraph"/>
        <w:numPr>
          <w:ilvl w:val="0"/>
          <w:numId w:val="2"/>
        </w:numPr>
        <w:spacing w:before="40" w:after="40"/>
      </w:pPr>
      <w:r>
        <w:rPr>
          <w:rFonts w:ascii="Arial" w:cs="Arial" w:eastAsia="Arial" w:hAnsi="Arial"/>
          <w:color w:val="1A2B26"/>
          <w:sz w:val="22"/>
          <w:szCs w:val="22"/>
        </w:rPr>
        <w:t xml:space="preserve">Carte animée avec position de l'agent et ETA décomptant</w:t>
      </w:r>
    </w:p>
    <w:p>
      <w:pPr>
        <w:pStyle w:val="ListParagraph"/>
        <w:numPr>
          <w:ilvl w:val="0"/>
          <w:numId w:val="2"/>
        </w:numPr>
        <w:spacing w:before="40" w:after="40"/>
      </w:pPr>
      <w:r>
        <w:rPr>
          <w:rFonts w:ascii="Arial" w:cs="Arial" w:eastAsia="Arial" w:hAnsi="Arial"/>
          <w:color w:val="1A2B26"/>
          <w:sz w:val="22"/>
          <w:szCs w:val="22"/>
        </w:rPr>
        <w:t xml:space="preserve">Timeline : RDV → Docs uploadés → OCR → Assurance soumise → Agent en route → Prélèvement → Paiement → Résultats</w:t>
      </w:r>
    </w:p>
    <w:p>
      <w:pPr>
        <w:pStyle w:val="ListParagraph"/>
        <w:numPr>
          <w:ilvl w:val="0"/>
          <w:numId w:val="2"/>
        </w:numPr>
        <w:spacing w:before="40" w:after="40"/>
      </w:pPr>
      <w:r>
        <w:rPr>
          <w:rFonts w:ascii="Arial" w:cs="Arial" w:eastAsia="Arial" w:hAnsi="Arial"/>
          <w:color w:val="1A2B26"/>
          <w:sz w:val="22"/>
          <w:szCs w:val="22"/>
        </w:rPr>
        <w:t xml:space="preserve">Information sur le montant à payer (si assurance déjà validée)</w:t>
      </w:r>
    </w:p>
    <w:p>
      <w:pPr>
        <w:spacing w:before="60" w:after="60"/>
      </w:pPr>
    </w:p>
    <w:p>
      <w:pPr>
        <w:pStyle w:val="Heading3"/>
        <w:spacing w:before="220" w:after="70"/>
      </w:pPr>
      <w:r>
        <w:rPr>
          <w:rFonts w:ascii="Arial" w:cs="Arial" w:eastAsia="Arial" w:hAnsi="Arial"/>
          <w:b/>
          <w:bCs/>
          <w:color w:val="0A6E5C"/>
          <w:sz w:val="26"/>
          <w:szCs w:val="26"/>
        </w:rPr>
        <w:t xml:space="preserve">Onglet 'Résultats'</w:t>
      </w:r>
    </w:p>
    <w:p>
      <w:pPr>
        <w:pStyle w:val="ListParagraph"/>
        <w:numPr>
          <w:ilvl w:val="0"/>
          <w:numId w:val="2"/>
        </w:numPr>
        <w:spacing w:before="40" w:after="40"/>
      </w:pPr>
      <w:r>
        <w:rPr>
          <w:rFonts w:ascii="Arial" w:cs="Arial" w:eastAsia="Arial" w:hAnsi="Arial"/>
          <w:color w:val="1A2B26"/>
          <w:sz w:val="22"/>
          <w:szCs w:val="22"/>
        </w:rPr>
        <w:t xml:space="preserve">Valeurs par examen avec unités et intervalles de référence</w:t>
      </w:r>
    </w:p>
    <w:p>
      <w:pPr>
        <w:pStyle w:val="ListParagraph"/>
        <w:numPr>
          <w:ilvl w:val="0"/>
          <w:numId w:val="2"/>
        </w:numPr>
        <w:spacing w:before="40" w:after="40"/>
      </w:pPr>
      <w:r>
        <w:rPr>
          <w:rFonts w:ascii="Arial" w:cs="Arial" w:eastAsia="Arial" w:hAnsi="Arial"/>
          <w:color w:val="1A2B26"/>
          <w:sz w:val="22"/>
          <w:szCs w:val="22"/>
        </w:rPr>
        <w:t xml:space="preserve">Code couleur vert (normal) / orange (hors norme) — avertissement si valeurs critiques</w:t>
      </w:r>
    </w:p>
    <w:p>
      <w:pPr>
        <w:pStyle w:val="ListParagraph"/>
        <w:numPr>
          <w:ilvl w:val="0"/>
          <w:numId w:val="2"/>
        </w:numPr>
        <w:spacing w:before="40" w:after="40"/>
      </w:pPr>
      <w:r>
        <w:rPr>
          <w:rFonts w:ascii="Arial" w:cs="Arial" w:eastAsia="Arial" w:hAnsi="Arial"/>
          <w:color w:val="1A2B26"/>
          <w:sz w:val="22"/>
          <w:szCs w:val="22"/>
        </w:rPr>
        <w:t xml:space="preserve">PDF téléchargeable et partageable</w:t>
      </w:r>
    </w:p>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8.4 Fonctionnalités — Application Agent</w:t>
      </w:r>
    </w:p>
    <w:p>
      <w:pPr>
        <w:pStyle w:val="Heading3"/>
        <w:spacing w:before="220" w:after="70"/>
      </w:pPr>
      <w:r>
        <w:rPr>
          <w:rFonts w:ascii="Arial" w:cs="Arial" w:eastAsia="Arial" w:hAnsi="Arial"/>
          <w:b/>
          <w:bCs/>
          <w:color w:val="0A6E5C"/>
          <w:sz w:val="26"/>
          <w:szCs w:val="26"/>
        </w:rPr>
        <w:t xml:space="preserve">Onglet 'Tournée'</w:t>
      </w:r>
    </w:p>
    <w:p>
      <w:pPr>
        <w:pStyle w:val="ListParagraph"/>
        <w:numPr>
          <w:ilvl w:val="0"/>
          <w:numId w:val="2"/>
        </w:numPr>
        <w:spacing w:before="40" w:after="40"/>
      </w:pPr>
      <w:r>
        <w:rPr>
          <w:rFonts w:ascii="Arial" w:cs="Arial" w:eastAsia="Arial" w:hAnsi="Arial"/>
          <w:color w:val="1A2B26"/>
          <w:sz w:val="22"/>
          <w:szCs w:val="22"/>
        </w:rPr>
        <w:t xml:space="preserve">Liste des missions avec badge source OCR (🤖 Auto / ✋ Patient / 🏍️ Agent)</w:t>
      </w:r>
    </w:p>
    <w:p>
      <w:pPr>
        <w:pStyle w:val="ListParagraph"/>
        <w:numPr>
          <w:ilvl w:val="0"/>
          <w:numId w:val="2"/>
        </w:numPr>
        <w:spacing w:before="40" w:after="40"/>
      </w:pPr>
      <w:r>
        <w:rPr>
          <w:rFonts w:ascii="Arial" w:cs="Arial" w:eastAsia="Arial" w:hAnsi="Arial"/>
          <w:color w:val="1A2B26"/>
          <w:sz w:val="22"/>
          <w:szCs w:val="22"/>
        </w:rPr>
        <w:t xml:space="preserve">Examens affichés AVANT la visite — préparation des tubes possible en amont</w:t>
      </w:r>
    </w:p>
    <w:p>
      <w:pPr>
        <w:pStyle w:val="ListParagraph"/>
        <w:numPr>
          <w:ilvl w:val="0"/>
          <w:numId w:val="2"/>
        </w:numPr>
        <w:spacing w:before="40" w:after="40"/>
      </w:pPr>
      <w:r>
        <w:rPr>
          <w:rFonts w:ascii="Arial" w:cs="Arial" w:eastAsia="Arial" w:hAnsi="Arial"/>
          <w:color w:val="1A2B26"/>
          <w:sz w:val="22"/>
          <w:szCs w:val="22"/>
        </w:rPr>
        <w:t xml:space="preserve">Alerte si aucun examen défini → grille de saisie directement dans la mission</w:t>
      </w:r>
    </w:p>
    <w:p>
      <w:pPr>
        <w:pStyle w:val="ListParagraph"/>
        <w:numPr>
          <w:ilvl w:val="0"/>
          <w:numId w:val="2"/>
        </w:numPr>
        <w:spacing w:before="40" w:after="40"/>
      </w:pPr>
      <w:r>
        <w:rPr>
          <w:rFonts w:ascii="Arial" w:cs="Arial" w:eastAsia="Arial" w:hAnsi="Arial"/>
          <w:color w:val="1A2B26"/>
          <w:sz w:val="22"/>
          <w:szCs w:val="22"/>
        </w:rPr>
        <w:t xml:space="preserve">Statut assurance visible : en attente / validée totale / validée partielle + montant</w:t>
      </w:r>
    </w:p>
    <w:p>
      <w:pPr>
        <w:pStyle w:val="ListParagraph"/>
        <w:numPr>
          <w:ilvl w:val="0"/>
          <w:numId w:val="2"/>
        </w:numPr>
        <w:spacing w:before="40" w:after="40"/>
      </w:pPr>
      <w:r>
        <w:rPr>
          <w:rFonts w:ascii="Arial" w:cs="Arial" w:eastAsia="Arial" w:hAnsi="Arial"/>
          <w:color w:val="1A2B26"/>
          <w:sz w:val="22"/>
          <w:szCs w:val="22"/>
        </w:rPr>
        <w:t xml:space="preserve">Bouton 'Prélèvement fait · Encaisser' → modal de paiement sombre dédié</w:t>
      </w:r>
    </w:p>
    <w:p>
      <w:pPr>
        <w:spacing w:before="60" w:after="60"/>
      </w:pPr>
    </w:p>
    <w:p>
      <w:pPr>
        <w:pStyle w:val="Heading3"/>
        <w:spacing w:before="220" w:after="70"/>
      </w:pPr>
      <w:r>
        <w:rPr>
          <w:rFonts w:ascii="Arial" w:cs="Arial" w:eastAsia="Arial" w:hAnsi="Arial"/>
          <w:b/>
          <w:bCs/>
          <w:color w:val="0A6E5C"/>
          <w:sz w:val="26"/>
          <w:szCs w:val="26"/>
        </w:rPr>
        <w:t xml:space="preserve">Modal de paiement agent (après prélèvement)</w:t>
      </w:r>
    </w:p>
    <w:p>
      <w:pPr>
        <w:pStyle w:val="ListParagraph"/>
        <w:numPr>
          <w:ilvl w:val="0"/>
          <w:numId w:val="2"/>
        </w:numPr>
        <w:spacing w:before="40" w:after="40"/>
      </w:pPr>
      <w:r>
        <w:rPr>
          <w:rFonts w:ascii="Arial" w:cs="Arial" w:eastAsia="Arial" w:hAnsi="Arial"/>
          <w:color w:val="1A2B26"/>
          <w:sz w:val="22"/>
          <w:szCs w:val="22"/>
        </w:rPr>
        <w:t xml:space="preserve">Détail des examens : couverts (barré + quote-part) vs non couverts (plein tarif)</w:t>
      </w:r>
    </w:p>
    <w:p>
      <w:pPr>
        <w:pStyle w:val="ListParagraph"/>
        <w:numPr>
          <w:ilvl w:val="0"/>
          <w:numId w:val="2"/>
        </w:numPr>
        <w:spacing w:before="40" w:after="40"/>
      </w:pPr>
      <w:r>
        <w:rPr>
          <w:rFonts w:ascii="Arial" w:cs="Arial" w:eastAsia="Arial" w:hAnsi="Arial"/>
          <w:color w:val="1A2B26"/>
          <w:sz w:val="22"/>
          <w:szCs w:val="22"/>
        </w:rPr>
        <w:t xml:space="preserve">Total à encaisser affiché en grand — part assurance déduite si validée</w:t>
      </w:r>
    </w:p>
    <w:p>
      <w:pPr>
        <w:pStyle w:val="ListParagraph"/>
        <w:numPr>
          <w:ilvl w:val="0"/>
          <w:numId w:val="2"/>
        </w:numPr>
        <w:spacing w:before="40" w:after="40"/>
      </w:pPr>
      <w:r>
        <w:rPr>
          <w:rFonts w:ascii="Arial" w:cs="Arial" w:eastAsia="Arial" w:hAnsi="Arial"/>
          <w:color w:val="1A2B26"/>
          <w:sz w:val="22"/>
          <w:szCs w:val="22"/>
        </w:rPr>
        <w:t xml:space="preserve">4 modes de paiement : Cash, Orange Money, MTN, Wave</w:t>
      </w:r>
    </w:p>
    <w:p>
      <w:pPr>
        <w:pStyle w:val="ListParagraph"/>
        <w:numPr>
          <w:ilvl w:val="0"/>
          <w:numId w:val="2"/>
        </w:numPr>
        <w:spacing w:before="40" w:after="40"/>
      </w:pPr>
      <w:r>
        <w:rPr>
          <w:rFonts w:ascii="Arial" w:cs="Arial" w:eastAsia="Arial" w:hAnsi="Arial"/>
          <w:color w:val="1A2B26"/>
          <w:sz w:val="22"/>
          <w:szCs w:val="22"/>
        </w:rPr>
        <w:t xml:space="preserve">Confirmation → revenus mis à jour instantanément dans l'onglet Revenus</w:t>
      </w:r>
    </w:p>
    <w:p>
      <w:pPr>
        <w:spacing w:before="60" w:after="60"/>
      </w:pPr>
    </w:p>
    <w:p>
      <w:pPr>
        <w:pStyle w:val="Heading3"/>
        <w:spacing w:before="220" w:after="70"/>
      </w:pPr>
      <w:r>
        <w:rPr>
          <w:rFonts w:ascii="Arial" w:cs="Arial" w:eastAsia="Arial" w:hAnsi="Arial"/>
          <w:b/>
          <w:bCs/>
          <w:color w:val="0A6E5C"/>
          <w:sz w:val="26"/>
          <w:szCs w:val="26"/>
        </w:rPr>
        <w:t xml:space="preserve">Onglet 'Revenus'</w:t>
      </w:r>
    </w:p>
    <w:p>
      <w:pPr>
        <w:pStyle w:val="ListParagraph"/>
        <w:numPr>
          <w:ilvl w:val="0"/>
          <w:numId w:val="2"/>
        </w:numPr>
        <w:spacing w:before="40" w:after="40"/>
      </w:pPr>
      <w:r>
        <w:rPr>
          <w:rFonts w:ascii="Arial" w:cs="Arial" w:eastAsia="Arial" w:hAnsi="Arial"/>
          <w:color w:val="1A2B26"/>
          <w:sz w:val="22"/>
          <w:szCs w:val="22"/>
        </w:rPr>
        <w:t xml:space="preserve">Montant gagné en temps réel — incrémenté à chaque encaissement confirmé</w:t>
      </w:r>
    </w:p>
    <w:p>
      <w:pPr>
        <w:pStyle w:val="ListParagraph"/>
        <w:numPr>
          <w:ilvl w:val="0"/>
          <w:numId w:val="2"/>
        </w:numPr>
        <w:spacing w:before="40" w:after="40"/>
      </w:pPr>
      <w:r>
        <w:rPr>
          <w:rFonts w:ascii="Arial" w:cs="Arial" w:eastAsia="Arial" w:hAnsi="Arial"/>
          <w:color w:val="1A2B26"/>
          <w:sz w:val="22"/>
          <w:szCs w:val="22"/>
        </w:rPr>
        <w:t xml:space="preserve">Barre de progression vers l'objectif journalier</w:t>
      </w:r>
    </w:p>
    <w:p>
      <w:pPr>
        <w:pStyle w:val="ListParagraph"/>
        <w:numPr>
          <w:ilvl w:val="0"/>
          <w:numId w:val="2"/>
        </w:numPr>
        <w:spacing w:before="40" w:after="40"/>
      </w:pPr>
      <w:r>
        <w:rPr>
          <w:rFonts w:ascii="Arial" w:cs="Arial" w:eastAsia="Arial" w:hAnsi="Arial"/>
          <w:color w:val="1A2B26"/>
          <w:sz w:val="22"/>
          <w:szCs w:val="22"/>
        </w:rPr>
        <w:t xml:space="preserve">Historique détaillé : patient, examens, montant, heure, mode de paiement</w:t>
      </w:r>
    </w:p>
    <w:p>
      <w:pPr>
        <w:spacing w:before="60" w:after="60"/>
      </w:pPr>
    </w:p>
    <w:p>
      <w:pPr>
        <w:pStyle w:val="Heading3"/>
        <w:spacing w:before="220" w:after="70"/>
      </w:pPr>
      <w:r>
        <w:rPr>
          <w:rFonts w:ascii="Arial" w:cs="Arial" w:eastAsia="Arial" w:hAnsi="Arial"/>
          <w:b/>
          <w:bCs/>
          <w:color w:val="0A6E5C"/>
          <w:sz w:val="26"/>
          <w:szCs w:val="26"/>
        </w:rPr>
        <w:t xml:space="preserve">Onglet 'Matériel'</w:t>
      </w:r>
    </w:p>
    <w:p>
      <w:pPr>
        <w:pStyle w:val="ListParagraph"/>
        <w:numPr>
          <w:ilvl w:val="0"/>
          <w:numId w:val="2"/>
        </w:numPr>
        <w:spacing w:before="40" w:after="40"/>
      </w:pPr>
      <w:r>
        <w:rPr>
          <w:rFonts w:ascii="Arial" w:cs="Arial" w:eastAsia="Arial" w:hAnsi="Arial"/>
          <w:color w:val="1A2B26"/>
          <w:sz w:val="22"/>
          <w:szCs w:val="22"/>
        </w:rPr>
        <w:t xml:space="preserve">Stock en temps réel avec barres de niveau color-codées (vert/orange/rouge)</w:t>
      </w:r>
    </w:p>
    <w:p>
      <w:pPr>
        <w:pStyle w:val="ListParagraph"/>
        <w:numPr>
          <w:ilvl w:val="0"/>
          <w:numId w:val="2"/>
        </w:numPr>
        <w:spacing w:before="40" w:after="40"/>
      </w:pPr>
      <w:r>
        <w:rPr>
          <w:rFonts w:ascii="Arial" w:cs="Arial" w:eastAsia="Arial" w:hAnsi="Arial"/>
          <w:color w:val="1A2B26"/>
          <w:sz w:val="22"/>
          <w:szCs w:val="22"/>
        </w:rPr>
        <w:t xml:space="preserve">Alerte badge sur l'onglet si stock critique</w:t>
      </w:r>
    </w:p>
    <w:p>
      <w:pPr>
        <w:pStyle w:val="ListParagraph"/>
        <w:numPr>
          <w:ilvl w:val="0"/>
          <w:numId w:val="2"/>
        </w:numPr>
        <w:spacing w:before="40" w:after="40"/>
      </w:pPr>
      <w:r>
        <w:rPr>
          <w:rFonts w:ascii="Arial" w:cs="Arial" w:eastAsia="Arial" w:hAnsi="Arial"/>
          <w:color w:val="1A2B26"/>
          <w:sz w:val="22"/>
          <w:szCs w:val="22"/>
        </w:rPr>
        <w:t xml:space="preserve">Bouton de demande de réapprovisionnement</w:t>
      </w:r>
    </w:p>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9 — RESSOURCES HUMAINES ET FORMATION</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9.1 Plan de recrutement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800"/>
        <w:gridCol w:w="3560"/>
      </w:tblGrid>
      <w:tr>
        <w:trPr>
          <w:tblHeader/>
        </w:trPr>
        <w:tc>
          <w:tcPr>
            <w:tcW w:type="dxa" w:w="24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Poste</w:t>
            </w:r>
          </w:p>
        </w:tc>
        <w:tc>
          <w:tcPr>
            <w:tcW w:type="dxa" w:w="6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Nb</w:t>
            </w:r>
          </w:p>
        </w:tc>
        <w:tc>
          <w:tcPr>
            <w:tcW w:type="dxa" w:w="2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Profil requis</w:t>
            </w:r>
          </w:p>
        </w:tc>
        <w:tc>
          <w:tcPr>
            <w:tcW w:type="dxa" w:w="35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Rémunération (XOF/mois)</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Directeur Général</w:t>
            </w:r>
          </w:p>
        </w:tc>
        <w:tc>
          <w:tcPr>
            <w:tcW w:type="dxa" w:w="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Expérience gestion santé ou startup</w:t>
            </w:r>
          </w:p>
        </w:tc>
        <w:tc>
          <w:tcPr>
            <w:tcW w:type="dxa" w:w="3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Selon profil</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Coordinateur Opérations</w:t>
            </w:r>
          </w:p>
        </w:tc>
        <w:tc>
          <w:tcPr>
            <w:tcW w:type="dxa" w:w="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Logistique, gestion terrain</w:t>
            </w:r>
          </w:p>
        </w:tc>
        <w:tc>
          <w:tcPr>
            <w:tcW w:type="dxa" w:w="3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300 000 – 450 000</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Agent de prélèvement</w:t>
            </w:r>
          </w:p>
        </w:tc>
        <w:tc>
          <w:tcPr>
            <w:tcW w:type="dxa" w:w="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à 5</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BTS Analyses Biologiques + permis moto</w:t>
            </w:r>
          </w:p>
        </w:tc>
        <w:tc>
          <w:tcPr>
            <w:tcW w:type="dxa" w:w="3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150 000 + prime/acte + commission encaissement</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Responsable Admin/Finance</w:t>
            </w:r>
          </w:p>
        </w:tc>
        <w:tc>
          <w:tcPr>
            <w:tcW w:type="dxa" w:w="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Comptabilité, gestion assurances</w:t>
            </w:r>
          </w:p>
        </w:tc>
        <w:tc>
          <w:tcPr>
            <w:tcW w:type="dxa" w:w="3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250 000 – 350 000</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Chargé Relation Client</w:t>
            </w:r>
          </w:p>
        </w:tc>
        <w:tc>
          <w:tcPr>
            <w:tcW w:type="dxa" w:w="6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Service client, maîtrise app mobile</w:t>
            </w:r>
          </w:p>
        </w:tc>
        <w:tc>
          <w:tcPr>
            <w:tcW w:type="dxa" w:w="3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180 000 – 250 000</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Développeur / Prestataire tech</w:t>
            </w:r>
          </w:p>
        </w:tc>
        <w:tc>
          <w:tcPr>
            <w:tcW w:type="dxa" w:w="6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(externe)</w:t>
            </w:r>
          </w:p>
        </w:tc>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React Native, Node.js, OCR API, BDD</w:t>
            </w:r>
          </w:p>
        </w:tc>
        <w:tc>
          <w:tcPr>
            <w:tcW w:type="dxa" w:w="3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Forfait ou TJM</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9.2 Programme de formation agents — 6 jours</w:t>
      </w:r>
    </w:p>
    <w:tbl>
      <w:tblPr>
        <w:tblW w:type="dxa" w:w="9360"/>
        <w:tblBorders>
          <w:top w:val="single" w:color="0A6E5C" w:sz="6"/>
          <w:left w:val="single" w:color="0A6E5C" w:sz="6"/>
          <w:bottom w:val="single" w:color="0A6E5C" w:sz="6"/>
          <w:right w:val="single" w:color="0A6E5C" w:sz="6"/>
          <w:insideH w:val="single" w:color="auto" w:sz="4"/>
          <w:insideV w:val="single" w:color="auto" w:sz="4"/>
        </w:tblBorders>
      </w:tblPr>
      <w:tblGrid>
        <w:gridCol w:w="9360"/>
      </w:tblGrid>
      <w:tr>
        <w:tc>
          <w:tcPr>
            <w:tcBorders>
              <w:top w:val="single" w:color="0A6E5C" w:sz="4"/>
              <w:left w:val="single" w:color="0A6E5C" w:sz="4"/>
              <w:bottom w:val="single" w:color="0A6E5C" w:sz="4"/>
              <w:right w:val="single" w:color="0A6E5C" w:sz="4"/>
            </w:tcBorders>
            <w:shd w:fill="0A6E5C"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Règle : formation obligatoire avant toute mission terrain</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Score minimum requis : 75/100. L'agent ne part sur le terrain qu'après validation complète.</w:t>
            </w:r>
          </w:p>
        </w:tc>
      </w:tr>
      <w:tr>
        <w:tc>
          <w:tcPr>
            <w:tcBorders>
              <w:top w:val="single" w:color="0A6E5C" w:sz="4"/>
              <w:left w:val="single" w:color="0A6E5C" w:sz="4"/>
              <w:bottom w:val="single" w:color="0A6E5C" w:sz="4"/>
              <w:right w:val="single" w:color="0A6E5C" w:sz="4"/>
            </w:tcBorders>
            <w:shd w:fill="E8F5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Nouveau : Module 6 dédié à l'application agent (OCR, saisie examens, paiement terrain).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900"/>
        <w:gridCol w:w="2560"/>
      </w:tblGrid>
      <w:tr>
        <w:trPr>
          <w:tblHeader/>
        </w:trPr>
        <w:tc>
          <w:tcPr>
            <w:tcW w:type="dxa" w:w="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Jour</w:t>
            </w:r>
          </w:p>
        </w:tc>
        <w:tc>
          <w:tcPr>
            <w:tcW w:type="dxa" w:w="2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Module</w:t>
            </w:r>
          </w:p>
        </w:tc>
        <w:tc>
          <w:tcPr>
            <w:tcW w:type="dxa" w:w="3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Contenu</w:t>
            </w:r>
          </w:p>
        </w:tc>
        <w:tc>
          <w:tcPr>
            <w:tcW w:type="dxa" w:w="25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Évaluation</w:t>
            </w:r>
          </w:p>
        </w:tc>
      </w:tr>
      <w:tr>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1</w:t>
            </w:r>
          </w:p>
        </w:tc>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Protocoles de prélèvement</w:t>
            </w:r>
          </w:p>
        </w:tc>
        <w:tc>
          <w:tcPr>
            <w:tcW w:type="dxa" w:w="3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Phlébotomie, types de tubes, order of draw, gestion DASRI</w:t>
            </w:r>
          </w:p>
        </w:tc>
        <w:tc>
          <w:tcPr>
            <w:tcW w:type="dxa" w:w="2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Test pratique</w:t>
            </w:r>
          </w:p>
        </w:tc>
      </w:tr>
      <w:tr>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2</w:t>
            </w:r>
          </w:p>
        </w:tc>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Hygiène &amp; Sécurité</w:t>
            </w:r>
          </w:p>
        </w:tc>
        <w:tc>
          <w:tcPr>
            <w:tcW w:type="dxa" w:w="3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EPI, contamination, transport biologique, chaîne du froid</w:t>
            </w:r>
          </w:p>
        </w:tc>
        <w:tc>
          <w:tcPr>
            <w:tcW w:type="dxa" w:w="2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QCM</w:t>
            </w:r>
          </w:p>
        </w:tc>
      </w:tr>
      <w:tr>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3</w:t>
            </w:r>
          </w:p>
        </w:tc>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Application mobile agent</w:t>
            </w:r>
          </w:p>
        </w:tc>
        <w:tc>
          <w:tcPr>
            <w:tcW w:type="dxa" w:w="3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Navigation, consultation missions, source OCR, saisie examens de rattrapage</w:t>
            </w:r>
          </w:p>
        </w:tc>
        <w:tc>
          <w:tcPr>
            <w:tcW w:type="dxa" w:w="2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Simulation</w:t>
            </w:r>
          </w:p>
        </w:tc>
      </w:tr>
      <w:tr>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4</w:t>
            </w:r>
          </w:p>
        </w:tc>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Relation patient</w:t>
            </w:r>
          </w:p>
        </w:tc>
        <w:tc>
          <w:tcPr>
            <w:tcW w:type="dxa" w:w="3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Communication, empathie, gestion des refus, confidentialité</w:t>
            </w:r>
          </w:p>
        </w:tc>
        <w:tc>
          <w:tcPr>
            <w:tcW w:type="dxa" w:w="2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Jeu de rôle</w:t>
            </w:r>
          </w:p>
        </w:tc>
      </w:tr>
      <w:tr>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5</w:t>
            </w:r>
          </w:p>
        </w:tc>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Assurances &amp; Documents</w:t>
            </w:r>
          </w:p>
        </w:tc>
        <w:tc>
          <w:tcPr>
            <w:tcW w:type="dxa" w:w="3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Vérification uploads patient, docs manquants, interprétation statut assurance</w:t>
            </w:r>
          </w:p>
        </w:tc>
        <w:tc>
          <w:tcPr>
            <w:tcW w:type="dxa" w:w="2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Cas pratiques</w:t>
            </w:r>
          </w:p>
        </w:tc>
      </w:tr>
      <w:tr>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Jour 6</w:t>
            </w:r>
          </w:p>
        </w:tc>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Encaissement terrain</w:t>
            </w:r>
          </w:p>
        </w:tc>
        <w:tc>
          <w:tcPr>
            <w:tcW w:type="dxa" w:w="3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Lecture montant sur app, modes de paiement mobile, reçu numérique, litiges</w:t>
            </w:r>
          </w:p>
        </w:tc>
        <w:tc>
          <w:tcPr>
            <w:tcW w:type="dxa" w:w="2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Simulation complète</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10 — STOCK, MATÉRIEL ET LOGISTIQUE</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10.1 Kit standard agent Prelevia — par journée</w:t>
      </w:r>
    </w:p>
    <w:p>
      <w:pPr>
        <w:spacing w:before="60" w:after="80"/>
        <w:jc w:val="both"/>
      </w:pPr>
      <w:r>
        <w:rPr>
          <w:rFonts w:ascii="Arial" w:cs="Arial" w:eastAsia="Arial" w:hAnsi="Arial"/>
          <w:color w:val="1A2B26"/>
          <w:sz w:val="22"/>
          <w:szCs w:val="22"/>
        </w:rPr>
        <w:t xml:space="preserve">Grâce à l'OCR, l'agent connaît les examens à l'avance et peut préparer exactement les bons tubes avant de partir. Cela réduit le gaspillage de consommables et optimise le stock.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3160"/>
      </w:tblGrid>
      <w:tr>
        <w:trPr>
          <w:tblHeader/>
        </w:trPr>
        <w:tc>
          <w:tcPr>
            <w:tcW w:type="dxa" w:w="24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Matériel</w:t>
            </w:r>
          </w:p>
        </w:tc>
        <w:tc>
          <w:tcPr>
            <w:tcW w:type="dxa" w:w="1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Quantité/jour</w:t>
            </w:r>
          </w:p>
        </w:tc>
        <w:tc>
          <w:tcPr>
            <w:tcW w:type="dxa" w:w="1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Seuil alerte</w:t>
            </w:r>
          </w:p>
        </w:tc>
        <w:tc>
          <w:tcPr>
            <w:tcW w:type="dxa" w:w="31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Fréquence réappro</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Tubes EDTA (violet)</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 – 25</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8</w:t>
            </w:r>
          </w:p>
        </w:tc>
        <w:tc>
          <w:tcPr>
            <w:tcW w:type="dxa" w:w="3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Hebdomadaire</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Tubes SST / sec (rouge)</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10 – 15</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w:t>
            </w:r>
          </w:p>
        </w:tc>
        <w:tc>
          <w:tcPr>
            <w:tcW w:type="dxa" w:w="3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Hebdomadaire</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Tubes citrate (bleu)</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 – 10</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w:t>
            </w:r>
          </w:p>
        </w:tc>
        <w:tc>
          <w:tcPr>
            <w:tcW w:type="dxa" w:w="3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Hebdomadaire</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Aiguilles 21G</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 – 20</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6</w:t>
            </w:r>
          </w:p>
        </w:tc>
        <w:tc>
          <w:tcPr>
            <w:tcW w:type="dxa" w:w="3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Quotidien si forte activité</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Compresses stériles</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30 – 40</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10</w:t>
            </w:r>
          </w:p>
        </w:tc>
        <w:tc>
          <w:tcPr>
            <w:tcW w:type="dxa" w:w="3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Hebdomadaire</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Gel hydroalcoolique</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flacon</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À moitié vide</w:t>
            </w:r>
          </w:p>
        </w:tc>
        <w:tc>
          <w:tcPr>
            <w:tcW w:type="dxa" w:w="3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À chaque rotation</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Étiquettes code-barres</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30 – 50</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w:t>
            </w:r>
          </w:p>
        </w:tc>
        <w:tc>
          <w:tcPr>
            <w:tcW w:type="dxa" w:w="3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Hebdomadaire</w:t>
            </w:r>
          </w:p>
        </w:tc>
      </w:tr>
      <w:tr>
        <w:tc>
          <w:tcPr>
            <w:tcW w:type="dxa" w:w="24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Conteneur DASRI mini</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w:t>
            </w:r>
          </w:p>
        </w:tc>
        <w:tc>
          <w:tcPr>
            <w:tcW w:type="dxa" w:w="1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Plein à 3/4</w:t>
            </w:r>
          </w:p>
        </w:tc>
        <w:tc>
          <w:tcPr>
            <w:tcW w:type="dxa" w:w="3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Chaque fin de journée</w:t>
            </w:r>
          </w:p>
        </w:tc>
      </w:tr>
      <w:tr>
        <w:tc>
          <w:tcPr>
            <w:tcW w:type="dxa" w:w="24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Glacière isotherme + accumulateurs</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(durable)</w:t>
            </w:r>
          </w:p>
        </w:tc>
        <w:tc>
          <w:tcPr>
            <w:tcW w:type="dxa" w:w="1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w:t>
            </w:r>
          </w:p>
        </w:tc>
        <w:tc>
          <w:tcPr>
            <w:tcW w:type="dxa" w:w="3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Vérification mensuelle</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10.2 Procédure de réapprovisionnement</w:t>
      </w:r>
    </w:p>
    <w:p>
      <w:pPr>
        <w:pStyle w:val="ListParagraph"/>
        <w:numPr>
          <w:ilvl w:val="0"/>
          <w:numId w:val="4"/>
        </w:numPr>
        <w:spacing w:before="50" w:after="50"/>
      </w:pPr>
      <w:r>
        <w:rPr>
          <w:rFonts w:ascii="Arial" w:cs="Arial" w:eastAsia="Arial" w:hAnsi="Arial"/>
          <w:color w:val="1A2B26"/>
          <w:sz w:val="22"/>
          <w:szCs w:val="22"/>
        </w:rPr>
        <w:t xml:space="preserve">L'agent signale un stock bas depuis l'application mobile (bouton dédié)</w:t>
      </w:r>
    </w:p>
    <w:p>
      <w:pPr>
        <w:pStyle w:val="ListParagraph"/>
        <w:numPr>
          <w:ilvl w:val="0"/>
          <w:numId w:val="4"/>
        </w:numPr>
        <w:spacing w:before="50" w:after="50"/>
      </w:pPr>
      <w:r>
        <w:rPr>
          <w:rFonts w:ascii="Arial" w:cs="Arial" w:eastAsia="Arial" w:hAnsi="Arial"/>
          <w:color w:val="1A2B26"/>
          <w:sz w:val="22"/>
          <w:szCs w:val="22"/>
        </w:rPr>
        <w:t xml:space="preserve">La demande est reçue par le coordinateur sur le back-office web</w:t>
      </w:r>
    </w:p>
    <w:p>
      <w:pPr>
        <w:pStyle w:val="ListParagraph"/>
        <w:numPr>
          <w:ilvl w:val="0"/>
          <w:numId w:val="4"/>
        </w:numPr>
        <w:spacing w:before="50" w:after="50"/>
      </w:pPr>
      <w:r>
        <w:rPr>
          <w:rFonts w:ascii="Arial" w:cs="Arial" w:eastAsia="Arial" w:hAnsi="Arial"/>
          <w:color w:val="1A2B26"/>
          <w:sz w:val="22"/>
          <w:szCs w:val="22"/>
        </w:rPr>
        <w:t xml:space="preserve">Le coordinateur valide et prépare le kit de réapprovisionnement</w:t>
      </w:r>
    </w:p>
    <w:p>
      <w:pPr>
        <w:pStyle w:val="ListParagraph"/>
        <w:numPr>
          <w:ilvl w:val="0"/>
          <w:numId w:val="4"/>
        </w:numPr>
        <w:spacing w:before="50" w:after="50"/>
      </w:pPr>
      <w:r>
        <w:rPr>
          <w:rFonts w:ascii="Arial" w:cs="Arial" w:eastAsia="Arial" w:hAnsi="Arial"/>
          <w:color w:val="1A2B26"/>
          <w:sz w:val="22"/>
          <w:szCs w:val="22"/>
        </w:rPr>
        <w:t xml:space="preserve">L'agent récupère son kit à un point de dépôt désigné ou via livraison interne</w:t>
      </w:r>
    </w:p>
    <w:p>
      <w:pPr>
        <w:pStyle w:val="ListParagraph"/>
        <w:numPr>
          <w:ilvl w:val="0"/>
          <w:numId w:val="4"/>
        </w:numPr>
        <w:spacing w:before="50" w:after="50"/>
      </w:pPr>
      <w:r>
        <w:rPr>
          <w:rFonts w:ascii="Arial" w:cs="Arial" w:eastAsia="Arial" w:hAnsi="Arial"/>
          <w:color w:val="1A2B26"/>
          <w:sz w:val="22"/>
          <w:szCs w:val="22"/>
        </w:rPr>
        <w:t xml:space="preserve">Le stock est mis à jour dans le système après récupération confirmée</w:t>
      </w:r>
    </w:p>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10.3 Chaîne du froid — Règles absolues</w:t>
      </w:r>
    </w:p>
    <w:tbl>
      <w:tblPr>
        <w:tblW w:type="dxa" w:w="9360"/>
        <w:tblBorders>
          <w:top w:val="single" w:color="991B1B" w:sz="6"/>
          <w:left w:val="single" w:color="991B1B" w:sz="6"/>
          <w:bottom w:val="single" w:color="991B1B" w:sz="6"/>
          <w:right w:val="single" w:color="991B1B" w:sz="6"/>
          <w:insideH w:val="single" w:color="auto" w:sz="4"/>
          <w:insideV w:val="single" w:color="auto" w:sz="4"/>
        </w:tblBorders>
      </w:tblPr>
      <w:tblGrid>
        <w:gridCol w:w="9360"/>
      </w:tblGrid>
      <w:tr>
        <w:tc>
          <w:tcPr>
            <w:tcBorders>
              <w:top w:val="single" w:color="991B1B" w:sz="4"/>
              <w:left w:val="single" w:color="991B1B" w:sz="4"/>
              <w:bottom w:val="single" w:color="991B1B" w:sz="4"/>
              <w:right w:val="single" w:color="991B1B" w:sz="4"/>
            </w:tcBorders>
            <w:shd w:fill="991B1B"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Règle critique — Non négociable</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Délai maximum d'acheminement au laboratoire : 2 heures après prélèvement (la plupart des analyses).</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Tubes d'hémostase (citrate) : acheminement dans l'heure.</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Température maintenue entre 2°C et 8°C dans la glacière isotherme.</w:t>
            </w:r>
          </w:p>
        </w:tc>
      </w:tr>
      <w:tr>
        <w:tc>
          <w:tcPr>
            <w:tcBorders>
              <w:top w:val="single" w:color="991B1B" w:sz="4"/>
              <w:left w:val="single" w:color="991B1B" w:sz="4"/>
              <w:bottom w:val="single" w:color="991B1B" w:sz="4"/>
              <w:right w:val="single" w:color="991B1B" w:sz="4"/>
            </w:tcBorders>
            <w:shd w:fill="FEF2F2"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Tout prélèvement hors délai ou hors température doit être signalé et non analysé.</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11 — FINANCE ET PROJECTIONS</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11.1 Investissement initial estimé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rPr>
          <w:tblHeader/>
        </w:trPr>
        <w:tc>
          <w:tcPr>
            <w:tcW w:type="dxa" w:w="4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Poste de dépense</w:t>
            </w:r>
          </w:p>
        </w:tc>
        <w:tc>
          <w:tcPr>
            <w:tcW w:type="dxa" w:w="3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Montant estimé (XOF)</w:t>
            </w:r>
          </w:p>
        </w:tc>
        <w:tc>
          <w:tcPr>
            <w:tcW w:type="dxa" w:w="21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Priorité</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Création SARL + immatriculation</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150 000 – 250 000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Obligatoire</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Convention partenariat Labo Maison Blanche</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100 000 – 200 000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Obligatoire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Développement app mobile Patient + Agent (avec OCR)</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3 000 000 – 7 000 000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Développement back-office web</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1 000 000 – 3 000 000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API OCR (ex: Google Vision, AWS Textract) — 12 mois</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200 000 – 500 000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Hébergement &amp; infrastructure cloud — 12 mois</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300 000 – 600 000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Kits de prélèvement × 5 agents (3 mois de stock)</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500 000 – 800 000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Glacières isothermes × 5</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250 000 – 400 000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Critique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Motos / véhicules agents (location ou achat)</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600 000 – 2 000 000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Important</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Formation agents (6 jours × 5 agents)</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200 000 – 400 000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Obligatoire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Marketing lancement (digital + terrain Yopougon)</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300 000 – 600 000</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Important</w:t>
            </w:r>
          </w:p>
        </w:tc>
      </w:tr>
      <w:tr>
        <w:tc>
          <w:tcPr>
            <w:tcW w:type="dxa" w:w="4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Fonds de roulement (3 mois de charges fixes)</w:t>
            </w:r>
          </w:p>
        </w:tc>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2 000 000 – 3 000 000</w:t>
            </w:r>
          </w:p>
        </w:tc>
        <w:tc>
          <w:tcPr>
            <w:tcW w:type="dxa" w:w="2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Obligatoire</w:t>
            </w:r>
          </w:p>
        </w:tc>
      </w:tr>
      <w:tr>
        <w:tc>
          <w:tcPr>
            <w:tcW w:type="dxa" w:w="4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TOTAL ESTIMÉ</w:t>
            </w:r>
          </w:p>
        </w:tc>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8 600 000 – 18 750 000 XOF</w:t>
            </w:r>
          </w:p>
        </w:tc>
        <w:tc>
          <w:tcPr>
            <w:tcW w:type="dxa" w:w="2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11.2 Grille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80"/>
        <w:gridCol w:w="2680"/>
      </w:tblGrid>
      <w:tr>
        <w:trPr>
          <w:tblHeader/>
        </w:trPr>
        <w:tc>
          <w:tcPr>
            <w:tcW w:type="dxa" w:w="3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Prestation</w:t>
            </w:r>
          </w:p>
        </w:tc>
        <w:tc>
          <w:tcPr>
            <w:tcW w:type="dxa" w:w="288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Tarif HT (XOF)</w:t>
            </w:r>
          </w:p>
        </w:tc>
        <w:tc>
          <w:tcPr>
            <w:tcW w:type="dxa" w:w="268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Dont frais domicile</w:t>
            </w:r>
          </w:p>
        </w:tc>
      </w:tr>
      <w:tr>
        <w:tc>
          <w:tcPr>
            <w:tcW w:type="dxa" w:w="3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NFS (Numération Formule Sanguine)</w:t>
            </w:r>
          </w:p>
        </w:tc>
        <w:tc>
          <w:tcPr>
            <w:tcW w:type="dxa" w:w="28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4 500 – 5 500</w:t>
            </w:r>
          </w:p>
        </w:tc>
        <w:tc>
          <w:tcPr>
            <w:tcW w:type="dxa" w:w="26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Glycémie à jeun</w:t>
            </w:r>
          </w:p>
        </w:tc>
        <w:tc>
          <w:tcPr>
            <w:tcW w:type="dxa" w:w="28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3 000 – 3 500</w:t>
            </w:r>
          </w:p>
        </w:tc>
        <w:tc>
          <w:tcPr>
            <w:tcW w:type="dxa" w:w="26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Bilan lipidique complet</w:t>
            </w:r>
          </w:p>
        </w:tc>
        <w:tc>
          <w:tcPr>
            <w:tcW w:type="dxa" w:w="28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7 500 – 9 000</w:t>
            </w:r>
          </w:p>
        </w:tc>
        <w:tc>
          <w:tcPr>
            <w:tcW w:type="dxa" w:w="26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TSH / T4 libre</w:t>
            </w:r>
          </w:p>
        </w:tc>
        <w:tc>
          <w:tcPr>
            <w:tcW w:type="dxa" w:w="28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9 000 – 12 000</w:t>
            </w:r>
          </w:p>
        </w:tc>
        <w:tc>
          <w:tcPr>
            <w:tcW w:type="dxa" w:w="26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HbA1c</w:t>
            </w:r>
          </w:p>
        </w:tc>
        <w:tc>
          <w:tcPr>
            <w:tcW w:type="dxa" w:w="28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10 000 – 14 000</w:t>
            </w:r>
          </w:p>
        </w:tc>
        <w:tc>
          <w:tcPr>
            <w:tcW w:type="dxa" w:w="26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Bilan rénal</w:t>
            </w:r>
          </w:p>
        </w:tc>
        <w:tc>
          <w:tcPr>
            <w:tcW w:type="dxa" w:w="28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5 000 – 7 000</w:t>
            </w:r>
          </w:p>
        </w:tc>
        <w:tc>
          <w:tcPr>
            <w:tcW w:type="dxa" w:w="26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ECBU</w:t>
            </w:r>
          </w:p>
        </w:tc>
        <w:tc>
          <w:tcPr>
            <w:tcW w:type="dxa" w:w="28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5 000 – 6 500</w:t>
            </w:r>
          </w:p>
        </w:tc>
        <w:tc>
          <w:tcPr>
            <w:tcW w:type="dxa" w:w="268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1 000 – 1 500</w:t>
            </w:r>
          </w:p>
        </w:tc>
      </w:tr>
      <w:tr>
        <w:tc>
          <w:tcPr>
            <w:tcW w:type="dxa" w:w="3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Bilan complet (package)</w:t>
            </w:r>
          </w:p>
        </w:tc>
        <w:tc>
          <w:tcPr>
            <w:tcW w:type="dxa" w:w="28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25 000 – 35 000</w:t>
            </w:r>
          </w:p>
        </w:tc>
        <w:tc>
          <w:tcPr>
            <w:tcW w:type="dxa" w:w="268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1 500 – 2 000</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11.3 Projections financières —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2000"/>
        <w:gridCol w:w="1660"/>
      </w:tblGrid>
      <w:tr>
        <w:trPr>
          <w:tblHeader/>
        </w:trPr>
        <w:tc>
          <w:tcPr>
            <w:tcW w:type="dxa" w:w="2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Période</w:t>
            </w:r>
          </w:p>
        </w:tc>
        <w:tc>
          <w:tcPr>
            <w:tcW w:type="dxa" w:w="15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Patients/jour</w:t>
            </w:r>
          </w:p>
        </w:tc>
        <w:tc>
          <w:tcPr>
            <w:tcW w:type="dxa" w:w="2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CA mensuel (XOF)</w:t>
            </w:r>
          </w:p>
        </w:tc>
        <w:tc>
          <w:tcPr>
            <w:tcW w:type="dxa" w:w="20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Charges (XOF)</w:t>
            </w:r>
          </w:p>
        </w:tc>
        <w:tc>
          <w:tcPr>
            <w:tcW w:type="dxa" w:w="16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Résultat</w:t>
            </w:r>
          </w:p>
        </w:tc>
      </w:tr>
      <w:tr>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M1 – M2 (lancement)</w:t>
            </w:r>
          </w:p>
        </w:tc>
        <w:tc>
          <w:tcPr>
            <w:tcW w:type="dxa" w:w="15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 5</w:t>
            </w:r>
          </w:p>
        </w:tc>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450 000 – 750 000</w:t>
            </w:r>
          </w:p>
        </w:tc>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1 500 000 – 2 000 000</w:t>
            </w:r>
          </w:p>
        </w:tc>
        <w:tc>
          <w:tcPr>
            <w:tcW w:type="dxa" w:w="16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Déficitaire</w:t>
            </w:r>
          </w:p>
        </w:tc>
      </w:tr>
      <w:tr>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M3 – M4 (montée en charge)</w:t>
            </w:r>
          </w:p>
        </w:tc>
        <w:tc>
          <w:tcPr>
            <w:tcW w:type="dxa" w:w="15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8 – 12</w:t>
            </w:r>
          </w:p>
        </w:tc>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1 200 000 – 1 800 000</w:t>
            </w:r>
          </w:p>
        </w:tc>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1 500 000 – 2 000 000</w:t>
            </w:r>
          </w:p>
        </w:tc>
        <w:tc>
          <w:tcPr>
            <w:tcW w:type="dxa" w:w="16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Équilibre</w:t>
            </w:r>
          </w:p>
        </w:tc>
      </w:tr>
      <w:tr>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M5 – M8 (croissance)</w:t>
            </w:r>
          </w:p>
        </w:tc>
        <w:tc>
          <w:tcPr>
            <w:tcW w:type="dxa" w:w="15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15 – 20</w:t>
            </w:r>
          </w:p>
        </w:tc>
        <w:tc>
          <w:tcPr>
            <w:tcW w:type="dxa" w:w="2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2 250 000 – 3 000 000</w:t>
            </w:r>
          </w:p>
        </w:tc>
        <w:tc>
          <w:tcPr>
            <w:tcW w:type="dxa" w:w="20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1 800 000 – 2 500 000</w:t>
            </w:r>
          </w:p>
        </w:tc>
        <w:tc>
          <w:tcPr>
            <w:tcW w:type="dxa" w:w="16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+500k à +1,2M</w:t>
            </w:r>
          </w:p>
        </w:tc>
      </w:tr>
      <w:tr>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M9 – M12 (consolidation)</w:t>
            </w:r>
          </w:p>
        </w:tc>
        <w:tc>
          <w:tcPr>
            <w:tcW w:type="dxa" w:w="15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22 – 30</w:t>
            </w:r>
          </w:p>
        </w:tc>
        <w:tc>
          <w:tcPr>
            <w:tcW w:type="dxa" w:w="2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3 300 000 – 4 500 000</w:t>
            </w:r>
          </w:p>
        </w:tc>
        <w:tc>
          <w:tcPr>
            <w:tcW w:type="dxa" w:w="20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2 000 000 – 3 000 000</w:t>
            </w:r>
          </w:p>
        </w:tc>
        <w:tc>
          <w:tcPr>
            <w:tcW w:type="dxa" w:w="16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+1M à +2,5M</w:t>
            </w:r>
          </w:p>
        </w:tc>
      </w:tr>
    </w:tbl>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12 — PLAN DE LANCEMENT PHASE PAR PHASE</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12.1 Calendrier — 12 mois</w:t>
      </w:r>
    </w:p>
    <w:p>
      <w:pPr>
        <w:spacing w:before="60" w:after="60"/>
      </w:pPr>
    </w:p>
    <w:p>
      <w:pPr>
        <w:pBdr>
          <w:left w:val="single" w:color="F4A726" w:sz="8"/>
        </w:pBdr>
        <w:shd w:fill="064D40" w:val="clear"/>
        <w:spacing w:before="200" w:after="0"/>
        <w:ind w:left="200" w:right="200"/>
      </w:pPr>
      <w:r>
        <w:rPr>
          <w:rFonts w:ascii="Arial" w:cs="Arial" w:eastAsia="Arial" w:hAnsi="Arial"/>
          <w:b/>
          <w:bCs/>
          <w:color w:val="FFFFFF"/>
          <w:sz w:val="24"/>
          <w:szCs w:val="24"/>
        </w:rPr>
        <w:t xml:space="preserve">MOIS 1 – 2 : FONDATIONS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4D40" w:sz="8"/>
              <w:left w:val="single" w:color="064D40" w:sz="8"/>
              <w:bottom w:val="single" w:color="064D40" w:sz="8"/>
              <w:right w:val="single" w:color="064D40"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Création de la SARL Prelevia et immatriculation RCCM au Tribunal de commerce d'Abidjan</w:t>
            </w:r>
          </w:p>
        </w:tc>
      </w:tr>
      <w:tr>
        <w:tc>
          <w:tcPr>
            <w:tcBorders>
              <w:top w:val="single" w:color="064D40" w:sz="8"/>
              <w:left w:val="single" w:color="064D40" w:sz="8"/>
              <w:bottom w:val="single" w:color="064D40" w:sz="8"/>
              <w:right w:val="single" w:color="064D40"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Négociation et signature de la convention de partenariat avec le Labo Maison Blanche</w:t>
            </w:r>
          </w:p>
        </w:tc>
      </w:tr>
      <w:tr>
        <w:tc>
          <w:tcPr>
            <w:tcBorders>
              <w:top w:val="single" w:color="064D40" w:sz="8"/>
              <w:left w:val="single" w:color="064D40" w:sz="8"/>
              <w:bottom w:val="single" w:color="064D40" w:sz="8"/>
              <w:right w:val="single" w:color="064D40"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Recrutement des 3 premiers agents de prélèvement + personnel administratif</w:t>
            </w:r>
          </w:p>
        </w:tc>
      </w:tr>
      <w:tr>
        <w:tc>
          <w:tcPr>
            <w:tcBorders>
              <w:top w:val="single" w:color="064D40" w:sz="8"/>
              <w:left w:val="single" w:color="064D40" w:sz="8"/>
              <w:bottom w:val="single" w:color="064D40" w:sz="8"/>
              <w:right w:val="single" w:color="064D40"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Commande du matériel initial : kits, glacières, équipements EPI</w:t>
            </w:r>
          </w:p>
        </w:tc>
      </w:tr>
      <w:tr>
        <w:tc>
          <w:tcPr>
            <w:tcBorders>
              <w:top w:val="single" w:color="064D40" w:sz="8"/>
              <w:left w:val="single" w:color="064D40" w:sz="8"/>
              <w:bottom w:val="single" w:color="064D40" w:sz="8"/>
              <w:right w:val="single" w:color="064D40"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Démarrage du développement de la plateforme digitale (app + back-office + OCR)</w:t>
            </w:r>
          </w:p>
        </w:tc>
      </w:tr>
      <w:tr>
        <w:tc>
          <w:tcPr>
            <w:tcBorders>
              <w:top w:val="single" w:color="064D40" w:sz="8"/>
              <w:left w:val="single" w:color="064D40" w:sz="8"/>
              <w:bottom w:val="single" w:color="064D40" w:sz="8"/>
              <w:right w:val="single" w:color="064D40"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Définition de la charte graphique et identité visuelle Prelevia</w:t>
            </w:r>
          </w:p>
        </w:tc>
      </w:tr>
    </w:tbl>
    <w:p>
      <w:pPr>
        <w:spacing w:before="60" w:after="60"/>
      </w:pPr>
    </w:p>
    <w:p>
      <w:pPr>
        <w:pBdr>
          <w:left w:val="single" w:color="F4A726" w:sz="8"/>
        </w:pBdr>
        <w:shd w:fill="0A6E5C" w:val="clear"/>
        <w:spacing w:before="200" w:after="0"/>
        <w:ind w:left="200" w:right="200"/>
      </w:pPr>
      <w:r>
        <w:rPr>
          <w:rFonts w:ascii="Arial" w:cs="Arial" w:eastAsia="Arial" w:hAnsi="Arial"/>
          <w:b/>
          <w:bCs/>
          <w:color w:val="FFFFFF"/>
          <w:sz w:val="24"/>
          <w:szCs w:val="24"/>
        </w:rPr>
        <w:t xml:space="preserve">MOIS 3 : FORMATION ET TESTS PILOTES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E5C" w:sz="8"/>
              <w:left w:val="single" w:color="0A6E5C" w:sz="8"/>
              <w:bottom w:val="single" w:color="0A6E5C" w:sz="8"/>
              <w:right w:val="single" w:color="0A6E5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Formation complète des agents sur 6 jours (voir Partie 9 — nouveau module encaissement et OCR)</w:t>
            </w:r>
          </w:p>
        </w:tc>
      </w:tr>
      <w:tr>
        <w:tc>
          <w:tcPr>
            <w:tcBorders>
              <w:top w:val="single" w:color="0A6E5C" w:sz="8"/>
              <w:left w:val="single" w:color="0A6E5C" w:sz="8"/>
              <w:bottom w:val="single" w:color="0A6E5C" w:sz="8"/>
              <w:right w:val="single" w:color="0A6E5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Tests pilotes avec 10 à 20 patients volontaires du réseau proche</w:t>
            </w:r>
          </w:p>
        </w:tc>
      </w:tr>
      <w:tr>
        <w:tc>
          <w:tcPr>
            <w:tcBorders>
              <w:top w:val="single" w:color="0A6E5C" w:sz="8"/>
              <w:left w:val="single" w:color="0A6E5C" w:sz="8"/>
              <w:bottom w:val="single" w:color="0A6E5C" w:sz="8"/>
              <w:right w:val="single" w:color="0A6E5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Mise en production de la version bêta du back-office web et de l'app agent</w:t>
            </w:r>
          </w:p>
        </w:tc>
      </w:tr>
      <w:tr>
        <w:tc>
          <w:tcPr>
            <w:tcBorders>
              <w:top w:val="single" w:color="0A6E5C" w:sz="8"/>
              <w:left w:val="single" w:color="0A6E5C" w:sz="8"/>
              <w:bottom w:val="single" w:color="0A6E5C" w:sz="8"/>
              <w:right w:val="single" w:color="0A6E5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Tests de l'OCR sur des bulletins réels — calibrage des erreurs de reconnaissance</w:t>
            </w:r>
          </w:p>
        </w:tc>
      </w:tr>
      <w:tr>
        <w:tc>
          <w:tcPr>
            <w:tcBorders>
              <w:top w:val="single" w:color="0A6E5C" w:sz="8"/>
              <w:left w:val="single" w:color="0A6E5C" w:sz="8"/>
              <w:bottom w:val="single" w:color="0A6E5C" w:sz="8"/>
              <w:right w:val="single" w:color="0A6E5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Tests de l'encaissement sur place : Cash, Orange Money, MTN, Wave</w:t>
            </w:r>
          </w:p>
        </w:tc>
      </w:tr>
      <w:tr>
        <w:tc>
          <w:tcPr>
            <w:tcBorders>
              <w:top w:val="single" w:color="0A6E5C" w:sz="8"/>
              <w:left w:val="single" w:color="0A6E5C" w:sz="8"/>
              <w:bottom w:val="single" w:color="0A6E5C" w:sz="8"/>
              <w:right w:val="single" w:color="0A6E5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Correction des bugs et ajustements des protocoles opérationnels</w:t>
            </w:r>
          </w:p>
        </w:tc>
      </w:tr>
    </w:tbl>
    <w:p>
      <w:pPr>
        <w:spacing w:before="60" w:after="60"/>
      </w:pPr>
    </w:p>
    <w:p>
      <w:pPr>
        <w:pBdr>
          <w:left w:val="single" w:color="F4A726" w:sz="8"/>
        </w:pBdr>
        <w:shd w:fill="1E40AF" w:val="clear"/>
        <w:spacing w:before="200" w:after="0"/>
        <w:ind w:left="200" w:right="200"/>
      </w:pPr>
      <w:r>
        <w:rPr>
          <w:rFonts w:ascii="Arial" w:cs="Arial" w:eastAsia="Arial" w:hAnsi="Arial"/>
          <w:b/>
          <w:bCs/>
          <w:color w:val="FFFFFF"/>
          <w:sz w:val="24"/>
          <w:szCs w:val="24"/>
        </w:rPr>
        <w:t xml:space="preserve">MOIS 4 : LANCEMENT OFFICIEL — YOPOUGON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single" w:color="1E40AF" w:sz="8"/>
              <w:bottom w:val="single" w:color="1E40AF" w:sz="8"/>
              <w:right w:val="single" w:color="1E40AF"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Lancement officiel du service sur la commune de Yopougon</w:t>
            </w:r>
          </w:p>
        </w:tc>
      </w:tr>
      <w:tr>
        <w:tc>
          <w:tcPr>
            <w:tcBorders>
              <w:top w:val="single" w:color="1E40AF" w:sz="8"/>
              <w:left w:val="single" w:color="1E40AF" w:sz="8"/>
              <w:bottom w:val="single" w:color="1E40AF" w:sz="8"/>
              <w:right w:val="single" w:color="1E40AF"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Campagne marketing de lancement : flyers, réseaux sociaux, WhatsApp Business, cliniques partenaires</w:t>
            </w:r>
          </w:p>
        </w:tc>
      </w:tr>
      <w:tr>
        <w:tc>
          <w:tcPr>
            <w:tcBorders>
              <w:top w:val="single" w:color="1E40AF" w:sz="8"/>
              <w:left w:val="single" w:color="1E40AF" w:sz="8"/>
              <w:bottom w:val="single" w:color="1E40AF" w:sz="8"/>
              <w:right w:val="single" w:color="1E40AF"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Déploiement de l'application patient sur iOS et Android avec la fonctionnalité OCR</w:t>
            </w:r>
          </w:p>
        </w:tc>
      </w:tr>
      <w:tr>
        <w:tc>
          <w:tcPr>
            <w:tcBorders>
              <w:top w:val="single" w:color="1E40AF" w:sz="8"/>
              <w:left w:val="single" w:color="1E40AF" w:sz="8"/>
              <w:bottom w:val="single" w:color="1E40AF" w:sz="8"/>
              <w:right w:val="single" w:color="1E40AF"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Communication sur le partenariat avec le Laboratoire Maison Blanche</w:t>
            </w:r>
          </w:p>
        </w:tc>
      </w:tr>
      <w:tr>
        <w:tc>
          <w:tcPr>
            <w:tcBorders>
              <w:top w:val="single" w:color="1E40AF" w:sz="8"/>
              <w:left w:val="single" w:color="1E40AF" w:sz="8"/>
              <w:bottom w:val="single" w:color="1E40AF" w:sz="8"/>
              <w:right w:val="single" w:color="1E40AF"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Suivi quotidien des KPIs : % OCR réussi, délai soumission assurance, taux paiement immédiat</w:t>
            </w:r>
          </w:p>
        </w:tc>
      </w:tr>
      <w:tr>
        <w:tc>
          <w:tcPr>
            <w:tcBorders>
              <w:top w:val="single" w:color="1E40AF" w:sz="8"/>
              <w:left w:val="single" w:color="1E40AF" w:sz="8"/>
              <w:bottom w:val="single" w:color="1E40AF" w:sz="8"/>
              <w:right w:val="single" w:color="1E40AF"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Ajustements opérationnels en temps réel</w:t>
            </w:r>
          </w:p>
        </w:tc>
      </w:tr>
    </w:tbl>
    <w:p>
      <w:pPr>
        <w:spacing w:before="60" w:after="60"/>
      </w:pPr>
    </w:p>
    <w:p>
      <w:pPr>
        <w:pBdr>
          <w:left w:val="single" w:color="F4A726" w:sz="8"/>
        </w:pBdr>
        <w:shd w:fill="C2410C" w:val="clear"/>
        <w:spacing w:before="200" w:after="0"/>
        <w:ind w:left="200" w:right="200"/>
      </w:pPr>
      <w:r>
        <w:rPr>
          <w:rFonts w:ascii="Arial" w:cs="Arial" w:eastAsia="Arial" w:hAnsi="Arial"/>
          <w:b/>
          <w:bCs/>
          <w:color w:val="FFFFFF"/>
          <w:sz w:val="24"/>
          <w:szCs w:val="24"/>
        </w:rPr>
        <w:t xml:space="preserve">MOIS 5 – 8 : CROISSANCE ET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410C" w:sz="8"/>
              <w:left w:val="single" w:color="C2410C" w:sz="8"/>
              <w:bottom w:val="single" w:color="C2410C" w:sz="8"/>
              <w:right w:val="single" w:color="C2410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Extension à 5 agents opérationnels avec véhicules dédiés</w:t>
            </w:r>
          </w:p>
        </w:tc>
      </w:tr>
      <w:tr>
        <w:tc>
          <w:tcPr>
            <w:tcBorders>
              <w:top w:val="single" w:color="C2410C" w:sz="8"/>
              <w:left w:val="single" w:color="C2410C" w:sz="8"/>
              <w:bottom w:val="single" w:color="C2410C" w:sz="8"/>
              <w:right w:val="single" w:color="C2410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Ouverture progressive aux communes limitrophes : Attécoubé, Abobo</w:t>
            </w:r>
          </w:p>
        </w:tc>
      </w:tr>
      <w:tr>
        <w:tc>
          <w:tcPr>
            <w:tcBorders>
              <w:top w:val="single" w:color="C2410C" w:sz="8"/>
              <w:left w:val="single" w:color="C2410C" w:sz="8"/>
              <w:bottom w:val="single" w:color="C2410C" w:sz="8"/>
              <w:right w:val="single" w:color="C2410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Mise en place des partenariats assurance formels (CNPS, MUGEFCI, Sanlam CI)</w:t>
            </w:r>
          </w:p>
        </w:tc>
      </w:tr>
      <w:tr>
        <w:tc>
          <w:tcPr>
            <w:tcBorders>
              <w:top w:val="single" w:color="C2410C" w:sz="8"/>
              <w:left w:val="single" w:color="C2410C" w:sz="8"/>
              <w:bottom w:val="single" w:color="C2410C" w:sz="8"/>
              <w:right w:val="single" w:color="C2410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Amélioration de l'algorithme OCR basé sur les retours terrain (erreurs fréquentes corrigées)</w:t>
            </w:r>
          </w:p>
        </w:tc>
      </w:tr>
      <w:tr>
        <w:tc>
          <w:tcPr>
            <w:tcBorders>
              <w:top w:val="single" w:color="C2410C" w:sz="8"/>
              <w:left w:val="single" w:color="C2410C" w:sz="8"/>
              <w:bottom w:val="single" w:color="C2410C" w:sz="8"/>
              <w:right w:val="single" w:color="C2410C"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Lancement des packages bilans complets à tarifs préférentiels</w:t>
            </w:r>
          </w:p>
        </w:tc>
      </w:tr>
      <w:tr>
        <w:tc>
          <w:tcPr>
            <w:tcBorders>
              <w:top w:val="single" w:color="C2410C" w:sz="8"/>
              <w:left w:val="single" w:color="C2410C" w:sz="8"/>
              <w:bottom w:val="single" w:color="C2410C" w:sz="8"/>
              <w:right w:val="single" w:color="C2410C"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Premier bilan financier trimestriel — ajustement tarifaire si nécessaire</w:t>
            </w:r>
          </w:p>
        </w:tc>
      </w:tr>
    </w:tbl>
    <w:p>
      <w:pPr>
        <w:spacing w:before="60" w:after="60"/>
      </w:pPr>
    </w:p>
    <w:p>
      <w:pPr>
        <w:pBdr>
          <w:left w:val="single" w:color="F4A726" w:sz="8"/>
        </w:pBdr>
        <w:shd w:fill="F4A726" w:val="clear"/>
        <w:spacing w:before="200" w:after="0"/>
        <w:ind w:left="200" w:right="200"/>
      </w:pPr>
      <w:r>
        <w:rPr>
          <w:rFonts w:ascii="Arial" w:cs="Arial" w:eastAsia="Arial" w:hAnsi="Arial"/>
          <w:b/>
          <w:bCs/>
          <w:color w:val="FFFFFF"/>
          <w:sz w:val="24"/>
          <w:szCs w:val="24"/>
        </w:rPr>
        <w:t xml:space="preserve">MOIS 9 – 12 : PRÉPARATION AUTONOMISATION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726" w:sz="8"/>
              <w:left w:val="single" w:color="F4A726" w:sz="8"/>
              <w:bottom w:val="single" w:color="F4A726" w:sz="8"/>
              <w:right w:val="single" w:color="F4A726"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Dépôt des demandes d'agrément sanitaire propres à Prelevia</w:t>
            </w:r>
          </w:p>
        </w:tc>
      </w:tr>
      <w:tr>
        <w:tc>
          <w:tcPr>
            <w:tcBorders>
              <w:top w:val="single" w:color="F4A726" w:sz="8"/>
              <w:left w:val="single" w:color="F4A726" w:sz="8"/>
              <w:bottom w:val="single" w:color="F4A726" w:sz="8"/>
              <w:right w:val="single" w:color="F4A726"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Négociation des partenariats assurance en direct (sans labo intermédiaire)</w:t>
            </w:r>
          </w:p>
        </w:tc>
      </w:tr>
      <w:tr>
        <w:tc>
          <w:tcPr>
            <w:tcBorders>
              <w:top w:val="single" w:color="F4A726" w:sz="8"/>
              <w:left w:val="single" w:color="F4A726" w:sz="8"/>
              <w:bottom w:val="single" w:color="F4A726" w:sz="8"/>
              <w:right w:val="single" w:color="F4A726"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Recrutement d'un biologiste médical agréé pour la future autonomie</w:t>
            </w:r>
          </w:p>
        </w:tc>
      </w:tr>
      <w:tr>
        <w:tc>
          <w:tcPr>
            <w:tcBorders>
              <w:top w:val="single" w:color="F4A726" w:sz="8"/>
              <w:left w:val="single" w:color="F4A726" w:sz="8"/>
              <w:bottom w:val="single" w:color="F4A726" w:sz="8"/>
              <w:right w:val="single" w:color="F4A726"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Extension géographique à d'autres communes d'Abidjan</w:t>
            </w:r>
          </w:p>
        </w:tc>
      </w:tr>
      <w:tr>
        <w:tc>
          <w:tcPr>
            <w:tcBorders>
              <w:top w:val="single" w:color="F4A726" w:sz="8"/>
              <w:left w:val="single" w:color="F4A726" w:sz="8"/>
              <w:bottom w:val="single" w:color="F4A726" w:sz="8"/>
              <w:right w:val="single" w:color="F4A726" w:sz="8"/>
            </w:tcBorders>
            <w:shd w:fill="F5F7F6"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Développement version 2.0 : OCR amélioré, résultats en app, gestion multi-agents</w:t>
            </w:r>
          </w:p>
        </w:tc>
      </w:tr>
      <w:tr>
        <w:tc>
          <w:tcPr>
            <w:tcBorders>
              <w:top w:val="single" w:color="F4A726" w:sz="8"/>
              <w:left w:val="single" w:color="F4A726" w:sz="8"/>
              <w:bottom w:val="single" w:color="F4A726" w:sz="8"/>
              <w:right w:val="single" w:color="F4A726" w:sz="8"/>
            </w:tcBorders>
            <w:shd w:fill="FFFFFF" w:val="clear"/>
            <w:tcMar>
              <w:top w:type="dxa" w:w="60"/>
              <w:left w:type="dxa" w:w="200"/>
              <w:bottom w:type="dxa" w:w="60"/>
              <w:right w:type="dxa" w:w="140"/>
            </w:tcMar>
            <w:vAlign w:val="top"/>
          </w:tcPr>
          <w:p>
            <w:pPr>
              <w:pStyle w:val="ListParagraph"/>
              <w:numPr>
                <w:ilvl w:val="0"/>
                <w:numId w:val="2"/>
              </w:numPr>
              <w:spacing w:before="40" w:after="40"/>
            </w:pPr>
            <w:r>
              <w:rPr>
                <w:rFonts w:ascii="Arial" w:cs="Arial" w:eastAsia="Arial" w:hAnsi="Arial"/>
                <w:color w:val="1A2B26"/>
                <w:sz w:val="21"/>
                <w:szCs w:val="21"/>
              </w:rPr>
              <w:t xml:space="preserve">Préparation complète de la transition vers l'autonomie (Phase 2)</w:t>
            </w:r>
          </w:p>
        </w:tc>
      </w:tr>
    </w:tbl>
    <w:p>
      <w:pPr>
        <w:spacing w:before="60" w:after="60"/>
      </w:pPr>
    </w:p>
    <w:p>
      <w:pPr>
        <w:spacing w:before="0" w:after="160"/>
      </w:pPr>
    </w:p>
    <w:p>
      <w:pPr>
        <w:spacing w:before="0" w:after="0"/>
      </w:pPr>
      <w:r>
        <w:br w:type="page"/>
      </w:r>
    </w:p>
    <w:p>
      <w:pPr>
        <w:pStyle w:val="Heading1"/>
        <w:pBdr>
          <w:bottom w:val="single" w:color="F4A726" w:sz="8"/>
        </w:pBdr>
        <w:shd w:fill="064D40" w:val="clear"/>
        <w:spacing w:before="400" w:after="200"/>
        <w:ind w:left="200" w:right="200"/>
      </w:pPr>
      <w:r>
        <w:rPr>
          <w:rFonts w:ascii="Arial" w:cs="Arial" w:eastAsia="Arial" w:hAnsi="Arial"/>
          <w:b/>
          <w:bCs/>
          <w:color w:val="FFFFFF"/>
          <w:sz w:val="34"/>
          <w:szCs w:val="34"/>
        </w:rPr>
        <w:t xml:space="preserve">PARTIE 13 — RISQUES ET PLAN DE MITIGATION</w:t>
      </w: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13.1 Matrice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900"/>
        <w:gridCol w:w="4560"/>
      </w:tblGrid>
      <w:tr>
        <w:trPr>
          <w:tblHeader/>
        </w:trPr>
        <w:tc>
          <w:tcPr>
            <w:tcW w:type="dxa" w:w="28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Risque</w:t>
            </w:r>
          </w:p>
        </w:tc>
        <w:tc>
          <w:tcPr>
            <w:tcW w:type="dxa" w:w="11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Probabilité</w:t>
            </w:r>
          </w:p>
        </w:tc>
        <w:tc>
          <w:tcPr>
            <w:tcW w:type="dxa" w:w="9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Impact</w:t>
            </w:r>
          </w:p>
        </w:tc>
        <w:tc>
          <w:tcPr>
            <w:tcW w:type="dxa" w:w="45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Mesure de mitigation</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Retard obtention agréments sanitaires</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Phase 1 sous couverture labo. Dépôt dossiers dès M6.</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Agent indisponible (maladie, accident)</w:t>
            </w:r>
          </w:p>
        </w:tc>
        <w:tc>
          <w:tcPr>
            <w:tcW w:type="dxa" w:w="1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Élevée</w:t>
            </w:r>
          </w:p>
        </w:tc>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w:t>
            </w:r>
          </w:p>
        </w:tc>
        <w:tc>
          <w:tcPr>
            <w:tcW w:type="dxa" w:w="4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Pool de 2 agents réservistes. Planning flexible.</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OCR inexact — examens mal reconnus</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Double confirmation patient + correction agent. Amélioration continue de l'algorithme.</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Patient n'uploade pas son bulletin</w:t>
            </w:r>
          </w:p>
        </w:tc>
        <w:tc>
          <w:tcPr>
            <w:tcW w:type="dxa" w:w="1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Élevée</w:t>
            </w:r>
          </w:p>
        </w:tc>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Faible</w:t>
            </w:r>
          </w:p>
        </w:tc>
        <w:tc>
          <w:tcPr>
            <w:tcW w:type="dxa" w:w="4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L'agent peut saisir les examens sur place. Aucun blocage du service.</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Refus systématique assureur</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Faible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Dossiers bien constitués dès le RDV. Formation collecte docs.</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Résistance culturelle au domicile</w:t>
            </w:r>
          </w:p>
        </w:tc>
        <w:tc>
          <w:tcPr>
            <w:tcW w:type="dxa" w:w="1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w:t>
            </w:r>
          </w:p>
        </w:tc>
        <w:tc>
          <w:tcPr>
            <w:tcW w:type="dxa" w:w="4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Ambassadeurs patients. Témoignages. Prix attractifs.</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Panne de la plateforme digitale</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Backup WhatsApp/téléphone. SLA prestataire tech. Saisie papier d'urgence.</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Rupture stock matériel critique</w:t>
            </w:r>
          </w:p>
        </w:tc>
        <w:tc>
          <w:tcPr>
            <w:tcW w:type="dxa" w:w="1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Faible</w:t>
            </w:r>
          </w:p>
        </w:tc>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Élevé</w:t>
            </w:r>
          </w:p>
        </w:tc>
        <w:tc>
          <w:tcPr>
            <w:tcW w:type="dxa" w:w="4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Alertes système. Seuils minimaux. Fournisseurs alternatifs.</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Non-conformité chaîne du froid</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Faible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Très élevé</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Formation stricte. Contrôle quotidien. Audit mensuel.</w:t>
            </w:r>
          </w:p>
        </w:tc>
      </w:tr>
      <w:tr>
        <w:tc>
          <w:tcPr>
            <w:tcW w:type="dxa" w:w="28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Paiement mobile refusé (réseau)</w:t>
            </w:r>
          </w:p>
        </w:tc>
        <w:tc>
          <w:tcPr>
            <w:tcW w:type="dxa" w:w="11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Faible</w:t>
            </w:r>
          </w:p>
        </w:tc>
        <w:tc>
          <w:tcPr>
            <w:tcW w:type="dxa" w:w="45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Alternative cash toujours disponible. Reçu papier d'urgence.</w:t>
            </w:r>
          </w:p>
        </w:tc>
      </w:tr>
      <w:tr>
        <w:tc>
          <w:tcPr>
            <w:tcW w:type="dxa" w:w="28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Concurrence d'un laboratoire établi</w:t>
            </w:r>
          </w:p>
        </w:tc>
        <w:tc>
          <w:tcPr>
            <w:tcW w:type="dxa" w:w="11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Moyenne</w:t>
            </w:r>
          </w:p>
        </w:tc>
        <w:tc>
          <w:tcPr>
            <w:tcW w:type="dxa" w:w="9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Moyen</w:t>
            </w:r>
          </w:p>
        </w:tc>
        <w:tc>
          <w:tcPr>
            <w:tcW w:type="dxa" w:w="45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Différenciation par OCR, paiement terrain, app patient.</w:t>
            </w:r>
          </w:p>
        </w:tc>
      </w:tr>
    </w:tbl>
    <w:p>
      <w:pPr>
        <w:spacing w:before="100" w:after="100"/>
      </w:pPr>
    </w:p>
    <w:p>
      <w:pPr>
        <w:pStyle w:val="Heading2"/>
        <w:pBdr>
          <w:bottom w:val="single" w:color="0A6E5C" w:sz="4"/>
        </w:pBdr>
        <w:spacing w:before="300" w:after="100"/>
      </w:pPr>
      <w:r>
        <w:rPr>
          <w:rFonts w:ascii="Arial" w:cs="Arial" w:eastAsia="Arial" w:hAnsi="Arial"/>
          <w:b/>
          <w:bCs/>
          <w:color w:val="F4A726"/>
          <w:sz w:val="28"/>
          <w:szCs w:val="28"/>
        </w:rPr>
        <w:t xml:space="preserve">▌ </w:t>
      </w:r>
      <w:r>
        <w:rPr>
          <w:rFonts w:ascii="Arial" w:cs="Arial" w:eastAsia="Arial" w:hAnsi="Arial"/>
          <w:b/>
          <w:bCs/>
          <w:color w:val="064D40"/>
          <w:sz w:val="28"/>
          <w:szCs w:val="28"/>
        </w:rPr>
        <w:t xml:space="preserve">13.2 Plan de continuité d'activité</w:t>
      </w:r>
    </w:p>
    <w:tbl>
      <w:tblPr>
        <w:tblW w:type="dxa" w:w="9360"/>
        <w:tblBorders>
          <w:top w:val="single" w:color="1E40AF" w:sz="6"/>
          <w:left w:val="single" w:color="1E40AF" w:sz="6"/>
          <w:bottom w:val="single" w:color="1E40AF" w:sz="6"/>
          <w:right w:val="single" w:color="1E40AF" w:sz="6"/>
          <w:insideH w:val="single" w:color="auto" w:sz="4"/>
          <w:insideV w:val="single" w:color="auto" w:sz="4"/>
        </w:tblBorders>
      </w:tblPr>
      <w:tblGrid>
        <w:gridCol w:w="9360"/>
      </w:tblGrid>
      <w:tr>
        <w:tc>
          <w:tcPr>
            <w:tcBorders>
              <w:top w:val="single" w:color="1E40AF" w:sz="4"/>
              <w:left w:val="single" w:color="1E40AF" w:sz="4"/>
              <w:bottom w:val="single" w:color="1E40AF" w:sz="4"/>
              <w:right w:val="single" w:color="1E40AF" w:sz="4"/>
            </w:tcBorders>
            <w:shd w:fill="1E40AF" w:val="clear"/>
            <w:tcMar>
              <w:top w:type="dxa" w:w="80"/>
              <w:left w:type="dxa" w:w="160"/>
              <w:bottom w:type="dxa" w:w="80"/>
              <w:right w:type="dxa" w:w="160"/>
            </w:tcMar>
            <w:vAlign w:val="top"/>
          </w:tcPr>
          <w:p>
            <w:pPr>
              <w:spacing w:before="0" w:after="0"/>
              <w:jc w:val="left"/>
            </w:pPr>
            <w:r>
              <w:rPr>
                <w:rFonts w:ascii="Arial" w:cs="Arial" w:eastAsia="Arial" w:hAnsi="Arial"/>
                <w:b/>
                <w:bCs/>
                <w:color w:val="FFFFFF"/>
                <w:sz w:val="22"/>
                <w:szCs w:val="22"/>
              </w:rPr>
              <w:t xml:space="preserve">Priorité absolue : continuité du service patient</w:t>
            </w:r>
          </w:p>
        </w:tc>
      </w:tr>
      <w:tr>
        <w:tc>
          <w:tcPr>
            <w:tcBorders>
              <w:top w:val="single" w:color="1E40AF" w:sz="4"/>
              <w:left w:val="single" w:color="1E40AF" w:sz="4"/>
              <w:bottom w:val="single" w:color="1E40AF" w:sz="4"/>
              <w:right w:val="single" w:color="1E40AF" w:sz="4"/>
            </w:tcBorders>
            <w:shd w:fill="EFF6FF" w:val="clear"/>
            <w:tcMar>
              <w:top w:type="dxa" w:w="60"/>
              <w:left w:type="dxa" w:w="160"/>
              <w:bottom w:type="dxa" w:w="60"/>
              <w:right w:type="dxa" w:w="160"/>
            </w:tcMar>
            <w:vAlign w:val="top"/>
          </w:tcPr>
          <w:p>
            <w:pPr>
              <w:spacing w:before="0" w:after="0"/>
              <w:jc w:val="left"/>
            </w:pPr>
            <w:r>
              <w:rPr>
                <w:rFonts w:ascii="Arial" w:cs="Arial" w:eastAsia="Arial" w:hAnsi="Arial"/>
                <w:color w:val="1A2B26"/>
                <w:sz w:val="21"/>
                <w:szCs w:val="21"/>
              </w:rPr>
              <w:t xml:space="preserve">En cas de défaillance d'un composant, Prelevia doit assurer a minima 80% de ses missions planifiées.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Scenario de défaillance</w:t>
            </w:r>
          </w:p>
        </w:tc>
        <w:tc>
          <w:tcPr>
            <w:tcW w:type="dxa" w:w="6160"/>
            <w:tcBorders>
              <w:top w:val="single" w:color="0A6E5C" w:sz="6"/>
              <w:left w:val="single" w:color="0A6E5C" w:sz="6"/>
              <w:bottom w:val="single" w:color="0A6E5C" w:sz="6"/>
              <w:right w:val="single" w:color="0A6E5C" w:sz="6"/>
            </w:tcBorders>
            <w:shd w:fill="064D40" w:val="clear"/>
            <w:tcMar>
              <w:top w:type="dxa" w:w="100"/>
              <w:left w:type="dxa" w:w="140"/>
              <w:bottom w:type="dxa" w:w="100"/>
              <w:right w:type="dxa" w:w="140"/>
            </w:tcMar>
            <w:vAlign w:val="top"/>
          </w:tcPr>
          <w:p>
            <w:pPr>
              <w:spacing w:before="0" w:after="0"/>
              <w:jc w:val="left"/>
            </w:pPr>
            <w:r>
              <w:rPr>
                <w:rFonts w:ascii="Arial" w:cs="Arial" w:eastAsia="Arial" w:hAnsi="Arial"/>
                <w:b/>
                <w:bCs/>
                <w:color w:val="FFFFFF"/>
                <w:sz w:val="22"/>
                <w:szCs w:val="22"/>
              </w:rPr>
              <w:t xml:space="preserve">Plan de secours immédiat</w:t>
            </w:r>
          </w:p>
        </w:tc>
      </w:tr>
      <w:tr>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OCR inaccessible (panne API)</w:t>
            </w:r>
          </w:p>
        </w:tc>
        <w:tc>
          <w:tcPr>
            <w:tcW w:type="dxa" w:w="6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Saisie manuelle par le patient dans l'app ou par l'agent sur place. Aucun blocage.</w:t>
            </w:r>
          </w:p>
        </w:tc>
      </w:tr>
      <w:tr>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Application mobile en panne</w:t>
            </w:r>
          </w:p>
        </w:tc>
        <w:tc>
          <w:tcPr>
            <w:tcW w:type="dxa" w:w="6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Basculement sur WhatsApp Business + fiche papier numérisée sous 24h</w:t>
            </w:r>
          </w:p>
        </w:tc>
      </w:tr>
      <w:tr>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Agent indisponible (urgence)</w:t>
            </w:r>
          </w:p>
        </w:tc>
        <w:tc>
          <w:tcPr>
            <w:tcW w:type="dxa" w:w="6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Redistribution missions aux agents actifs + alerte agent réserviste</w:t>
            </w:r>
          </w:p>
        </w:tc>
      </w:tr>
      <w:tr>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Paiement mobile impossible (réseau)</w:t>
            </w:r>
          </w:p>
        </w:tc>
        <w:tc>
          <w:tcPr>
            <w:tcW w:type="dxa" w:w="6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Paiement cash. Reçu manuscrit. Enregistrement dans le système sous 48h.</w:t>
            </w:r>
          </w:p>
        </w:tc>
      </w:tr>
      <w:tr>
        <w:tc>
          <w:tcPr>
            <w:tcW w:type="dxa" w:w="320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Retard laboratoire</w:t>
            </w:r>
          </w:p>
        </w:tc>
        <w:tc>
          <w:tcPr>
            <w:tcW w:type="dxa" w:w="6160"/>
            <w:tcBorders>
              <w:top w:val="single" w:color="D4E5E1" w:sz="4"/>
              <w:left w:val="single" w:color="D4E5E1" w:sz="4"/>
              <w:bottom w:val="single" w:color="D4E5E1" w:sz="4"/>
              <w:right w:val="single" w:color="D4E5E1" w:sz="4"/>
            </w:tcBorders>
            <w:shd w:fill="FFFFFF"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Prélèvements conservés 24h max. Contact assureurs directement.</w:t>
            </w:r>
          </w:p>
        </w:tc>
      </w:tr>
      <w:tr>
        <w:tc>
          <w:tcPr>
            <w:tcW w:type="dxa" w:w="320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Litige avec Labo Maison Blanche</w:t>
            </w:r>
          </w:p>
        </w:tc>
        <w:tc>
          <w:tcPr>
            <w:tcW w:type="dxa" w:w="6160"/>
            <w:tcBorders>
              <w:top w:val="single" w:color="D4E5E1" w:sz="4"/>
              <w:left w:val="single" w:color="D4E5E1" w:sz="4"/>
              <w:bottom w:val="single" w:color="D4E5E1" w:sz="4"/>
              <w:right w:val="single" w:color="D4E5E1" w:sz="4"/>
            </w:tcBorders>
            <w:shd w:fill="F5F7F6" w:val="clear"/>
            <w:tcMar>
              <w:top w:type="dxa" w:w="80"/>
              <w:left w:type="dxa" w:w="140"/>
              <w:bottom w:type="dxa" w:w="80"/>
              <w:right w:type="dxa" w:w="140"/>
            </w:tcMar>
            <w:vAlign w:val="top"/>
          </w:tcPr>
          <w:p>
            <w:pPr>
              <w:spacing w:before="0" w:after="0"/>
              <w:jc w:val="left"/>
            </w:pPr>
            <w:r>
              <w:rPr>
                <w:rFonts w:ascii="Arial" w:cs="Arial" w:eastAsia="Arial" w:hAnsi="Arial"/>
                <w:color w:val="1A2B26"/>
                <w:sz w:val="22"/>
                <w:szCs w:val="22"/>
              </w:rPr>
              <w:t xml:space="preserve">Protocole de sortie prévu dans convention. Labo partenaire de secours.</w:t>
            </w:r>
          </w:p>
        </w:tc>
      </w:tr>
    </w:tbl>
    <w:p>
      <w:pPr>
        <w:spacing w:before="120" w:after="120"/>
      </w:pPr>
    </w:p>
    <w:p>
      <w:pPr>
        <w:pBdr>
          <w:bottom w:val="single" w:color="D4E5E1" w:sz="4" w:space="1"/>
        </w:pBdr>
        <w:spacing w:before="120" w:after="120"/>
      </w:pPr>
    </w:p>
    <w:p>
      <w:pPr>
        <w:spacing w:before="80" w:after="80"/>
      </w:pPr>
    </w:p>
    <w:p>
      <w:pPr>
        <w:jc w:val="center"/>
      </w:pPr>
      <w:r>
        <w:rPr>
          <w:rFonts w:ascii="Arial" w:cs="Arial" w:eastAsia="Arial" w:hAnsi="Arial"/>
          <w:i/>
          <w:iCs/>
          <w:color w:val="5C7A74"/>
          <w:sz w:val="20"/>
          <w:szCs w:val="20"/>
        </w:rPr>
        <w:t xml:space="preserve">Document produit pour usage interne Prelevia — Ne pas diffuser sans autorisation</w:t>
      </w:r>
    </w:p>
    <w:p>
      <w:pPr>
        <w:spacing w:before="40" w:after="40"/>
        <w:jc w:val="center"/>
      </w:pPr>
      <w:r>
        <w:rPr>
          <w:rFonts w:ascii="Arial" w:cs="Arial" w:eastAsia="Arial" w:hAnsi="Arial"/>
          <w:i/>
          <w:iCs/>
          <w:color w:val="5C7A74"/>
          <w:sz w:val="20"/>
          <w:szCs w:val="20"/>
        </w:rPr>
        <w:t xml:space="preserve">Version 2.0 — Mars 2026 — Confidentiel</w:t>
      </w:r>
    </w:p>
    <w:p>
      <w:pPr>
        <w:spacing w:before="80" w:after="0"/>
        <w:jc w:val="center"/>
      </w:pPr>
      <w:r>
        <w:rPr>
          <w:rFonts w:ascii="Arial" w:cs="Arial" w:eastAsia="Arial" w:hAnsi="Arial"/>
          <w:b/>
          <w:bCs/>
          <w:color w:val="0A6E5C"/>
          <w:sz w:val="22"/>
          <w:szCs w:val="22"/>
        </w:rPr>
        <w:t xml:space="preserve">Prelevia SARL — Yopougon, Abidjan, Côte d'Ivoire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5E1" w:sz="4"/>
      </w:pBdr>
      <w:spacing w:before="80"/>
      <w:jc w:val="center"/>
    </w:pPr>
    <w:r>
      <w:rPr>
        <w:rFonts w:ascii="Arial" w:cs="Arial" w:eastAsia="Arial" w:hAnsi="Arial"/>
        <w:color w:val="5C7A74"/>
        <w:sz w:val="18"/>
        <w:szCs w:val="18"/>
      </w:rPr>
      <w:t xml:space="preserve">Prelevia — Document confidentiel  |  Page </w:t>
    </w:r>
    <w:r>
      <w:rPr>
        <w:rFonts w:ascii="Arial" w:cs="Arial" w:eastAsia="Arial" w:hAnsi="Arial"/>
        <w:color w:val="0A6E5C"/>
        <w:sz w:val="18"/>
        <w:szCs w:val="18"/>
      </w:rPr>
      <w:fldChar w:fldCharType="begin"/>
      <w:instrText xml:space="preserve">PAGE</w:instrText>
      <w:fldChar w:fldCharType="separate"/>
      <w:fldChar w:fldCharType="end"/>
    </w:r>
    <w:r>
      <w:rPr>
        <w:rFonts w:ascii="Arial" w:cs="Arial" w:eastAsia="Arial" w:hAnsi="Arial"/>
        <w:color w:val="5C7A74"/>
        <w:sz w:val="18"/>
        <w:szCs w:val="18"/>
      </w:rPr>
      <w:t xml:space="preserve"> / </w:t>
    </w:r>
    <w:r>
      <w:rPr>
        <w:rFonts w:ascii="Arial" w:cs="Arial" w:eastAsia="Arial" w:hAnsi="Arial"/>
        <w:color w:val="0A6E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A6E5C" w:sz="6"/>
        <w:right w:val="none" w:color="FFFFFF" w:sz="0"/>
        <w:insideH w:val="single" w:color="auto" w:sz="4"/>
        <w:insideV w:val="single" w:color="auto" w:sz="4"/>
      </w:tblBorders>
    </w:tblPr>
    <w:tblGrid>
      <w:gridCol w:w="6960"/>
      <w:gridCol w:w="2400"/>
    </w:tblGrid>
    <w:tr>
      <w:tc>
        <w:tcPr>
          <w:tcBorders>
            <w:top w:val="single" w:color="FFFFFF" w:sz="4"/>
            <w:left w:val="single" w:color="FFFFFF" w:sz="4"/>
            <w:bottom w:val="single" w:color="FFFFFF" w:sz="4"/>
            <w:right w:val="single" w:color="FFFFFF" w:sz="4"/>
          </w:tcBorders>
          <w:shd w:fill="FFFFFF" w:val="clear"/>
          <w:tcMar>
            <w:top w:type="dxa" w:w="80"/>
            <w:left w:type="dxa" w:w="140"/>
            <w:bottom w:type="dxa" w:w="80"/>
            <w:right w:type="dxa" w:w="140"/>
          </w:tcMar>
          <w:vAlign w:val="top"/>
        </w:tcPr>
        <w:p>
          <w:r>
            <w:rPr>
              <w:rFonts w:ascii="Arial" w:cs="Arial" w:eastAsia="Arial" w:hAnsi="Arial"/>
              <w:b/>
              <w:bCs/>
              <w:color w:val="064D40"/>
              <w:sz w:val="20"/>
              <w:szCs w:val="20"/>
            </w:rPr>
            <w:t xml:space="preserve">PRELEVIA</w:t>
          </w:r>
          <w:r>
            <w:rPr>
              <w:rFonts w:ascii="Arial" w:cs="Arial" w:eastAsia="Arial" w:hAnsi="Arial"/>
              <w:color w:val="5C7A74"/>
              <w:sz w:val="18"/>
              <w:szCs w:val="18"/>
            </w:rPr>
            <w:t xml:space="preserve">  —  Guide de Création v2.0</w:t>
          </w:r>
        </w:p>
      </w:tc>
      <w:tc>
        <w:tcPr>
          <w:tcBorders>
            <w:top w:val="single" w:color="FFFFFF" w:sz="4"/>
            <w:left w:val="single" w:color="FFFFFF" w:sz="4"/>
            <w:bottom w:val="single" w:color="FFFFFF" w:sz="4"/>
            <w:right w:val="single" w:color="FFFFFF" w:sz="4"/>
          </w:tcBorders>
          <w:shd w:fill="FFFFFF" w:val="clear"/>
          <w:tcMar>
            <w:top w:type="dxa" w:w="80"/>
            <w:left w:type="dxa" w:w="140"/>
            <w:bottom w:type="dxa" w:w="80"/>
            <w:right w:type="dxa" w:w="140"/>
          </w:tcMar>
          <w:vAlign w:val="top"/>
        </w:tcPr>
        <w:p>
          <w:pPr>
            <w:jc w:val="right"/>
          </w:pPr>
          <w:r>
            <w:rPr>
              <w:rFonts w:ascii="Arial" w:cs="Arial" w:eastAsia="Arial" w:hAnsi="Arial"/>
              <w:i/>
              <w:iCs/>
              <w:color w:val="5C7A74"/>
              <w:sz w:val="18"/>
              <w:szCs w:val="18"/>
            </w:rPr>
            <w:t xml:space="preserve">Version 2.0 — Mars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abstractNum>
  <w:abstractNum w:abstractNumId="3" w15:restartNumberingAfterBreak="0">
    <w:multiLevelType w:val="hybridMultilevel"/>
    <w:lvl w:ilvl="0" w15:tentative="1">
      <w:start w:val="1"/>
      <w:numFmt w:val="decimal"/>
      <w:lvlText w:val="%1."/>
      <w:lvlJc w:val="left"/>
      <w:pPr>
        <w:spacing w:before="50" w:after="50"/>
        <w:ind w:left="560" w:hanging="280"/>
      </w:pPr>
    </w:lvl>
  </w:abstractNum>
  <w:abstractNum w:abstractNumId="4" w15:restartNumberingAfterBreak="0">
    <w:multiLevelType w:val="hybridMultilevel"/>
    <w:lvl w:ilvl="0" w15:tentative="1">
      <w:start w:val="1"/>
      <w:numFmt w:val="decimal"/>
      <w:lvlText w:val="%1."/>
      <w:lvlJc w:val="left"/>
      <w:pPr>
        <w:spacing w:before="50" w:after="5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064D40"/>
      <w:sz w:val="28"/>
      <w:szCs w:val="28"/>
    </w:rPr>
  </w:style>
  <w:style w:type="paragraph" w:styleId="Heading3">
    <w:name w:val="Heading 3"/>
    <w:basedOn w:val="Normal"/>
    <w:next w:val="Normal"/>
    <w:qFormat/>
    <w:pPr>
      <w:spacing w:before="220" w:after="70"/>
      <w:outlineLvl w:val="2"/>
    </w:pPr>
    <w:rPr>
      <w:rFonts w:ascii="Arial" w:cs="Arial" w:eastAsia="Arial" w:hAnsi="Arial"/>
      <w:b/>
      <w:bCs/>
      <w:color w:val="0A6E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2026-03-23T07:07:14.728Z</dcterms:created>
  <dcterms:modified xsi:type="dcterms:W3CDTF">2026-03-23T07:07:14.729Z</dcterms:modified>
</cp:coreProperties>
</file>

<file path=docProps/custom.xml><?xml version="1.0" encoding="utf-8"?>
<Properties xmlns="http://schemas.openxmlformats.org/officeDocument/2006/custom-properties" xmlns:vt="http://schemas.openxmlformats.org/officeDocument/2006/docPropsVTypes"/>
</file>