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ontserrat" w:cs="Montserrat" w:eastAsia="Montserrat" w:hAnsi="Montserrat"/>
          <w:sz w:val="24"/>
          <w:szCs w:val="24"/>
        </w:rPr>
      </w:pPr>
      <w:bookmarkStart w:colFirst="0" w:colLast="0" w:name="_pwnt2qhr7k7s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Дата составления документа 07.08.23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 приложения, который был протестирован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Форма авторизации клиента в интернет-магазине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“Аккаунт”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Функциональный блок “Меню”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“Корзина”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“Фильтры”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before="200" w:line="360" w:lineRule="auto"/>
        <w:ind w:left="720" w:right="-40.8661417322827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“Главная страница”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200" w:before="0" w:line="360" w:lineRule="auto"/>
        <w:ind w:left="720" w:right="-40.8661417322827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“Страница товара”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200" w:before="0" w:line="360" w:lineRule="auto"/>
        <w:ind w:left="720" w:right="-40.8661417322827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Функциональный блок “Социальные Сети”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Окружение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Google Chrome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Версия  112.0.5615.50(Официальная сборка), (x86_64)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Windows 11 Pro  Версия 22H2 сборка 22621.1413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количество выполненных тестовых случаев: 31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число пройденных тестовых случаев: 31.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число не пройденных тестовых случаев: 0.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общее количество найденных дефектов: 1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www.etsy.com/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не было обнаружено ошибок.  Сайт полностью  готов к использованию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ets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