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Pr="007E0FEE" w:rsidRDefault="00277300" w:rsidP="007E0FEE">
      <w:pPr>
        <w:rPr>
          <w:rFonts w:hint="eastAsia"/>
        </w:rPr>
      </w:pPr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 w:rsidR="003971C9" w:rsidRPr="003971C9">
        <w:t>IP_TOS</w:t>
      </w:r>
      <w:r w:rsidR="003971C9">
        <w:rPr>
          <w:rFonts w:hint="eastAsia"/>
        </w:rPr>
        <w:t>可以设置服务类型，</w:t>
      </w:r>
      <w:bookmarkStart w:id="0" w:name="_GoBack"/>
      <w:bookmarkEnd w:id="0"/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Pr="00D00826" w:rsidRDefault="00EA4054" w:rsidP="00EA4054">
      <w:pPr>
        <w:pStyle w:val="3"/>
        <w:rPr>
          <w:rFonts w:hint="eastAsia"/>
        </w:rPr>
      </w:pPr>
      <w:r>
        <w:rPr>
          <w:rFonts w:hint="eastAsia"/>
        </w:rPr>
        <w:lastRenderedPageBreak/>
        <w:t>IP_TTL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Pr="009E6003" w:rsidRDefault="009E6003" w:rsidP="009E6003">
      <w:pPr>
        <w:rPr>
          <w:rFonts w:hint="eastAsia"/>
        </w:rPr>
      </w:pPr>
      <w:r>
        <w:tab/>
        <w:t>SIOCGSTAMP</w:t>
      </w:r>
      <w:r>
        <w:rPr>
          <w:rFonts w:hint="eastAsia"/>
        </w:rPr>
        <w:t>：获取最后一个数据报达到的事件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Pr="00A54020" w:rsidRDefault="00A54020" w:rsidP="00A54020">
      <w:pPr>
        <w:rPr>
          <w:rFonts w:hint="eastAsia"/>
        </w:rPr>
      </w:pPr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Pr="00A26384" w:rsidRDefault="00A26384" w:rsidP="00A26384">
      <w:pPr>
        <w:rPr>
          <w:rFonts w:hint="eastAsia"/>
        </w:rPr>
      </w:pPr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Pr="006111EF" w:rsidRDefault="006111EF" w:rsidP="006111EF">
      <w:pPr>
        <w:rPr>
          <w:rFonts w:hint="eastAsia"/>
        </w:rPr>
      </w:pPr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lastRenderedPageBreak/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lastRenderedPageBreak/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lastRenderedPageBreak/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lastRenderedPageBreak/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lastRenderedPageBreak/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F4A" w:rsidRDefault="00A83F4A" w:rsidP="00EA7F30">
      <w:pPr>
        <w:spacing w:line="240" w:lineRule="auto"/>
      </w:pPr>
      <w:r>
        <w:separator/>
      </w:r>
    </w:p>
  </w:endnote>
  <w:endnote w:type="continuationSeparator" w:id="0">
    <w:p w:rsidR="00A83F4A" w:rsidRDefault="00A83F4A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F4A" w:rsidRDefault="00A83F4A" w:rsidP="00EA7F30">
      <w:pPr>
        <w:spacing w:line="240" w:lineRule="auto"/>
      </w:pPr>
      <w:r>
        <w:separator/>
      </w:r>
    </w:p>
  </w:footnote>
  <w:footnote w:type="continuationSeparator" w:id="0">
    <w:p w:rsidR="00A83F4A" w:rsidRDefault="00A83F4A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6F84"/>
    <w:rsid w:val="000420BF"/>
    <w:rsid w:val="001656D7"/>
    <w:rsid w:val="00167C67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B353B"/>
    <w:rsid w:val="002C1300"/>
    <w:rsid w:val="002D234D"/>
    <w:rsid w:val="003172D8"/>
    <w:rsid w:val="0038692E"/>
    <w:rsid w:val="003971C9"/>
    <w:rsid w:val="003B0BCD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924A73"/>
    <w:rsid w:val="009350D9"/>
    <w:rsid w:val="00973461"/>
    <w:rsid w:val="009B5C0A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83F4A"/>
    <w:rsid w:val="00A93304"/>
    <w:rsid w:val="00A951CF"/>
    <w:rsid w:val="00AA1014"/>
    <w:rsid w:val="00AA1038"/>
    <w:rsid w:val="00AC6392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7646B"/>
    <w:rsid w:val="00B91230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642E0"/>
    <w:rsid w:val="00CD1EC3"/>
    <w:rsid w:val="00CE7054"/>
    <w:rsid w:val="00CF6CB9"/>
    <w:rsid w:val="00D00826"/>
    <w:rsid w:val="00D02976"/>
    <w:rsid w:val="00D30CC4"/>
    <w:rsid w:val="00D710B6"/>
    <w:rsid w:val="00DA7AEC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34CB"/>
    <w:rsid w:val="00E8660E"/>
    <w:rsid w:val="00E95345"/>
    <w:rsid w:val="00EA4054"/>
    <w:rsid w:val="00EA75AD"/>
    <w:rsid w:val="00EA7F30"/>
    <w:rsid w:val="00EC6F1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20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124</cp:revision>
  <dcterms:created xsi:type="dcterms:W3CDTF">2019-08-18T05:43:00Z</dcterms:created>
  <dcterms:modified xsi:type="dcterms:W3CDTF">2019-09-04T15:48:00Z</dcterms:modified>
</cp:coreProperties>
</file>