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40"/>
        <w:jc w:val="center"/>
        <w:bidi w:val="1"/>
      </w:pPr>
      <w:r>
        <w:rPr>
          <w:rFonts w:ascii="Arial" w:hAnsi="Arial" w:cs="Arial" w:eastAsia="Arial"/>
          <w:b w:val="0"/>
          <w:color w:val="1B1040"/>
          <w:sz w:val="80"/>
        </w:rPr>
        <w:t>❤️</w:t>
      </w:r>
    </w:p>
    <w:p>
      <w:pPr>
        <w:spacing w:after="40"/>
        <w:jc w:val="center"/>
        <w:bidi w:val="1"/>
      </w:pPr>
      <w:r>
        <w:rPr>
          <w:rFonts w:ascii="Arial" w:hAnsi="Arial" w:cs="Arial" w:eastAsia="Arial"/>
          <w:b/>
          <w:color w:val="4C1D95"/>
          <w:sz w:val="68"/>
          <w:rtl w:val="1"/>
          <w:lang w:bidi="ar-SA"/>
        </w:rPr>
        <w:t>رعايةيتي DZ</w:t>
      </w:r>
    </w:p>
    <w:p>
      <w:pPr>
        <w:spacing w:after="80"/>
        <w:jc w:val="center"/>
        <w:bidi w:val="1"/>
      </w:pPr>
      <w:r>
        <w:rPr>
          <w:rFonts w:ascii="Arial" w:hAnsi="Arial" w:cs="Arial" w:eastAsia="Arial"/>
          <w:b/>
          <w:color w:val="0F766E"/>
          <w:sz w:val="30"/>
          <w:rtl w:val="1"/>
          <w:lang w:bidi="ar-SA"/>
        </w:rPr>
        <w:t>VITALINK DZ  —  نبض الرعاية المتصل</w:t>
      </w:r>
    </w:p>
    <w:p>
      <w:pPr>
        <w:spacing w:after="280"/>
        <w:jc w:val="center"/>
        <w:bidi w:val="1"/>
      </w:pPr>
      <w:r>
        <w:rPr>
          <w:rFonts w:ascii="Arial" w:hAnsi="Arial" w:cs="Arial" w:eastAsia="Arial"/>
          <w:b w:val="0"/>
          <w:color w:val="64627A"/>
          <w:sz w:val="24"/>
          <w:rtl w:val="1"/>
          <w:lang w:bidi="ar-SA"/>
        </w:rPr>
        <w:t>منظومة وطنية جزائرية موحّدة للرعاية الصحية والاجتماعية والسياحة العلاجية</w:t>
      </w:r>
    </w:p>
    <w:p>
      <w:pPr>
        <w:spacing w:after="160"/>
        <w:jc w:val="center"/>
        <w:bidi w:val="1"/>
      </w:pPr>
      <w:r>
        <w:rPr>
          <w:rFonts w:ascii="Arial" w:hAnsi="Arial" w:cs="Arial" w:eastAsia="Arial"/>
          <w:b w:val="0"/>
          <w:color w:val="D8D4E8"/>
          <w:sz w:val="18"/>
          <w:rtl w:val="1"/>
          <w:lang w:bidi="ar-SA"/>
        </w:rPr>
        <w:t>──────────────────────────────────────────────</w:t>
      </w:r>
    </w:p>
    <w:p>
      <w:pPr>
        <w:spacing w:after="40" w:before="0" w:line="360" w:lineRule="auto"/>
        <w:jc w:val="center"/>
        <w:bidi w:val="1"/>
      </w:pPr>
      <w:r>
        <w:rPr>
          <w:rFonts w:ascii="Arial" w:hAnsi="Arial" w:cs="Arial" w:eastAsia="Arial"/>
          <w:b/>
          <w:color w:val="1B1040"/>
          <w:sz w:val="24"/>
          <w:rtl w:val="1"/>
          <w:lang w:bidi="ar-SA"/>
        </w:rPr>
        <w:t>وثيقة تعريفية مختصرة بالمنصة وخدماتها</w:t>
      </w:r>
    </w:p>
    <w:p>
      <w:pPr>
        <w:spacing w:after="40" w:before="0" w:line="360" w:lineRule="auto"/>
        <w:jc w:val="center"/>
        <w:bidi w:val="1"/>
      </w:pPr>
      <w:r>
        <w:rPr>
          <w:rFonts w:ascii="Arial" w:hAnsi="Arial" w:cs="Arial" w:eastAsia="Arial"/>
          <w:b w:val="0"/>
          <w:color w:val="64627A"/>
          <w:sz w:val="21"/>
          <w:rtl w:val="1"/>
          <w:lang w:bidi="ar-SA"/>
        </w:rPr>
        <w:t>أُعدّت هذه الوثيقة لعرض المنظومة: مفهومها، خدماتها، الأدوار التي تخدمها، وواجهاتها الحيّة.</w:t>
      </w:r>
    </w:p>
    <w:p>
      <w:pPr>
        <w:spacing w:after="120" w:before="0" w:line="360" w:lineRule="auto"/>
        <w:jc w:val="center"/>
        <w:bidi w:val="1"/>
      </w:pPr>
      <w:r>
        <w:rPr>
          <w:rFonts w:ascii="Arial" w:hAnsi="Arial" w:cs="Arial" w:eastAsia="Arial"/>
          <w:b w:val="0"/>
          <w:color w:val="64627A"/>
          <w:sz w:val="20"/>
          <w:rtl w:val="1"/>
          <w:lang w:bidi="ar-SA"/>
        </w:rPr>
        <w:t>التاريخ: أكتوبر 2026</w:t>
      </w:r>
    </w:p>
    <w:p>
      <w:pPr>
        <w:spacing w:before="280" w:after="120"/>
        <w:jc w:val="right"/>
        <w:bidi w:val="1"/>
        <w:pBdr>
          <w:bottom w:val="single" w:sz="10" w:space="3" w:color="6D28D9"/>
        </w:pBdr>
      </w:pPr>
      <w:r>
        <w:rPr>
          <w:rFonts w:ascii="Arial" w:hAnsi="Arial" w:cs="Arial" w:eastAsia="Arial"/>
          <w:b/>
          <w:color w:val="B45309"/>
          <w:sz w:val="30"/>
          <w:rtl w:val="1"/>
          <w:lang w:bidi="ar-SA"/>
        </w:rPr>
        <w:t xml:space="preserve">1  </w:t>
      </w:r>
      <w:r>
        <w:rPr>
          <w:rFonts w:ascii="Arial" w:hAnsi="Arial" w:cs="Arial" w:eastAsia="Arial"/>
          <w:b/>
          <w:color w:val="4C1D95"/>
          <w:sz w:val="30"/>
          <w:rtl w:val="1"/>
          <w:lang w:bidi="ar-SA"/>
        </w:rPr>
        <w:t>نبذة عن المنصة</w:t>
      </w:r>
    </w:p>
    <w:p>
      <w:pPr>
        <w:spacing w:after="120" w:before="0" w:line="384" w:lineRule="auto"/>
        <w:jc w:val="right"/>
        <w:bidi w:val="1"/>
      </w:pPr>
      <w:r>
        <w:rPr>
          <w:rFonts w:ascii="Arial" w:hAnsi="Arial" w:cs="Arial" w:eastAsia="Arial"/>
          <w:b w:val="0"/>
          <w:color w:val="1B1040"/>
          <w:sz w:val="22"/>
          <w:rtl w:val="1"/>
          <w:lang w:bidi="ar-SA"/>
        </w:rPr>
        <w:t>«رعايةيتي DZ» منصة جزائرية موحّدة تربط المريض بالطبيب والممرّض والصيدلي والأسرة والمؤسسات الصحية والاجتماعية عبر سجل صحي واحد آمن. تُدير المنظومة الإحالة الإلكترونية مغلقة الحلقة، الحضور اللحظي للفرق الميدانية، رعاية كبار السن، والمشاركة بين الجهات — مع سجل تدقيق كامل لكل عملية وصول أو تعديل.</w:t>
      </w:r>
    </w:p>
    <w:p>
      <w:pPr>
        <w:spacing w:after="120" w:before="0" w:line="384" w:lineRule="auto"/>
        <w:jc w:val="right"/>
        <w:bidi w:val="1"/>
      </w:pPr>
      <w:r>
        <w:rPr>
          <w:rFonts w:ascii="Arial" w:hAnsi="Arial" w:cs="Arial" w:eastAsia="Arial"/>
          <w:b w:val="0"/>
          <w:color w:val="1B1040"/>
          <w:sz w:val="22"/>
          <w:rtl w:val="1"/>
          <w:lang w:bidi="ar-SA"/>
        </w:rPr>
        <w:t>تُغطّي المنصة كامل التراب الوطني عبر 58 ولاية، وتخدم عشرة أدوار متكاملة عبر بوابة دخول واحدة، وتعمل 24 ساعة للحضور والاستغاثة، وتدعم التشغيل دون إنترنت (PWA) والاستقبال الدولي باللغتين الفرنسية والإنجليزية.</w:t>
      </w:r>
    </w:p>
    <w:p>
      <w:pPr>
        <w:spacing w:before="280" w:after="120"/>
        <w:jc w:val="right"/>
        <w:bidi w:val="1"/>
        <w:pBdr>
          <w:bottom w:val="single" w:sz="10" w:space="3" w:color="6D28D9"/>
        </w:pBdr>
      </w:pPr>
      <w:r>
        <w:rPr>
          <w:rFonts w:ascii="Arial" w:hAnsi="Arial" w:cs="Arial" w:eastAsia="Arial"/>
          <w:b/>
          <w:color w:val="B45309"/>
          <w:sz w:val="30"/>
          <w:rtl w:val="1"/>
          <w:lang w:bidi="ar-SA"/>
        </w:rPr>
        <w:t xml:space="preserve">2  </w:t>
      </w:r>
      <w:r>
        <w:rPr>
          <w:rFonts w:ascii="Arial" w:hAnsi="Arial" w:cs="Arial" w:eastAsia="Arial"/>
          <w:b/>
          <w:color w:val="4C1D95"/>
          <w:sz w:val="30"/>
          <w:rtl w:val="1"/>
          <w:lang w:bidi="ar-SA"/>
        </w:rPr>
        <w:t>الخدمات الرئيسية</w:t>
      </w:r>
    </w:p>
    <w:tbl>
      <w:tblPr>
        <w:tblStyle w:val="TableGrid"/>
        <w:tblW w:type="auto" w:w="0"/>
        <w:jc w:val="center"/>
        <w:tblLook w:firstColumn="1" w:firstRow="1" w:lastColumn="0" w:lastRow="0" w:noHBand="0" w:noVBand="1" w:val="04A0"/>
      </w:tblPr>
      <w:tblGrid>
        <w:gridCol w:w="5040"/>
        <w:gridCol w:w="5040"/>
      </w:tblGrid>
      <w:tr>
        <w:tc>
          <w:tcPr>
            <w:tcW w:type="dxa" w:w="2880"/>
            <w:shd w:val="clear" w:color="auto" w:fill="6D28D9"/>
          </w:tcPr>
          <w:p>
            <w:pPr>
              <w:spacing w:after="40" w:before="40"/>
              <w:jc w:val="center"/>
              <w:bidi w:val="1"/>
            </w:pPr>
            <w:r/>
            <w:r>
              <w:rPr>
                <w:rFonts w:ascii="Arial" w:hAnsi="Arial" w:cs="Arial" w:eastAsia="Arial"/>
                <w:b/>
                <w:color w:val="FFFFFF"/>
                <w:sz w:val="22"/>
                <w:rtl w:val="1"/>
                <w:lang w:bidi="ar-SA"/>
              </w:rPr>
              <w:t>الخدمة</w:t>
            </w:r>
          </w:p>
        </w:tc>
        <w:tc>
          <w:tcPr>
            <w:tcW w:type="dxa" w:w="6192"/>
            <w:shd w:val="clear" w:color="auto" w:fill="6D28D9"/>
          </w:tcPr>
          <w:p>
            <w:pPr>
              <w:spacing w:after="40" w:before="40"/>
              <w:jc w:val="center"/>
              <w:bidi w:val="1"/>
            </w:pPr>
            <w:r/>
            <w:r>
              <w:rPr>
                <w:rFonts w:ascii="Arial" w:hAnsi="Arial" w:cs="Arial" w:eastAsia="Arial"/>
                <w:b/>
                <w:color w:val="FFFFFF"/>
                <w:sz w:val="22"/>
                <w:rtl w:val="1"/>
                <w:lang w:bidi="ar-SA"/>
              </w:rPr>
              <w:t>الوصف</w:t>
            </w:r>
          </w:p>
        </w:tc>
      </w:tr>
      <w:tr>
        <w:tc>
          <w:tcPr>
            <w:tcW w:type="dxa" w:w="2880"/>
          </w:tcPr>
          <w:p>
            <w:pPr>
              <w:spacing w:after="40" w:before="40"/>
              <w:jc w:val="right"/>
              <w:bidi w:val="1"/>
            </w:pPr>
            <w:r/>
            <w:r>
              <w:rPr>
                <w:rFonts w:ascii="Arial" w:hAnsi="Arial" w:cs="Arial" w:eastAsia="Arial"/>
                <w:b/>
                <w:color w:val="4C1D95"/>
                <w:sz w:val="20"/>
                <w:rtl w:val="1"/>
                <w:lang w:bidi="ar-SA"/>
              </w:rPr>
              <w:t>السجل الصحي الموحّد</w:t>
            </w:r>
          </w:p>
        </w:tc>
        <w:tc>
          <w:tcPr>
            <w:tcW w:type="dxa" w:w="6192"/>
          </w:tcPr>
          <w:p>
            <w:pPr>
              <w:spacing w:after="40" w:before="40"/>
              <w:jc w:val="right"/>
              <w:bidi w:val="1"/>
            </w:pPr>
            <w:r/>
            <w:r>
              <w:rPr>
                <w:rFonts w:ascii="Arial" w:hAnsi="Arial" w:cs="Arial" w:eastAsia="Arial"/>
                <w:b w:val="0"/>
                <w:color w:val="1B1040"/>
                <w:sz w:val="20"/>
                <w:rtl w:val="1"/>
                <w:lang w:bidi="ar-SA"/>
              </w:rPr>
              <w:t>ملف صحي متصل بين الطبيب والممرض والصيدلي والأسرة — يُقرأ ويُحدَّث لحظياً وفق الصلاحيات.</w:t>
            </w:r>
          </w:p>
        </w:tc>
      </w:tr>
      <w:tr>
        <w:tc>
          <w:tcPr>
            <w:tcW w:type="dxa" w:w="2880"/>
          </w:tcPr>
          <w:p>
            <w:pPr>
              <w:spacing w:after="40" w:before="40"/>
              <w:jc w:val="right"/>
              <w:bidi w:val="1"/>
            </w:pPr>
            <w:r/>
            <w:r>
              <w:rPr>
                <w:rFonts w:ascii="Arial" w:hAnsi="Arial" w:cs="Arial" w:eastAsia="Arial"/>
                <w:b/>
                <w:color w:val="4C1D95"/>
                <w:sz w:val="20"/>
                <w:rtl w:val="1"/>
                <w:lang w:bidi="ar-SA"/>
              </w:rPr>
              <w:t>الإحالة الإلكترونية (E-Referral)</w:t>
            </w:r>
          </w:p>
        </w:tc>
        <w:tc>
          <w:tcPr>
            <w:tcW w:type="dxa" w:w="6192"/>
          </w:tcPr>
          <w:p>
            <w:pPr>
              <w:spacing w:after="40" w:before="40"/>
              <w:jc w:val="right"/>
              <w:bidi w:val="1"/>
            </w:pPr>
            <w:r/>
            <w:r>
              <w:rPr>
                <w:rFonts w:ascii="Arial" w:hAnsi="Arial" w:cs="Arial" w:eastAsia="Arial"/>
                <w:b w:val="0"/>
                <w:color w:val="1B1040"/>
                <w:sz w:val="20"/>
                <w:rtl w:val="1"/>
                <w:lang w:bidi="ar-SA"/>
              </w:rPr>
              <w:t>من الإحالة إلى القبول إلى النتيجة النهائية، مع تتبّع الالتزام الزمني (SLA) وتنبيهات الطوارئ.</w:t>
            </w:r>
          </w:p>
        </w:tc>
      </w:tr>
      <w:tr>
        <w:tc>
          <w:tcPr>
            <w:tcW w:type="dxa" w:w="2880"/>
          </w:tcPr>
          <w:p>
            <w:pPr>
              <w:spacing w:after="40" w:before="40"/>
              <w:jc w:val="right"/>
              <w:bidi w:val="1"/>
            </w:pPr>
            <w:r/>
            <w:r>
              <w:rPr>
                <w:rFonts w:ascii="Arial" w:hAnsi="Arial" w:cs="Arial" w:eastAsia="Arial"/>
                <w:b/>
                <w:color w:val="4C1D95"/>
                <w:sz w:val="20"/>
                <w:rtl w:val="1"/>
                <w:lang w:bidi="ar-SA"/>
              </w:rPr>
              <w:t>الحضور اللحظي الموثّق</w:t>
            </w:r>
          </w:p>
        </w:tc>
        <w:tc>
          <w:tcPr>
            <w:tcW w:type="dxa" w:w="6192"/>
          </w:tcPr>
          <w:p>
            <w:pPr>
              <w:spacing w:after="40" w:before="40"/>
              <w:jc w:val="right"/>
              <w:bidi w:val="1"/>
            </w:pPr>
            <w:r/>
            <w:r>
              <w:rPr>
                <w:rFonts w:ascii="Arial" w:hAnsi="Arial" w:cs="Arial" w:eastAsia="Arial"/>
                <w:b w:val="0"/>
                <w:color w:val="1B1040"/>
                <w:sz w:val="20"/>
                <w:rtl w:val="1"/>
                <w:lang w:bidi="ar-SA"/>
              </w:rPr>
              <w:t>نبض موقع حيّ للفرق الميدانية، مع وضع دون اتصال ومزامنة تلقائية عند عودة الشبكة.</w:t>
            </w:r>
          </w:p>
        </w:tc>
      </w:tr>
      <w:tr>
        <w:tc>
          <w:tcPr>
            <w:tcW w:type="dxa" w:w="2880"/>
          </w:tcPr>
          <w:p>
            <w:pPr>
              <w:spacing w:after="40" w:before="40"/>
              <w:jc w:val="right"/>
              <w:bidi w:val="1"/>
            </w:pPr>
            <w:r/>
            <w:r>
              <w:rPr>
                <w:rFonts w:ascii="Arial" w:hAnsi="Arial" w:cs="Arial" w:eastAsia="Arial"/>
                <w:b/>
                <w:color w:val="4C1D95"/>
                <w:sz w:val="20"/>
                <w:rtl w:val="1"/>
                <w:lang w:bidi="ar-SA"/>
              </w:rPr>
              <w:t>رعاية كبار السن</w:t>
            </w:r>
          </w:p>
        </w:tc>
        <w:tc>
          <w:tcPr>
            <w:tcW w:type="dxa" w:w="6192"/>
          </w:tcPr>
          <w:p>
            <w:pPr>
              <w:spacing w:after="40" w:before="40"/>
              <w:jc w:val="right"/>
              <w:bidi w:val="1"/>
            </w:pPr>
            <w:r/>
            <w:r>
              <w:rPr>
                <w:rFonts w:ascii="Arial" w:hAnsi="Arial" w:cs="Arial" w:eastAsia="Arial"/>
                <w:b w:val="0"/>
                <w:color w:val="1B1040"/>
                <w:sz w:val="20"/>
                <w:rtl w:val="1"/>
                <w:lang w:bidi="ar-SA"/>
              </w:rPr>
              <w:t>وضع خاص للرعاية المنزلية: متابعة، فرق متنقلة، جمعيات نشطة ونقاط مكافأة.</w:t>
            </w:r>
          </w:p>
        </w:tc>
      </w:tr>
      <w:tr>
        <w:tc>
          <w:tcPr>
            <w:tcW w:type="dxa" w:w="2880"/>
          </w:tcPr>
          <w:p>
            <w:pPr>
              <w:spacing w:after="40" w:before="40"/>
              <w:jc w:val="right"/>
              <w:bidi w:val="1"/>
            </w:pPr>
            <w:r/>
            <w:r>
              <w:rPr>
                <w:rFonts w:ascii="Arial" w:hAnsi="Arial" w:cs="Arial" w:eastAsia="Arial"/>
                <w:b/>
                <w:color w:val="4C1D95"/>
                <w:sz w:val="20"/>
                <w:rtl w:val="1"/>
                <w:lang w:bidi="ar-SA"/>
              </w:rPr>
              <w:t>السياحة العلاجية</w:t>
            </w:r>
          </w:p>
        </w:tc>
        <w:tc>
          <w:tcPr>
            <w:tcW w:type="dxa" w:w="6192"/>
          </w:tcPr>
          <w:p>
            <w:pPr>
              <w:spacing w:after="40" w:before="40"/>
              <w:jc w:val="right"/>
              <w:bidi w:val="1"/>
            </w:pPr>
            <w:r/>
            <w:r>
              <w:rPr>
                <w:rFonts w:ascii="Arial" w:hAnsi="Arial" w:cs="Arial" w:eastAsia="Arial"/>
                <w:b w:val="0"/>
                <w:color w:val="1B1040"/>
                <w:sz w:val="20"/>
                <w:rtl w:val="1"/>
                <w:lang w:bidi="ar-SA"/>
              </w:rPr>
              <w:t>حمّامات معدنية وحزم علاجية كاملة بمرافقة طبية — ومتاحة دولياً بالفرنسية والإنجليزية.</w:t>
            </w:r>
          </w:p>
        </w:tc>
      </w:tr>
      <w:tr>
        <w:tc>
          <w:tcPr>
            <w:tcW w:type="dxa" w:w="2880"/>
          </w:tcPr>
          <w:p>
            <w:pPr>
              <w:spacing w:after="40" w:before="40"/>
              <w:jc w:val="right"/>
              <w:bidi w:val="1"/>
            </w:pPr>
            <w:r/>
            <w:r>
              <w:rPr>
                <w:rFonts w:ascii="Arial" w:hAnsi="Arial" w:cs="Arial" w:eastAsia="Arial"/>
                <w:b/>
                <w:color w:val="4C1D95"/>
                <w:sz w:val="20"/>
                <w:rtl w:val="1"/>
                <w:lang w:bidi="ar-SA"/>
              </w:rPr>
              <w:t>الشفافية والتدقيق (Audit)</w:t>
            </w:r>
          </w:p>
        </w:tc>
        <w:tc>
          <w:tcPr>
            <w:tcW w:type="dxa" w:w="6192"/>
          </w:tcPr>
          <w:p>
            <w:pPr>
              <w:spacing w:after="40" w:before="40"/>
              <w:jc w:val="right"/>
              <w:bidi w:val="1"/>
            </w:pPr>
            <w:r/>
            <w:r>
              <w:rPr>
                <w:rFonts w:ascii="Arial" w:hAnsi="Arial" w:cs="Arial" w:eastAsia="Arial"/>
                <w:b w:val="0"/>
                <w:color w:val="1B1040"/>
                <w:sz w:val="20"/>
                <w:rtl w:val="1"/>
                <w:lang w:bidi="ar-SA"/>
              </w:rPr>
              <w:t>سجلّ عمليات كامل لكل وصول وتغيير — ثقة قانونية للمؤسسات والدولة.</w:t>
            </w:r>
          </w:p>
        </w:tc>
      </w:tr>
      <w:tr>
        <w:tc>
          <w:tcPr>
            <w:tcW w:type="dxa" w:w="2880"/>
          </w:tcPr>
          <w:p>
            <w:pPr>
              <w:spacing w:after="40" w:before="40"/>
              <w:jc w:val="right"/>
              <w:bidi w:val="1"/>
            </w:pPr>
            <w:r/>
            <w:r>
              <w:rPr>
                <w:rFonts w:ascii="Arial" w:hAnsi="Arial" w:cs="Arial" w:eastAsia="Arial"/>
                <w:b/>
                <w:color w:val="4C1D95"/>
                <w:sz w:val="20"/>
                <w:rtl w:val="1"/>
                <w:lang w:bidi="ar-SA"/>
              </w:rPr>
              <w:t>الإشعارات والتنبيهات الذكية</w:t>
            </w:r>
          </w:p>
        </w:tc>
        <w:tc>
          <w:tcPr>
            <w:tcW w:type="dxa" w:w="6192"/>
          </w:tcPr>
          <w:p>
            <w:pPr>
              <w:spacing w:after="40" w:before="40"/>
              <w:jc w:val="right"/>
              <w:bidi w:val="1"/>
            </w:pPr>
            <w:r/>
            <w:r>
              <w:rPr>
                <w:rFonts w:ascii="Arial" w:hAnsi="Arial" w:cs="Arial" w:eastAsia="Arial"/>
                <w:b w:val="0"/>
                <w:color w:val="1B1040"/>
                <w:sz w:val="20"/>
                <w:rtl w:val="1"/>
                <w:lang w:bidi="ar-SA"/>
              </w:rPr>
              <w:t>نظام إشعارات موحّد مع جرس فوري وتنبيهات تجاوز المهلة الزمنية.</w:t>
            </w:r>
          </w:p>
        </w:tc>
      </w:tr>
      <w:tr>
        <w:tc>
          <w:tcPr>
            <w:tcW w:type="dxa" w:w="2880"/>
          </w:tcPr>
          <w:p>
            <w:pPr>
              <w:spacing w:after="40" w:before="40"/>
              <w:jc w:val="right"/>
              <w:bidi w:val="1"/>
            </w:pPr>
            <w:r/>
            <w:r>
              <w:rPr>
                <w:rFonts w:ascii="Arial" w:hAnsi="Arial" w:cs="Arial" w:eastAsia="Arial"/>
                <w:b/>
                <w:color w:val="4C1D95"/>
                <w:sz w:val="20"/>
                <w:rtl w:val="1"/>
                <w:lang w:bidi="ar-SA"/>
              </w:rPr>
              <w:t>تقرير الولايات</w:t>
            </w:r>
          </w:p>
        </w:tc>
        <w:tc>
          <w:tcPr>
            <w:tcW w:type="dxa" w:w="6192"/>
          </w:tcPr>
          <w:p>
            <w:pPr>
              <w:spacing w:after="40" w:before="40"/>
              <w:jc w:val="right"/>
              <w:bidi w:val="1"/>
            </w:pPr>
            <w:r/>
            <w:r>
              <w:rPr>
                <w:rFonts w:ascii="Arial" w:hAnsi="Arial" w:cs="Arial" w:eastAsia="Arial"/>
                <w:b w:val="0"/>
                <w:color w:val="1B1040"/>
                <w:sz w:val="20"/>
                <w:rtl w:val="1"/>
                <w:lang w:bidi="ar-SA"/>
              </w:rPr>
              <w:t>تقرير تحليلي حسب الولاية مع إمكانية تصدير البيانات (CSV).</w:t>
            </w:r>
          </w:p>
        </w:tc>
      </w:tr>
    </w:tbl>
    <w:p>
      <w:pPr>
        <w:spacing w:before="280" w:after="120"/>
        <w:jc w:val="right"/>
        <w:bidi w:val="1"/>
        <w:pBdr>
          <w:bottom w:val="single" w:sz="10" w:space="3" w:color="6D28D9"/>
        </w:pBdr>
      </w:pPr>
      <w:r>
        <w:rPr>
          <w:rFonts w:ascii="Arial" w:hAnsi="Arial" w:cs="Arial" w:eastAsia="Arial"/>
          <w:b/>
          <w:color w:val="B45309"/>
          <w:sz w:val="30"/>
          <w:rtl w:val="1"/>
          <w:lang w:bidi="ar-SA"/>
        </w:rPr>
        <w:t xml:space="preserve">3  </w:t>
      </w:r>
      <w:r>
        <w:rPr>
          <w:rFonts w:ascii="Arial" w:hAnsi="Arial" w:cs="Arial" w:eastAsia="Arial"/>
          <w:b/>
          <w:color w:val="4C1D95"/>
          <w:sz w:val="30"/>
          <w:rtl w:val="1"/>
          <w:lang w:bidi="ar-SA"/>
        </w:rPr>
        <w:t>الأدوار العشرة على المنصة</w:t>
      </w:r>
    </w:p>
    <w:tbl>
      <w:tblPr>
        <w:tblStyle w:val="TableGrid"/>
        <w:tblW w:type="auto" w:w="0"/>
        <w:jc w:val="center"/>
        <w:tblLook w:firstColumn="1" w:firstRow="1" w:lastColumn="0" w:lastRow="0" w:noHBand="0" w:noVBand="1" w:val="04A0"/>
      </w:tblPr>
      <w:tblGrid>
        <w:gridCol w:w="5040"/>
        <w:gridCol w:w="5040"/>
      </w:tblGrid>
      <w:tr>
        <w:tc>
          <w:tcPr>
            <w:tcW w:type="dxa" w:w="2880"/>
            <w:shd w:val="clear" w:color="auto" w:fill="0F766E"/>
          </w:tcPr>
          <w:p>
            <w:pPr>
              <w:spacing w:after="40" w:before="40"/>
              <w:jc w:val="center"/>
              <w:bidi w:val="1"/>
            </w:pPr>
            <w:r/>
            <w:r>
              <w:rPr>
                <w:rFonts w:ascii="Arial" w:hAnsi="Arial" w:cs="Arial" w:eastAsia="Arial"/>
                <w:b/>
                <w:color w:val="FFFFFF"/>
                <w:sz w:val="22"/>
                <w:rtl w:val="1"/>
                <w:lang w:bidi="ar-SA"/>
              </w:rPr>
              <w:t>الدور</w:t>
            </w:r>
          </w:p>
        </w:tc>
        <w:tc>
          <w:tcPr>
            <w:tcW w:type="dxa" w:w="6192"/>
            <w:shd w:val="clear" w:color="auto" w:fill="0F766E"/>
          </w:tcPr>
          <w:p>
            <w:pPr>
              <w:spacing w:after="40" w:before="40"/>
              <w:jc w:val="center"/>
              <w:bidi w:val="1"/>
            </w:pPr>
            <w:r/>
            <w:r>
              <w:rPr>
                <w:rFonts w:ascii="Arial" w:hAnsi="Arial" w:cs="Arial" w:eastAsia="Arial"/>
                <w:b/>
                <w:color w:val="FFFFFF"/>
                <w:sz w:val="22"/>
                <w:rtl w:val="1"/>
                <w:lang w:bidi="ar-SA"/>
              </w:rPr>
              <w:t>الصلاحية الأساسية</w:t>
            </w:r>
          </w:p>
        </w:tc>
      </w:tr>
      <w:tr>
        <w:tc>
          <w:tcPr>
            <w:tcW w:type="dxa" w:w="2880"/>
          </w:tcPr>
          <w:p>
            <w:pPr>
              <w:spacing w:after="40" w:before="40"/>
              <w:jc w:val="right"/>
              <w:bidi w:val="1"/>
            </w:pPr>
            <w:r/>
            <w:r>
              <w:rPr>
                <w:rFonts w:ascii="Arial" w:hAnsi="Arial" w:cs="Arial" w:eastAsia="Arial"/>
                <w:b/>
                <w:color w:val="0F766E"/>
                <w:sz w:val="20"/>
                <w:rtl w:val="1"/>
                <w:lang w:bidi="ar-SA"/>
              </w:rPr>
              <w:t>🧑‍⚕️ طبيب</w:t>
            </w:r>
          </w:p>
        </w:tc>
        <w:tc>
          <w:tcPr>
            <w:tcW w:type="dxa" w:w="6192"/>
          </w:tcPr>
          <w:p>
            <w:pPr>
              <w:spacing w:after="40" w:before="40"/>
              <w:jc w:val="right"/>
              <w:bidi w:val="1"/>
            </w:pPr>
            <w:r/>
            <w:r>
              <w:rPr>
                <w:rFonts w:ascii="Arial" w:hAnsi="Arial" w:cs="Arial" w:eastAsia="Arial"/>
                <w:b w:val="0"/>
                <w:color w:val="1B1040"/>
                <w:sz w:val="20"/>
                <w:rtl w:val="1"/>
                <w:lang w:bidi="ar-SA"/>
              </w:rPr>
              <w:t>الحالات، التشخيص، الروشتات والإحالات</w:t>
            </w:r>
          </w:p>
        </w:tc>
      </w:tr>
      <w:tr>
        <w:tc>
          <w:tcPr>
            <w:tcW w:type="dxa" w:w="2880"/>
          </w:tcPr>
          <w:p>
            <w:pPr>
              <w:spacing w:after="40" w:before="40"/>
              <w:jc w:val="right"/>
              <w:bidi w:val="1"/>
            </w:pPr>
            <w:r/>
            <w:r>
              <w:rPr>
                <w:rFonts w:ascii="Arial" w:hAnsi="Arial" w:cs="Arial" w:eastAsia="Arial"/>
                <w:b/>
                <w:color w:val="0F766E"/>
                <w:sz w:val="20"/>
                <w:rtl w:val="1"/>
                <w:lang w:bidi="ar-SA"/>
              </w:rPr>
              <w:t>💉 ممرّض متنقّل</w:t>
            </w:r>
          </w:p>
        </w:tc>
        <w:tc>
          <w:tcPr>
            <w:tcW w:type="dxa" w:w="6192"/>
          </w:tcPr>
          <w:p>
            <w:pPr>
              <w:spacing w:after="40" w:before="40"/>
              <w:jc w:val="right"/>
              <w:bidi w:val="1"/>
            </w:pPr>
            <w:r/>
            <w:r>
              <w:rPr>
                <w:rFonts w:ascii="Arial" w:hAnsi="Arial" w:cs="Arial" w:eastAsia="Arial"/>
                <w:b w:val="0"/>
                <w:color w:val="1B1040"/>
                <w:sz w:val="20"/>
                <w:rtl w:val="1"/>
                <w:lang w:bidi="ar-SA"/>
              </w:rPr>
              <w:t>الزيارات المنزلية، القياسات، المسارات الجغرافية</w:t>
            </w:r>
          </w:p>
        </w:tc>
      </w:tr>
      <w:tr>
        <w:tc>
          <w:tcPr>
            <w:tcW w:type="dxa" w:w="2880"/>
          </w:tcPr>
          <w:p>
            <w:pPr>
              <w:spacing w:after="40" w:before="40"/>
              <w:jc w:val="right"/>
              <w:bidi w:val="1"/>
            </w:pPr>
            <w:r/>
            <w:r>
              <w:rPr>
                <w:rFonts w:ascii="Arial" w:hAnsi="Arial" w:cs="Arial" w:eastAsia="Arial"/>
                <w:b/>
                <w:color w:val="0F766E"/>
                <w:sz w:val="20"/>
                <w:rtl w:val="1"/>
                <w:lang w:bidi="ar-SA"/>
              </w:rPr>
              <w:t>🏥 مدير مستشفى</w:t>
            </w:r>
          </w:p>
        </w:tc>
        <w:tc>
          <w:tcPr>
            <w:tcW w:type="dxa" w:w="6192"/>
          </w:tcPr>
          <w:p>
            <w:pPr>
              <w:spacing w:after="40" w:before="40"/>
              <w:jc w:val="right"/>
              <w:bidi w:val="1"/>
            </w:pPr>
            <w:r/>
            <w:r>
              <w:rPr>
                <w:rFonts w:ascii="Arial" w:hAnsi="Arial" w:cs="Arial" w:eastAsia="Arial"/>
                <w:b w:val="0"/>
                <w:color w:val="1B1040"/>
                <w:sz w:val="20"/>
                <w:rtl w:val="1"/>
                <w:lang w:bidi="ar-SA"/>
              </w:rPr>
              <w:t>الموارد، التقارير، الإحالات الواردة</w:t>
            </w:r>
          </w:p>
        </w:tc>
      </w:tr>
      <w:tr>
        <w:tc>
          <w:tcPr>
            <w:tcW w:type="dxa" w:w="2880"/>
          </w:tcPr>
          <w:p>
            <w:pPr>
              <w:spacing w:after="40" w:before="40"/>
              <w:jc w:val="right"/>
              <w:bidi w:val="1"/>
            </w:pPr>
            <w:r/>
            <w:r>
              <w:rPr>
                <w:rFonts w:ascii="Arial" w:hAnsi="Arial" w:cs="Arial" w:eastAsia="Arial"/>
                <w:b/>
                <w:color w:val="0F766E"/>
                <w:sz w:val="20"/>
                <w:rtl w:val="1"/>
                <w:lang w:bidi="ar-SA"/>
              </w:rPr>
              <w:t>🏛️ مدير ولاية</w:t>
            </w:r>
          </w:p>
        </w:tc>
        <w:tc>
          <w:tcPr>
            <w:tcW w:type="dxa" w:w="6192"/>
          </w:tcPr>
          <w:p>
            <w:pPr>
              <w:spacing w:after="40" w:before="40"/>
              <w:jc w:val="right"/>
              <w:bidi w:val="1"/>
            </w:pPr>
            <w:r/>
            <w:r>
              <w:rPr>
                <w:rFonts w:ascii="Arial" w:hAnsi="Arial" w:cs="Arial" w:eastAsia="Arial"/>
                <w:b w:val="0"/>
                <w:color w:val="1B1040"/>
                <w:sz w:val="20"/>
                <w:rtl w:val="1"/>
                <w:lang w:bidi="ar-SA"/>
              </w:rPr>
              <w:t>الشبكة الصحية والسكان، شامل 58 ولاية</w:t>
            </w:r>
          </w:p>
        </w:tc>
      </w:tr>
      <w:tr>
        <w:tc>
          <w:tcPr>
            <w:tcW w:type="dxa" w:w="2880"/>
          </w:tcPr>
          <w:p>
            <w:pPr>
              <w:spacing w:after="40" w:before="40"/>
              <w:jc w:val="right"/>
              <w:bidi w:val="1"/>
            </w:pPr>
            <w:r/>
            <w:r>
              <w:rPr>
                <w:rFonts w:ascii="Arial" w:hAnsi="Arial" w:cs="Arial" w:eastAsia="Arial"/>
                <w:b/>
                <w:color w:val="0F766E"/>
                <w:sz w:val="20"/>
                <w:rtl w:val="1"/>
                <w:lang w:bidi="ar-SA"/>
              </w:rPr>
              <w:t>👨‍👩‍👧 أسرة/مرافق</w:t>
            </w:r>
          </w:p>
        </w:tc>
        <w:tc>
          <w:tcPr>
            <w:tcW w:type="dxa" w:w="6192"/>
          </w:tcPr>
          <w:p>
            <w:pPr>
              <w:spacing w:after="40" w:before="40"/>
              <w:jc w:val="right"/>
              <w:bidi w:val="1"/>
            </w:pPr>
            <w:r/>
            <w:r>
              <w:rPr>
                <w:rFonts w:ascii="Arial" w:hAnsi="Arial" w:cs="Arial" w:eastAsia="Arial"/>
                <w:b w:val="0"/>
                <w:color w:val="1B1040"/>
                <w:sz w:val="20"/>
                <w:rtl w:val="1"/>
                <w:lang w:bidi="ar-SA"/>
              </w:rPr>
              <w:t>متابعة المريض المتنقّل وحالته</w:t>
            </w:r>
          </w:p>
        </w:tc>
      </w:tr>
      <w:tr>
        <w:tc>
          <w:tcPr>
            <w:tcW w:type="dxa" w:w="2880"/>
          </w:tcPr>
          <w:p>
            <w:pPr>
              <w:spacing w:after="40" w:before="40"/>
              <w:jc w:val="right"/>
              <w:bidi w:val="1"/>
            </w:pPr>
            <w:r/>
            <w:r>
              <w:rPr>
                <w:rFonts w:ascii="Arial" w:hAnsi="Arial" w:cs="Arial" w:eastAsia="Arial"/>
                <w:b/>
                <w:color w:val="0F766E"/>
                <w:sz w:val="20"/>
                <w:rtl w:val="1"/>
                <w:lang w:bidi="ar-SA"/>
              </w:rPr>
              <w:t>🤝 مستفيد</w:t>
            </w:r>
          </w:p>
        </w:tc>
        <w:tc>
          <w:tcPr>
            <w:tcW w:type="dxa" w:w="6192"/>
          </w:tcPr>
          <w:p>
            <w:pPr>
              <w:spacing w:after="40" w:before="40"/>
              <w:jc w:val="right"/>
              <w:bidi w:val="1"/>
            </w:pPr>
            <w:r/>
            <w:r>
              <w:rPr>
                <w:rFonts w:ascii="Arial" w:hAnsi="Arial" w:cs="Arial" w:eastAsia="Arial"/>
                <w:b w:val="0"/>
                <w:color w:val="1B1040"/>
                <w:sz w:val="20"/>
                <w:rtl w:val="1"/>
                <w:lang w:bidi="ar-SA"/>
              </w:rPr>
              <w:t>ملفه الصحي وخدماته المقدَّمة</w:t>
            </w:r>
          </w:p>
        </w:tc>
      </w:tr>
      <w:tr>
        <w:tc>
          <w:tcPr>
            <w:tcW w:type="dxa" w:w="2880"/>
          </w:tcPr>
          <w:p>
            <w:pPr>
              <w:spacing w:after="40" w:before="40"/>
              <w:jc w:val="right"/>
              <w:bidi w:val="1"/>
            </w:pPr>
            <w:r/>
            <w:r>
              <w:rPr>
                <w:rFonts w:ascii="Arial" w:hAnsi="Arial" w:cs="Arial" w:eastAsia="Arial"/>
                <w:b/>
                <w:color w:val="0F766E"/>
                <w:sz w:val="20"/>
                <w:rtl w:val="1"/>
                <w:lang w:bidi="ar-SA"/>
              </w:rPr>
              <w:t>💛 جمعية</w:t>
            </w:r>
          </w:p>
        </w:tc>
        <w:tc>
          <w:tcPr>
            <w:tcW w:type="dxa" w:w="6192"/>
          </w:tcPr>
          <w:p>
            <w:pPr>
              <w:spacing w:after="40" w:before="40"/>
              <w:jc w:val="right"/>
              <w:bidi w:val="1"/>
            </w:pPr>
            <w:r/>
            <w:r>
              <w:rPr>
                <w:rFonts w:ascii="Arial" w:hAnsi="Arial" w:cs="Arial" w:eastAsia="Arial"/>
                <w:b w:val="0"/>
                <w:color w:val="1B1040"/>
                <w:sz w:val="20"/>
                <w:rtl w:val="1"/>
                <w:lang w:bidi="ar-SA"/>
              </w:rPr>
              <w:t>الدعم الاجتماعي ومتابعة الحالات</w:t>
            </w:r>
          </w:p>
        </w:tc>
      </w:tr>
      <w:tr>
        <w:tc>
          <w:tcPr>
            <w:tcW w:type="dxa" w:w="2880"/>
          </w:tcPr>
          <w:p>
            <w:pPr>
              <w:spacing w:after="40" w:before="40"/>
              <w:jc w:val="right"/>
              <w:bidi w:val="1"/>
            </w:pPr>
            <w:r/>
            <w:r>
              <w:rPr>
                <w:rFonts w:ascii="Arial" w:hAnsi="Arial" w:cs="Arial" w:eastAsia="Arial"/>
                <w:b/>
                <w:color w:val="0F766E"/>
                <w:sz w:val="20"/>
                <w:rtl w:val="1"/>
                <w:lang w:bidi="ar-SA"/>
              </w:rPr>
              <w:t>🧴 صيدلي</w:t>
            </w:r>
          </w:p>
        </w:tc>
        <w:tc>
          <w:tcPr>
            <w:tcW w:type="dxa" w:w="6192"/>
          </w:tcPr>
          <w:p>
            <w:pPr>
              <w:spacing w:after="40" w:before="40"/>
              <w:jc w:val="right"/>
              <w:bidi w:val="1"/>
            </w:pPr>
            <w:r/>
            <w:r>
              <w:rPr>
                <w:rFonts w:ascii="Arial" w:hAnsi="Arial" w:cs="Arial" w:eastAsia="Arial"/>
                <w:b w:val="0"/>
                <w:color w:val="1B1040"/>
                <w:sz w:val="20"/>
                <w:rtl w:val="1"/>
                <w:lang w:bidi="ar-SA"/>
              </w:rPr>
              <w:t>الروشتات الإلكترونية والمخزون</w:t>
            </w:r>
          </w:p>
        </w:tc>
      </w:tr>
      <w:tr>
        <w:tc>
          <w:tcPr>
            <w:tcW w:type="dxa" w:w="2880"/>
          </w:tcPr>
          <w:p>
            <w:pPr>
              <w:spacing w:after="40" w:before="40"/>
              <w:jc w:val="right"/>
              <w:bidi w:val="1"/>
            </w:pPr>
            <w:r/>
            <w:r>
              <w:rPr>
                <w:rFonts w:ascii="Arial" w:hAnsi="Arial" w:cs="Arial" w:eastAsia="Arial"/>
                <w:b/>
                <w:color w:val="0F766E"/>
                <w:sz w:val="20"/>
                <w:rtl w:val="1"/>
                <w:lang w:bidi="ar-SA"/>
              </w:rPr>
              <w:t>♨️ السياحة العلاجية</w:t>
            </w:r>
          </w:p>
        </w:tc>
        <w:tc>
          <w:tcPr>
            <w:tcW w:type="dxa" w:w="6192"/>
          </w:tcPr>
          <w:p>
            <w:pPr>
              <w:spacing w:after="40" w:before="40"/>
              <w:jc w:val="right"/>
              <w:bidi w:val="1"/>
            </w:pPr>
            <w:r/>
            <w:r>
              <w:rPr>
                <w:rFonts w:ascii="Arial" w:hAnsi="Arial" w:cs="Arial" w:eastAsia="Arial"/>
                <w:b w:val="0"/>
                <w:color w:val="1B1040"/>
                <w:sz w:val="20"/>
                <w:rtl w:val="1"/>
                <w:lang w:bidi="ar-SA"/>
              </w:rPr>
              <w:t>الحمّامات والحزم والوكالات</w:t>
            </w:r>
          </w:p>
        </w:tc>
      </w:tr>
      <w:tr>
        <w:tc>
          <w:tcPr>
            <w:tcW w:type="dxa" w:w="2880"/>
          </w:tcPr>
          <w:p>
            <w:pPr>
              <w:spacing w:after="40" w:before="40"/>
              <w:jc w:val="right"/>
              <w:bidi w:val="1"/>
            </w:pPr>
            <w:r/>
            <w:r>
              <w:rPr>
                <w:rFonts w:ascii="Arial" w:hAnsi="Arial" w:cs="Arial" w:eastAsia="Arial"/>
                <w:b/>
                <w:color w:val="0F766E"/>
                <w:sz w:val="20"/>
                <w:rtl w:val="1"/>
                <w:lang w:bidi="ar-SA"/>
              </w:rPr>
              <w:t>🚑 DASS</w:t>
            </w:r>
          </w:p>
        </w:tc>
        <w:tc>
          <w:tcPr>
            <w:tcW w:type="dxa" w:w="6192"/>
          </w:tcPr>
          <w:p>
            <w:pPr>
              <w:spacing w:after="40" w:before="40"/>
              <w:jc w:val="right"/>
              <w:bidi w:val="1"/>
            </w:pPr>
            <w:r/>
            <w:r>
              <w:rPr>
                <w:rFonts w:ascii="Arial" w:hAnsi="Arial" w:cs="Arial" w:eastAsia="Arial"/>
                <w:b w:val="0"/>
                <w:color w:val="1B1040"/>
                <w:sz w:val="20"/>
                <w:rtl w:val="1"/>
                <w:lang w:bidi="ar-SA"/>
              </w:rPr>
              <w:t>النشاط الاجتماعي والاحتضان</w:t>
            </w:r>
          </w:p>
        </w:tc>
      </w:tr>
    </w:tbl>
    <w:p>
      <w:pPr>
        <w:spacing w:before="280" w:after="120"/>
        <w:jc w:val="right"/>
        <w:bidi w:val="1"/>
        <w:pBdr>
          <w:bottom w:val="single" w:sz="10" w:space="3" w:color="6D28D9"/>
        </w:pBdr>
      </w:pPr>
      <w:r>
        <w:rPr>
          <w:rFonts w:ascii="Arial" w:hAnsi="Arial" w:cs="Arial" w:eastAsia="Arial"/>
          <w:b/>
          <w:color w:val="B45309"/>
          <w:sz w:val="30"/>
          <w:rtl w:val="1"/>
          <w:lang w:bidi="ar-SA"/>
        </w:rPr>
        <w:t xml:space="preserve">4  </w:t>
      </w:r>
      <w:r>
        <w:rPr>
          <w:rFonts w:ascii="Arial" w:hAnsi="Arial" w:cs="Arial" w:eastAsia="Arial"/>
          <w:b/>
          <w:color w:val="4C1D95"/>
          <w:sz w:val="30"/>
          <w:rtl w:val="1"/>
          <w:lang w:bidi="ar-SA"/>
        </w:rPr>
        <w:t>الواجهات الحيّة للمنصة</w:t>
      </w:r>
    </w:p>
    <w:p>
      <w:pPr>
        <w:spacing w:after="80" w:before="0" w:line="360" w:lineRule="auto"/>
        <w:jc w:val="right"/>
        <w:bidi w:val="1"/>
      </w:pPr>
      <w:r>
        <w:rPr>
          <w:rFonts w:ascii="Arial" w:hAnsi="Arial" w:cs="Arial" w:eastAsia="Arial"/>
          <w:b w:val="0"/>
          <w:color w:val="64627A"/>
          <w:sz w:val="21"/>
          <w:rtl w:val="1"/>
          <w:lang w:bidi="ar-SA"/>
        </w:rPr>
        <w:t>لقطات مأخوذة مباشرة من المنصة أثناء التشغيل:</w:t>
      </w:r>
    </w:p>
    <w:p>
      <w:pPr>
        <w:spacing w:before="120" w:after="40"/>
        <w:jc w:val="center"/>
        <w:bidi w:val="1"/>
        <w:pBdr>
          <w:top w:val="single" w:sz="6" w:space="4" w:color="D8D4E8"/>
          <w:left w:val="single" w:sz="6" w:space="4" w:color="D8D4E8"/>
          <w:bottom w:val="single" w:sz="6" w:space="4" w:color="D8D4E8"/>
          <w:right w:val="single" w:sz="6" w:space="4" w:color="D8D4E8"/>
        </w:pBdr>
      </w:pPr>
      <w:r>
        <w:drawing>
          <wp:inline xmlns:a="http://schemas.openxmlformats.org/drawingml/2006/main" xmlns:pic="http://schemas.openxmlformats.org/drawingml/2006/picture">
            <wp:extent cx="5120640" cy="8778240"/>
            <wp:docPr id="1" name="Picture 1"/>
            <wp:cNvGraphicFramePr>
              <a:graphicFrameLocks noChangeAspect="1"/>
            </wp:cNvGraphicFramePr>
            <a:graphic>
              <a:graphicData uri="http://schemas.openxmlformats.org/drawingml/2006/picture">
                <pic:pic>
                  <pic:nvPicPr>
                    <pic:cNvPr id="0" name="01-landing.png"/>
                    <pic:cNvPicPr/>
                  </pic:nvPicPr>
                  <pic:blipFill>
                    <a:blip r:embed="rId9"/>
                    <a:stretch>
                      <a:fillRect/>
                    </a:stretch>
                  </pic:blipFill>
                  <pic:spPr>
                    <a:xfrm>
                      <a:off x="0" y="0"/>
                      <a:ext cx="5120640" cy="8778240"/>
                    </a:xfrm>
                    <a:prstGeom prst="rect"/>
                  </pic:spPr>
                </pic:pic>
              </a:graphicData>
            </a:graphic>
          </wp:inline>
        </w:drawing>
      </w:r>
    </w:p>
    <w:p>
      <w:pPr>
        <w:spacing w:after="200"/>
        <w:jc w:val="center"/>
        <w:bidi w:val="1"/>
      </w:pPr>
      <w:r>
        <w:rPr>
          <w:rFonts w:ascii="Arial" w:hAnsi="Arial" w:cs="Arial" w:eastAsia="Arial"/>
          <w:b/>
          <w:color w:val="64627A"/>
          <w:sz w:val="19"/>
          <w:rtl w:val="1"/>
          <w:lang w:bidi="ar-SA"/>
        </w:rPr>
        <w:t>الواجهة الرئيسية — منصة وطنية موحّدة بخمسة وثمانين ولاية وعشرة أدوار</w:t>
      </w:r>
    </w:p>
    <w:p>
      <w:pPr>
        <w:spacing w:before="120" w:after="40"/>
        <w:jc w:val="center"/>
        <w:bidi w:val="1"/>
        <w:pBdr>
          <w:top w:val="single" w:sz="6" w:space="4" w:color="D8D4E8"/>
          <w:left w:val="single" w:sz="6" w:space="4" w:color="D8D4E8"/>
          <w:bottom w:val="single" w:sz="6" w:space="4" w:color="D8D4E8"/>
          <w:right w:val="single" w:sz="6" w:space="4" w:color="D8D4E8"/>
        </w:pBdr>
      </w:pPr>
      <w:r>
        <w:drawing>
          <wp:inline xmlns:a="http://schemas.openxmlformats.org/drawingml/2006/main" xmlns:pic="http://schemas.openxmlformats.org/drawingml/2006/picture">
            <wp:extent cx="5120640" cy="4206240"/>
            <wp:docPr id="2" name="Picture 2"/>
            <wp:cNvGraphicFramePr>
              <a:graphicFrameLocks noChangeAspect="1"/>
            </wp:cNvGraphicFramePr>
            <a:graphic>
              <a:graphicData uri="http://schemas.openxmlformats.org/drawingml/2006/picture">
                <pic:pic>
                  <pic:nvPicPr>
                    <pic:cNvPr id="0" name="02-login.png"/>
                    <pic:cNvPicPr/>
                  </pic:nvPicPr>
                  <pic:blipFill>
                    <a:blip r:embed="rId10"/>
                    <a:stretch>
                      <a:fillRect/>
                    </a:stretch>
                  </pic:blipFill>
                  <pic:spPr>
                    <a:xfrm>
                      <a:off x="0" y="0"/>
                      <a:ext cx="5120640" cy="4206240"/>
                    </a:xfrm>
                    <a:prstGeom prst="rect"/>
                  </pic:spPr>
                </pic:pic>
              </a:graphicData>
            </a:graphic>
          </wp:inline>
        </w:drawing>
      </w:r>
    </w:p>
    <w:p>
      <w:pPr>
        <w:spacing w:after="200"/>
        <w:jc w:val="center"/>
        <w:bidi w:val="1"/>
      </w:pPr>
      <w:r>
        <w:rPr>
          <w:rFonts w:ascii="Arial" w:hAnsi="Arial" w:cs="Arial" w:eastAsia="Arial"/>
          <w:b/>
          <w:color w:val="64627A"/>
          <w:sz w:val="19"/>
          <w:rtl w:val="1"/>
          <w:lang w:bidi="ar-SA"/>
        </w:rPr>
        <w:t>بوابة الدخول الموحّدة — اختيار الدور مع حساب تجريبي جاهز لكل دور</w:t>
      </w:r>
    </w:p>
    <w:p>
      <w:pPr>
        <w:spacing w:before="120" w:after="40"/>
        <w:jc w:val="center"/>
        <w:bidi w:val="1"/>
        <w:pBdr>
          <w:top w:val="single" w:sz="6" w:space="4" w:color="D8D4E8"/>
          <w:left w:val="single" w:sz="6" w:space="4" w:color="D8D4E8"/>
          <w:bottom w:val="single" w:sz="6" w:space="4" w:color="D8D4E8"/>
          <w:right w:val="single" w:sz="6" w:space="4" w:color="D8D4E8"/>
        </w:pBdr>
      </w:pPr>
      <w:r>
        <w:drawing>
          <wp:inline xmlns:a="http://schemas.openxmlformats.org/drawingml/2006/main" xmlns:pic="http://schemas.openxmlformats.org/drawingml/2006/picture">
            <wp:extent cx="5394960" cy="3853543"/>
            <wp:docPr id="3" name="Picture 3"/>
            <wp:cNvGraphicFramePr>
              <a:graphicFrameLocks noChangeAspect="1"/>
            </wp:cNvGraphicFramePr>
            <a:graphic>
              <a:graphicData uri="http://schemas.openxmlformats.org/drawingml/2006/picture">
                <pic:pic>
                  <pic:nvPicPr>
                    <pic:cNvPr id="0" name="04-dashboard.png"/>
                    <pic:cNvPicPr/>
                  </pic:nvPicPr>
                  <pic:blipFill>
                    <a:blip r:embed="rId11"/>
                    <a:stretch>
                      <a:fillRect/>
                    </a:stretch>
                  </pic:blipFill>
                  <pic:spPr>
                    <a:xfrm>
                      <a:off x="0" y="0"/>
                      <a:ext cx="5394960" cy="3853543"/>
                    </a:xfrm>
                    <a:prstGeom prst="rect"/>
                  </pic:spPr>
                </pic:pic>
              </a:graphicData>
            </a:graphic>
          </wp:inline>
        </w:drawing>
      </w:r>
    </w:p>
    <w:p>
      <w:pPr>
        <w:spacing w:after="200"/>
        <w:jc w:val="center"/>
        <w:bidi w:val="1"/>
      </w:pPr>
      <w:r>
        <w:rPr>
          <w:rFonts w:ascii="Arial" w:hAnsi="Arial" w:cs="Arial" w:eastAsia="Arial"/>
          <w:b/>
          <w:color w:val="64627A"/>
          <w:sz w:val="19"/>
          <w:rtl w:val="1"/>
          <w:lang w:bidi="ar-SA"/>
        </w:rPr>
        <w:t>لوحة المدير الوطني — إحصائيات شاملة وتنبيهات ذكية ورسوم بيانية حيّة</w:t>
      </w:r>
    </w:p>
    <w:p>
      <w:pPr>
        <w:spacing w:before="120" w:after="40"/>
        <w:jc w:val="center"/>
        <w:bidi w:val="1"/>
        <w:pBdr>
          <w:top w:val="single" w:sz="6" w:space="4" w:color="D8D4E8"/>
          <w:left w:val="single" w:sz="6" w:space="4" w:color="D8D4E8"/>
          <w:bottom w:val="single" w:sz="6" w:space="4" w:color="D8D4E8"/>
          <w:right w:val="single" w:sz="6" w:space="4" w:color="D8D4E8"/>
        </w:pBdr>
      </w:pPr>
      <w:r>
        <w:drawing>
          <wp:inline xmlns:a="http://schemas.openxmlformats.org/drawingml/2006/main" xmlns:pic="http://schemas.openxmlformats.org/drawingml/2006/picture">
            <wp:extent cx="5394960" cy="4046220"/>
            <wp:docPr id="4" name="Picture 4"/>
            <wp:cNvGraphicFramePr>
              <a:graphicFrameLocks noChangeAspect="1"/>
            </wp:cNvGraphicFramePr>
            <a:graphic>
              <a:graphicData uri="http://schemas.openxmlformats.org/drawingml/2006/picture">
                <pic:pic>
                  <pic:nvPicPr>
                    <pic:cNvPr id="0" name="05-referrals.png"/>
                    <pic:cNvPicPr/>
                  </pic:nvPicPr>
                  <pic:blipFill>
                    <a:blip r:embed="rId12"/>
                    <a:stretch>
                      <a:fillRect/>
                    </a:stretch>
                  </pic:blipFill>
                  <pic:spPr>
                    <a:xfrm>
                      <a:off x="0" y="0"/>
                      <a:ext cx="5394960" cy="4046220"/>
                    </a:xfrm>
                    <a:prstGeom prst="rect"/>
                  </pic:spPr>
                </pic:pic>
              </a:graphicData>
            </a:graphic>
          </wp:inline>
        </w:drawing>
      </w:r>
    </w:p>
    <w:p>
      <w:pPr>
        <w:spacing w:after="200"/>
        <w:jc w:val="center"/>
        <w:bidi w:val="1"/>
      </w:pPr>
      <w:r>
        <w:rPr>
          <w:rFonts w:ascii="Arial" w:hAnsi="Arial" w:cs="Arial" w:eastAsia="Arial"/>
          <w:b/>
          <w:color w:val="64627A"/>
          <w:sz w:val="19"/>
          <w:rtl w:val="1"/>
          <w:lang w:bidi="ar-SA"/>
        </w:rPr>
        <w:t>نظام الإحالة الإلكترونية — تنبيهات تجاوز المهلة الزمنية (SLA) وحالات الإحالة</w:t>
      </w:r>
    </w:p>
    <w:p>
      <w:pPr>
        <w:spacing w:before="120" w:after="40"/>
        <w:jc w:val="center"/>
        <w:bidi w:val="1"/>
        <w:pBdr>
          <w:top w:val="single" w:sz="6" w:space="4" w:color="D8D4E8"/>
          <w:left w:val="single" w:sz="6" w:space="4" w:color="D8D4E8"/>
          <w:bottom w:val="single" w:sz="6" w:space="4" w:color="D8D4E8"/>
          <w:right w:val="single" w:sz="6" w:space="4" w:color="D8D4E8"/>
        </w:pBdr>
      </w:pPr>
      <w:r>
        <w:drawing>
          <wp:inline xmlns:a="http://schemas.openxmlformats.org/drawingml/2006/main" xmlns:pic="http://schemas.openxmlformats.org/drawingml/2006/picture">
            <wp:extent cx="5120640" cy="8778240"/>
            <wp:docPr id="5" name="Picture 5"/>
            <wp:cNvGraphicFramePr>
              <a:graphicFrameLocks noChangeAspect="1"/>
            </wp:cNvGraphicFramePr>
            <a:graphic>
              <a:graphicData uri="http://schemas.openxmlformats.org/drawingml/2006/picture">
                <pic:pic>
                  <pic:nvPicPr>
                    <pic:cNvPr id="0" name="03-tourism.png"/>
                    <pic:cNvPicPr/>
                  </pic:nvPicPr>
                  <pic:blipFill>
                    <a:blip r:embed="rId13"/>
                    <a:stretch>
                      <a:fillRect/>
                    </a:stretch>
                  </pic:blipFill>
                  <pic:spPr>
                    <a:xfrm>
                      <a:off x="0" y="0"/>
                      <a:ext cx="5120640" cy="8778240"/>
                    </a:xfrm>
                    <a:prstGeom prst="rect"/>
                  </pic:spPr>
                </pic:pic>
              </a:graphicData>
            </a:graphic>
          </wp:inline>
        </w:drawing>
      </w:r>
    </w:p>
    <w:p>
      <w:pPr>
        <w:spacing w:after="200"/>
        <w:jc w:val="center"/>
        <w:bidi w:val="1"/>
      </w:pPr>
      <w:r>
        <w:rPr>
          <w:rFonts w:ascii="Arial" w:hAnsi="Arial" w:cs="Arial" w:eastAsia="Arial"/>
          <w:b/>
          <w:color w:val="64627A"/>
          <w:sz w:val="19"/>
          <w:rtl w:val="1"/>
          <w:lang w:bidi="ar-SA"/>
        </w:rPr>
        <w:t>السياحة العلاجية — الوجهات الحموية والحزم العلاجية واستمارة الاستشارة الدولية</w:t>
      </w:r>
    </w:p>
    <w:p>
      <w:pPr>
        <w:spacing w:before="280" w:after="120"/>
        <w:jc w:val="right"/>
        <w:bidi w:val="1"/>
        <w:pBdr>
          <w:bottom w:val="single" w:sz="10" w:space="3" w:color="6D28D9"/>
        </w:pBdr>
      </w:pPr>
      <w:r>
        <w:rPr>
          <w:rFonts w:ascii="Arial" w:hAnsi="Arial" w:cs="Arial" w:eastAsia="Arial"/>
          <w:b/>
          <w:color w:val="B45309"/>
          <w:sz w:val="30"/>
          <w:rtl w:val="1"/>
          <w:lang w:bidi="ar-SA"/>
        </w:rPr>
        <w:t xml:space="preserve">5  </w:t>
      </w:r>
      <w:r>
        <w:rPr>
          <w:rFonts w:ascii="Arial" w:hAnsi="Arial" w:cs="Arial" w:eastAsia="Arial"/>
          <w:b/>
          <w:color w:val="4C1D95"/>
          <w:sz w:val="30"/>
          <w:rtl w:val="1"/>
          <w:lang w:bidi="ar-SA"/>
        </w:rPr>
        <w:t>التقنيات والبنية</w:t>
      </w:r>
    </w:p>
    <w:p>
      <w:pPr>
        <w:spacing w:after="60" w:before="0" w:line="360" w:lineRule="auto"/>
        <w:jc w:val="right"/>
        <w:bidi w:val="1"/>
      </w:pPr>
      <w:r>
        <w:rPr>
          <w:rFonts w:ascii="Arial" w:hAnsi="Arial" w:cs="Arial" w:eastAsia="Arial"/>
          <w:b w:val="0"/>
          <w:color w:val="1B1040"/>
          <w:sz w:val="22"/>
          <w:rtl w:val="1"/>
          <w:lang w:bidi="ar-SA"/>
        </w:rPr>
        <w:t>• الواجهة الأمامية: React 19 + Vite + TypeScript — مع تقطيع الحزم لتسريع التحميل.</w:t>
      </w:r>
    </w:p>
    <w:p>
      <w:pPr>
        <w:spacing w:after="60" w:before="0" w:line="360" w:lineRule="auto"/>
        <w:jc w:val="right"/>
        <w:bidi w:val="1"/>
      </w:pPr>
      <w:r>
        <w:rPr>
          <w:rFonts w:ascii="Arial" w:hAnsi="Arial" w:cs="Arial" w:eastAsia="Arial"/>
          <w:b w:val="0"/>
          <w:color w:val="1B1040"/>
          <w:sz w:val="22"/>
          <w:rtl w:val="1"/>
          <w:lang w:bidi="ar-SA"/>
        </w:rPr>
        <w:t>• الخلفية: FastAPI (Python) — واجهة برمجية سريعة وموثّقة تلقائياً.</w:t>
      </w:r>
    </w:p>
    <w:p>
      <w:pPr>
        <w:spacing w:after="60" w:before="0" w:line="360" w:lineRule="auto"/>
        <w:jc w:val="right"/>
        <w:bidi w:val="1"/>
      </w:pPr>
      <w:r>
        <w:rPr>
          <w:rFonts w:ascii="Arial" w:hAnsi="Arial" w:cs="Arial" w:eastAsia="Arial"/>
          <w:b w:val="0"/>
          <w:color w:val="1B1040"/>
          <w:sz w:val="22"/>
          <w:rtl w:val="1"/>
          <w:lang w:bidi="ar-SA"/>
        </w:rPr>
        <w:t>• قاعدة البيانات: SQLite للتطوير، وPostgreSQL للإنتاج — مع دعم كامل للنشر السحابي.</w:t>
      </w:r>
    </w:p>
    <w:p>
      <w:pPr>
        <w:spacing w:after="60" w:before="0" w:line="360" w:lineRule="auto"/>
        <w:jc w:val="right"/>
        <w:bidi w:val="1"/>
      </w:pPr>
      <w:r>
        <w:rPr>
          <w:rFonts w:ascii="Arial" w:hAnsi="Arial" w:cs="Arial" w:eastAsia="Arial"/>
          <w:b w:val="0"/>
          <w:color w:val="1B1040"/>
          <w:sz w:val="22"/>
          <w:rtl w:val="1"/>
          <w:lang w:bidi="ar-SA"/>
        </w:rPr>
        <w:t>• التشغيل: حاوية Docker متعددة المراحل، ونشر جاهز على Render مع Neon.</w:t>
      </w:r>
    </w:p>
    <w:p>
      <w:pPr>
        <w:spacing w:after="60" w:before="0" w:line="360" w:lineRule="auto"/>
        <w:jc w:val="right"/>
        <w:bidi w:val="1"/>
      </w:pPr>
      <w:r>
        <w:rPr>
          <w:rFonts w:ascii="Arial" w:hAnsi="Arial" w:cs="Arial" w:eastAsia="Arial"/>
          <w:b w:val="0"/>
          <w:color w:val="1B1040"/>
          <w:sz w:val="22"/>
          <w:rtl w:val="1"/>
          <w:lang w:bidi="ar-SA"/>
        </w:rPr>
        <w:t>• الأمان: تسجيل دخول موثّق، تشفير كلمات المرور، وفرض تغيير كلمة المرور الأولى.</w:t>
      </w:r>
    </w:p>
    <w:p>
      <w:pPr>
        <w:spacing w:after="60" w:before="0" w:line="360" w:lineRule="auto"/>
        <w:jc w:val="right"/>
        <w:bidi w:val="1"/>
      </w:pPr>
      <w:r>
        <w:rPr>
          <w:rFonts w:ascii="Arial" w:hAnsi="Arial" w:cs="Arial" w:eastAsia="Arial"/>
          <w:b w:val="0"/>
          <w:color w:val="1B1040"/>
          <w:sz w:val="22"/>
          <w:rtl w:val="1"/>
          <w:lang w:bidi="ar-SA"/>
        </w:rPr>
        <w:t>• الجوال: تطبيق ويب تقدّمي (PWA) يعمل دون إنترنت ويتزامن تلقائياً.</w:t>
      </w:r>
    </w:p>
    <w:p>
      <w:pPr>
        <w:spacing w:before="280" w:after="120"/>
        <w:jc w:val="right"/>
        <w:bidi w:val="1"/>
        <w:pBdr>
          <w:bottom w:val="single" w:sz="10" w:space="3" w:color="6D28D9"/>
        </w:pBdr>
      </w:pPr>
      <w:r>
        <w:rPr>
          <w:rFonts w:ascii="Arial" w:hAnsi="Arial" w:cs="Arial" w:eastAsia="Arial"/>
          <w:b/>
          <w:color w:val="B45309"/>
          <w:sz w:val="30"/>
          <w:rtl w:val="1"/>
          <w:lang w:bidi="ar-SA"/>
        </w:rPr>
        <w:t xml:space="preserve">6  </w:t>
      </w:r>
      <w:r>
        <w:rPr>
          <w:rFonts w:ascii="Arial" w:hAnsi="Arial" w:cs="Arial" w:eastAsia="Arial"/>
          <w:b/>
          <w:color w:val="4C1D95"/>
          <w:sz w:val="30"/>
          <w:rtl w:val="1"/>
          <w:lang w:bidi="ar-SA"/>
        </w:rPr>
        <w:t>الوصول إلى المنصة</w:t>
      </w:r>
    </w:p>
    <w:tbl>
      <w:tblPr>
        <w:tblStyle w:val="TableGrid"/>
        <w:tblW w:type="auto" w:w="0"/>
        <w:jc w:val="center"/>
        <w:tblLook w:firstColumn="1" w:firstRow="1" w:lastColumn="0" w:lastRow="0" w:noHBand="0" w:noVBand="1" w:val="04A0"/>
      </w:tblPr>
      <w:tblGrid>
        <w:gridCol w:w="5040"/>
        <w:gridCol w:w="5040"/>
      </w:tblGrid>
      <w:tr>
        <w:tc>
          <w:tcPr>
            <w:tcW w:type="dxa" w:w="3456"/>
            <w:shd w:val="clear" w:color="auto" w:fill="B45309"/>
          </w:tcPr>
          <w:p>
            <w:pPr>
              <w:spacing w:after="40" w:before="40"/>
              <w:jc w:val="center"/>
              <w:bidi w:val="1"/>
            </w:pPr>
            <w:r/>
            <w:r>
              <w:rPr>
                <w:rFonts w:ascii="Arial" w:hAnsi="Arial" w:cs="Arial" w:eastAsia="Arial"/>
                <w:b/>
                <w:color w:val="FFFFFF"/>
                <w:sz w:val="22"/>
                <w:rtl w:val="1"/>
                <w:lang w:bidi="ar-SA"/>
              </w:rPr>
              <w:t>العنوان</w:t>
            </w:r>
          </w:p>
        </w:tc>
        <w:tc>
          <w:tcPr>
            <w:tcW w:type="dxa" w:w="5616"/>
            <w:shd w:val="clear" w:color="auto" w:fill="B45309"/>
          </w:tcPr>
          <w:p>
            <w:pPr>
              <w:spacing w:after="40" w:before="40"/>
              <w:jc w:val="center"/>
              <w:bidi w:val="1"/>
            </w:pPr>
            <w:r/>
            <w:r>
              <w:rPr>
                <w:rFonts w:ascii="Arial" w:hAnsi="Arial" w:cs="Arial" w:eastAsia="Arial"/>
                <w:b/>
                <w:color w:val="FFFFFF"/>
                <w:sz w:val="22"/>
                <w:rtl w:val="1"/>
                <w:lang w:bidi="ar-SA"/>
              </w:rPr>
              <w:t>الرابط</w:t>
            </w:r>
          </w:p>
        </w:tc>
      </w:tr>
      <w:tr>
        <w:tc>
          <w:tcPr>
            <w:tcW w:type="dxa" w:w="3456"/>
          </w:tcPr>
          <w:p>
            <w:pPr>
              <w:spacing w:after="40" w:before="40"/>
              <w:jc w:val="right"/>
              <w:bidi w:val="1"/>
            </w:pPr>
            <w:r/>
            <w:r>
              <w:rPr>
                <w:rFonts w:ascii="Arial" w:hAnsi="Arial" w:cs="Arial" w:eastAsia="Arial"/>
                <w:b/>
                <w:color w:val="B45309"/>
                <w:sz w:val="20"/>
                <w:rtl w:val="1"/>
                <w:lang w:bidi="ar-SA"/>
              </w:rPr>
              <w:t>الصفحة العامة</w:t>
            </w:r>
          </w:p>
        </w:tc>
        <w:tc>
          <w:tcPr>
            <w:tcW w:type="dxa" w:w="5616"/>
          </w:tcPr>
          <w:p>
            <w:pPr>
              <w:spacing w:after="40" w:before="40"/>
              <w:jc w:val="right"/>
              <w:bidi w:val="1"/>
            </w:pPr>
            <w:r/>
            <w:r>
              <w:rPr>
                <w:rFonts w:ascii="Arial" w:hAnsi="Arial" w:cs="Arial" w:eastAsia="Arial"/>
                <w:b w:val="0"/>
                <w:color w:val="1B1040"/>
                <w:sz w:val="20"/>
                <w:rtl w:val="1"/>
                <w:lang w:bidi="ar-SA"/>
              </w:rPr>
              <w:t>/</w:t>
            </w:r>
          </w:p>
        </w:tc>
      </w:tr>
      <w:tr>
        <w:tc>
          <w:tcPr>
            <w:tcW w:type="dxa" w:w="3456"/>
          </w:tcPr>
          <w:p>
            <w:pPr>
              <w:spacing w:after="40" w:before="40"/>
              <w:jc w:val="right"/>
              <w:bidi w:val="1"/>
            </w:pPr>
            <w:r/>
            <w:r>
              <w:rPr>
                <w:rFonts w:ascii="Arial" w:hAnsi="Arial" w:cs="Arial" w:eastAsia="Arial"/>
                <w:b/>
                <w:color w:val="B45309"/>
                <w:sz w:val="20"/>
                <w:rtl w:val="1"/>
                <w:lang w:bidi="ar-SA"/>
              </w:rPr>
              <w:t>السياحة العلاجية</w:t>
            </w:r>
          </w:p>
        </w:tc>
        <w:tc>
          <w:tcPr>
            <w:tcW w:type="dxa" w:w="5616"/>
          </w:tcPr>
          <w:p>
            <w:pPr>
              <w:spacing w:after="40" w:before="40"/>
              <w:jc w:val="right"/>
              <w:bidi w:val="1"/>
            </w:pPr>
            <w:r/>
            <w:r>
              <w:rPr>
                <w:rFonts w:ascii="Arial" w:hAnsi="Arial" w:cs="Arial" w:eastAsia="Arial"/>
                <w:b w:val="0"/>
                <w:color w:val="1B1040"/>
                <w:sz w:val="20"/>
                <w:rtl w:val="1"/>
                <w:lang w:bidi="ar-SA"/>
              </w:rPr>
              <w:t>/tourism</w:t>
            </w:r>
          </w:p>
        </w:tc>
      </w:tr>
      <w:tr>
        <w:tc>
          <w:tcPr>
            <w:tcW w:type="dxa" w:w="3456"/>
          </w:tcPr>
          <w:p>
            <w:pPr>
              <w:spacing w:after="40" w:before="40"/>
              <w:jc w:val="right"/>
              <w:bidi w:val="1"/>
            </w:pPr>
            <w:r/>
            <w:r>
              <w:rPr>
                <w:rFonts w:ascii="Arial" w:hAnsi="Arial" w:cs="Arial" w:eastAsia="Arial"/>
                <w:b/>
                <w:color w:val="B45309"/>
                <w:sz w:val="20"/>
                <w:rtl w:val="1"/>
                <w:lang w:bidi="ar-SA"/>
              </w:rPr>
              <w:t>بوابة الدخول</w:t>
            </w:r>
          </w:p>
        </w:tc>
        <w:tc>
          <w:tcPr>
            <w:tcW w:type="dxa" w:w="5616"/>
          </w:tcPr>
          <w:p>
            <w:pPr>
              <w:spacing w:after="40" w:before="40"/>
              <w:jc w:val="right"/>
              <w:bidi w:val="1"/>
            </w:pPr>
            <w:r/>
            <w:r>
              <w:rPr>
                <w:rFonts w:ascii="Arial" w:hAnsi="Arial" w:cs="Arial" w:eastAsia="Arial"/>
                <w:b w:val="0"/>
                <w:color w:val="1B1040"/>
                <w:sz w:val="20"/>
                <w:rtl w:val="1"/>
                <w:lang w:bidi="ar-SA"/>
              </w:rPr>
              <w:t>/login</w:t>
            </w:r>
          </w:p>
        </w:tc>
      </w:tr>
      <w:tr>
        <w:tc>
          <w:tcPr>
            <w:tcW w:type="dxa" w:w="3456"/>
          </w:tcPr>
          <w:p>
            <w:pPr>
              <w:spacing w:after="40" w:before="40"/>
              <w:jc w:val="right"/>
              <w:bidi w:val="1"/>
            </w:pPr>
            <w:r/>
            <w:r>
              <w:rPr>
                <w:rFonts w:ascii="Arial" w:hAnsi="Arial" w:cs="Arial" w:eastAsia="Arial"/>
                <w:b/>
                <w:color w:val="B45309"/>
                <w:sz w:val="20"/>
                <w:rtl w:val="1"/>
                <w:lang w:bidi="ar-SA"/>
              </w:rPr>
              <w:t>لوحة الإدارة</w:t>
            </w:r>
          </w:p>
        </w:tc>
        <w:tc>
          <w:tcPr>
            <w:tcW w:type="dxa" w:w="5616"/>
          </w:tcPr>
          <w:p>
            <w:pPr>
              <w:spacing w:after="40" w:before="40"/>
              <w:jc w:val="right"/>
              <w:bidi w:val="1"/>
            </w:pPr>
            <w:r/>
            <w:r>
              <w:rPr>
                <w:rFonts w:ascii="Arial" w:hAnsi="Arial" w:cs="Arial" w:eastAsia="Arial"/>
                <w:b w:val="0"/>
                <w:color w:val="1B1040"/>
                <w:sz w:val="20"/>
                <w:rtl w:val="1"/>
                <w:lang w:bidi="ar-SA"/>
              </w:rPr>
              <w:t>/admin</w:t>
            </w:r>
          </w:p>
        </w:tc>
      </w:tr>
      <w:tr>
        <w:tc>
          <w:tcPr>
            <w:tcW w:type="dxa" w:w="3456"/>
          </w:tcPr>
          <w:p>
            <w:pPr>
              <w:spacing w:after="40" w:before="40"/>
              <w:jc w:val="right"/>
              <w:bidi w:val="1"/>
            </w:pPr>
            <w:r/>
            <w:r>
              <w:rPr>
                <w:rFonts w:ascii="Arial" w:hAnsi="Arial" w:cs="Arial" w:eastAsia="Arial"/>
                <w:b/>
                <w:color w:val="B45309"/>
                <w:sz w:val="20"/>
                <w:rtl w:val="1"/>
                <w:lang w:bidi="ar-SA"/>
              </w:rPr>
              <w:t>الإحالات الإلكترونية</w:t>
            </w:r>
          </w:p>
        </w:tc>
        <w:tc>
          <w:tcPr>
            <w:tcW w:type="dxa" w:w="5616"/>
          </w:tcPr>
          <w:p>
            <w:pPr>
              <w:spacing w:after="40" w:before="40"/>
              <w:jc w:val="right"/>
              <w:bidi w:val="1"/>
            </w:pPr>
            <w:r/>
            <w:r>
              <w:rPr>
                <w:rFonts w:ascii="Arial" w:hAnsi="Arial" w:cs="Arial" w:eastAsia="Arial"/>
                <w:b w:val="0"/>
                <w:color w:val="1B1040"/>
                <w:sz w:val="20"/>
                <w:rtl w:val="1"/>
                <w:lang w:bidi="ar-SA"/>
              </w:rPr>
              <w:t>/admin/referrals</w:t>
            </w:r>
          </w:p>
        </w:tc>
      </w:tr>
    </w:tbl>
    <w:p>
      <w:pPr>
        <w:spacing w:after="120" w:before="0" w:line="360" w:lineRule="auto"/>
        <w:jc w:val="right"/>
        <w:bidi w:val="1"/>
      </w:pPr>
    </w:p>
    <w:p>
      <w:pPr>
        <w:spacing w:after="160"/>
        <w:jc w:val="center"/>
        <w:bidi w:val="1"/>
      </w:pPr>
      <w:r>
        <w:rPr>
          <w:rFonts w:ascii="Arial" w:hAnsi="Arial" w:cs="Arial" w:eastAsia="Arial"/>
          <w:b w:val="0"/>
          <w:color w:val="D8D4E8"/>
          <w:sz w:val="18"/>
          <w:rtl w:val="1"/>
          <w:lang w:bidi="ar-SA"/>
        </w:rPr>
        <w:t>──────────────────────────────────────────────</w:t>
      </w:r>
    </w:p>
    <w:p>
      <w:pPr>
        <w:spacing w:after="120" w:before="80" w:line="360" w:lineRule="auto"/>
        <w:jc w:val="center"/>
        <w:bidi w:val="1"/>
      </w:pPr>
      <w:r>
        <w:rPr>
          <w:rFonts w:ascii="Arial" w:hAnsi="Arial" w:cs="Arial" w:eastAsia="Arial"/>
          <w:b w:val="0"/>
          <w:color w:val="64627A"/>
          <w:sz w:val="19"/>
          <w:rtl w:val="1"/>
          <w:lang w:bidi="ar-SA"/>
        </w:rPr>
        <w:t>رعايةيتي DZ — نبض الرعاية المتصل  |  وثيقة تعريفية  |  أكتوبر 2026</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umentDirection w:val="rt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