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1B3A5C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STILLWATER CUSTOM CABINETRY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2E6EA6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CAD / Layout Engineer — Pay Progression &amp; Key Result Areas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Incumbent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[Employee Name]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Effective Date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Year 1 — Immediate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Primary Report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Jessica Guregian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Document Status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Draft — For Discussion</w:t>
            </w:r>
          </w:p>
        </w:tc>
      </w:tr>
    </w:tbl>
    <w:p>
      <w:pPr>
        <w:spacing w:after="280"/>
      </w:pPr>
    </w:p>
    <w:p>
      <w:pPr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6EA6"/>
          <w:sz w:val="28"/>
          <w:szCs w:val="28"/>
        </w:rPr>
        <w:t xml:space="preserve">Role Summary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The CAD/Layout Engineer is responsible for correcting layout drawings based on client-team redlines and preparing work orders for production. Work is currently reviewed by a client contact for design accuracy and a production representative for construction feasibility before release.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This document outlines a four-year pay progression plan alongside the Key Result Areas (KRAs) tied to each step. Growth in scope and independence — not a change in job title — is what supports movement through the plan.</w:t>
      </w:r>
    </w:p>
    <w:p>
      <w:pPr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6EA6"/>
          <w:sz w:val="28"/>
          <w:szCs w:val="28"/>
        </w:rPr>
        <w:t xml:space="preserve">Pay Progression Plan</w:t>
      </w: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Year 1 is effective immediately and reflects current tenure and reliability. Years 2 through 4 are tied to the KRA targets detailed later in this document, and will be reviewed together ahead of each effective date.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40"/>
        <w:gridCol w:w="2340"/>
        <w:gridCol w:w="2680"/>
      </w:tblGrid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Step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Effective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Hourly Rate</w:t>
            </w:r>
          </w:p>
        </w:tc>
        <w:tc>
          <w:tcPr>
            <w:tcW w:type="dxa" w:w="2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Annualized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Current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$30.00</w:t>
            </w:r>
          </w:p>
        </w:tc>
        <w:tc>
          <w:tcPr>
            <w:tcW w:type="dxa" w:w="2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$62,400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Year 1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Immediate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$33.65</w:t>
            </w:r>
          </w:p>
        </w:tc>
        <w:tc>
          <w:tcPr>
            <w:tcW w:type="dxa" w:w="2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4F4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$70,072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Year 2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March 2027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$37.00</w:t>
            </w:r>
          </w:p>
        </w:tc>
        <w:tc>
          <w:tcPr>
            <w:tcW w:type="dxa" w:w="2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$76,960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Year 3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March 2028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$41.00</w:t>
            </w:r>
          </w:p>
        </w:tc>
        <w:tc>
          <w:tcPr>
            <w:tcW w:type="dxa" w:w="2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$85,280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Year 4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March 2029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$45.00</w:t>
            </w:r>
          </w:p>
        </w:tc>
        <w:tc>
          <w:tcPr>
            <w:tcW w:type="dxa" w:w="26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$93,600</w:t>
            </w:r>
          </w:p>
        </w:tc>
      </w:tr>
    </w:tbl>
    <w:p>
      <w:pPr>
        <w:spacing w:after="200"/>
      </w:pP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/>
          <w:iCs/>
          <w:color w:val="555555"/>
        </w:rPr>
        <w:t xml:space="preserve">A second processing computer will be provided to support productive use of system processing time, paired with the Year 2+ expectation under KRA 4 below.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1B3A5C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STILLWATER CUSTOM CABINETRY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2E6EA6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Key Result Areas — Overview</w:t>
            </w:r>
          </w:p>
        </w:tc>
      </w:tr>
    </w:tbl>
    <w:p>
      <w:pPr>
        <w:spacing w:after="240"/>
      </w:pP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/>
          <w:iCs/>
          <w:color w:val="555555"/>
        </w:rPr>
        <w:t xml:space="preserve">The table below summarizes all four KRAs and the years they are tied to. Year 1 has no additional milestone — it reflects current tenure. Years 2 through 4 build progressively; each stage builds on the last rather than replacing it.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4560"/>
        <w:gridCol w:w="1700"/>
      </w:tblGrid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KRA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Core Description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Target Year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Drawing Correction Accuracy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Reduce revision rate on client-team redlines; build toward limited sign-off on low-risk corrections.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Yr 2–4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Work Order Prep &amp; Production Handoff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Reduce feasibility flags from production review; build toward limited sign-off on routine orders.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Yr 2–4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Process Documentation &amp; Succession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Formalize existing checklist into a hand-off-ready SOP; cross-train a backup.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Yr 2–4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5E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5E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</w:rPr>
              <w:t xml:space="preserve">Time &amp; Resource Management</w:t>
            </w:r>
          </w:p>
        </w:tc>
        <w:tc>
          <w:tcPr>
            <w:tcW w:type="dxa" w:w="4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5E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</w:rPr>
              <w:t xml:space="preserve">Full handbook compliance; productive use of system processing time.</w:t>
            </w:r>
          </w:p>
        </w:tc>
        <w:tc>
          <w:tcPr>
            <w:tcW w:type="dxa" w:w="1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5E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</w:rPr>
              <w:t xml:space="preserve">Yr 2+</w:t>
            </w:r>
          </w:p>
        </w:tc>
      </w:tr>
    </w:tbl>
    <w:p>
      <w:pPr>
        <w:spacing w:after="280"/>
      </w:pPr>
    </w:p>
    <w:p>
      <w:pPr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6EA6"/>
          <w:sz w:val="28"/>
          <w:szCs w:val="28"/>
        </w:rPr>
        <w:t xml:space="preserve">KRA 1 — Drawing Correction Accuracy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E07B3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Design Review Independence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Corrects layout drawings based on redlines from the client contact team; all corrected drawings are currently reviewed by the client contact for design accuracy before proceeding.</w:t>
      </w:r>
    </w:p>
    <w:p>
      <w:p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olor w:val="E07B39"/>
        </w:rPr>
        <w:t xml:space="preserve">Year 2 Target — 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Track recurring redline/correction patterns to identify root causes; maintain or improve accuracy while building a record of correction types and frequency.</w:t>
      </w:r>
    </w:p>
    <w:p>
      <w:p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olor w:val="2E7D6B"/>
        </w:rPr>
        <w:t xml:space="preserve">Year 3 Target — 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Demonstrate a measurable reduction in revision rate on tracked, recurring correction types.</w:t>
      </w:r>
    </w:p>
    <w:p>
      <w:p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olor w:val="4A90D9"/>
        </w:rPr>
        <w:t xml:space="preserve">Year 4 Target — 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Earn limited sign-off authority on low-risk, well-defined correction types, reducing the need for full client-contact re-review on routine items.</w:t>
      </w:r>
    </w:p>
    <w:p>
      <w:pPr>
        <w:spacing w:after="200"/>
      </w:pPr>
    </w:p>
    <w:p>
      <w:pPr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6EA6"/>
          <w:sz w:val="28"/>
          <w:szCs w:val="28"/>
        </w:rPr>
        <w:t xml:space="preserve">KRA 2 — Work Order Preparation &amp; Production Handoff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E07B3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Production Handoff Independence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Prepares work orders for production once drawings are approved; all work orders are currently reviewed by the production representative for construction feasibility before release.</w:t>
      </w:r>
    </w:p>
    <w:p>
      <w:p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olor w:val="E07B39"/>
        </w:rPr>
        <w:t xml:space="preserve">Year 2 Target — 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Maintain consistent accuracy on work order preparation; note recurring feasibility flags raised by the production rep.</w:t>
      </w:r>
    </w:p>
    <w:p>
      <w:p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olor w:val="2E7D6B"/>
        </w:rPr>
        <w:t xml:space="preserve">Year 3 Target — 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Demonstrate a measurable reduction in feasibility flags on tracked, recurring order types.</w:t>
      </w:r>
    </w:p>
    <w:p>
      <w:p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olor w:val="4A90D9"/>
        </w:rPr>
        <w:t xml:space="preserve">Year 4 Target — 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Earn limited sign-off on routine, low-risk work orders, reducing the need for full production-rep review on straightforward items.</w:t>
      </w:r>
    </w:p>
    <w:p>
      <w:pPr>
        <w:spacing w:after="200"/>
      </w:pPr>
    </w:p>
    <w:p>
      <w:pPr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6EA6"/>
          <w:sz w:val="28"/>
          <w:szCs w:val="28"/>
        </w:rPr>
        <w:t xml:space="preserve">KRA 3 — Process Documentation &amp; Succession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2E7D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Documentation &amp; Succession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Sole engineer in the role; maintains a working checklist for the process (Microvellum-to-work-order process, common correction types, feasibility judgment calls), but it is informal and not yet in a hand-off-ready format.</w:t>
      </w:r>
    </w:p>
    <w:p>
      <w:p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olor w:val="E07B39"/>
        </w:rPr>
        <w:t xml:space="preserve">Year 2 Target — 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Formalize the existing checklist into a written SOP that is clear and complete enough for another person to follow and use for hand-off.</w:t>
      </w:r>
    </w:p>
    <w:p>
      <w:p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olor w:val="2E7D6B"/>
        </w:rPr>
        <w:t xml:space="preserve">Year 3 Target — 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Use the SOP to begin cross-training a backup on core functions.</w:t>
      </w:r>
    </w:p>
    <w:p>
      <w:p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olor w:val="4A90D9"/>
        </w:rPr>
        <w:t xml:space="preserve">Year 4 Target — 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Backup fully cross-trained and able to cover core functions; role no longer single-threaded on one person.</w:t>
      </w:r>
    </w:p>
    <w:p>
      <w:pPr>
        <w:spacing w:after="200"/>
      </w:pPr>
    </w:p>
    <w:p>
      <w:pPr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6EA6"/>
          <w:sz w:val="28"/>
          <w:szCs w:val="28"/>
        </w:rPr>
        <w:t xml:space="preserve">KRA 4 — Time &amp; Resource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4A90D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Standing Expectation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Attendance and break-time usage, particularly during system processing time, has been identified as an area for improvement.</w:t>
      </w:r>
    </w:p>
    <w:p>
      <w:p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olor w:val="4A90D9"/>
        </w:rPr>
        <w:t xml:space="preserve">Year 2 Onward — </w:t>
      </w: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Full compliance with the updated employee handbook, including attendance and break-time policies. A second processing computer will be provided so that processing time can be used productively rather than requiring idle time.</w:t>
      </w:r>
    </w:p>
    <w:p>
      <w:pPr>
        <w:spacing w:after="200"/>
      </w:pPr>
    </w:p>
    <w:p>
      <w:pPr>
        <w:spacing w:after="140" w:before="280"/>
      </w:pPr>
      <w:r>
        <w:rPr>
          <w:rFonts w:ascii="Arial" w:cs="Arial" w:eastAsia="Arial" w:hAnsi="Arial"/>
          <w:b/>
          <w:bCs/>
          <w:i w:val="false"/>
          <w:iCs w:val="false"/>
          <w:color w:val="2E6EA6"/>
          <w:sz w:val="28"/>
          <w:szCs w:val="28"/>
        </w:rPr>
        <w:t xml:space="preserve">What Success Looks Like</w:t>
      </w: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color w:val="E07B39"/>
        </w:rPr>
        <w:t xml:space="preserve">Year 2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Recurring redline and feasibility-flag patterns are tracked and documented.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The process checklist is formalized into a hand-off-ready written SOP.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Break and attendance practices are fully aligned with the updated handbook, supported by the second processing computer.</w:t>
      </w:r>
    </w:p>
    <w:p>
      <w:pPr>
        <w:spacing w:after="100"/>
      </w:pP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color w:val="2E7D6B"/>
        </w:rPr>
        <w:t xml:space="preserve">Year 3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A measurable reduction in revision rate and feasibility flags is documented against Year 2 baselines.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A backup has begun cross-training using the formal SOP.</w:t>
      </w:r>
    </w:p>
    <w:p>
      <w:pPr>
        <w:spacing w:after="100"/>
      </w:pPr>
    </w:p>
    <w:p>
      <w:pPr>
        <w:spacing w:after="140"/>
      </w:pPr>
      <w:r>
        <w:rPr>
          <w:rFonts w:ascii="Arial" w:cs="Arial" w:eastAsia="Arial" w:hAnsi="Arial"/>
          <w:b/>
          <w:bCs/>
          <w:i w:val="false"/>
          <w:iCs w:val="false"/>
          <w:color w:val="4A90D9"/>
        </w:rPr>
        <w:t xml:space="preserve">Year 4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Limited sign-off authority is in place for low-risk drawing corrections and routine work orders.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A backup is fully cross-trained and able to cover core functions independently.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The role is no longer single-threaded on one person.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2026-07-13T18:51:09.937Z</dcterms:created>
  <dcterms:modified xsi:type="dcterms:W3CDTF">2026-07-13T18:51:09.937Z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