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i w:val="false"/>
          <w:iCs w:val="false"/>
          <w:color w:val="F07D00"/>
          <w:sz w:val="22"/>
          <w:szCs w:val="22"/>
        </w:rPr>
        <w:t xml:space="preserve">GLOBAL MATÉRIEL</w:t>
      </w:r>
    </w:p>
    <w:p>
      <w:pPr>
        <w:spacing w:after="200"/>
        <w:jc w:val="center"/>
      </w:pPr>
      <w:r>
        <w:rPr>
          <w:rFonts w:ascii="Calibri" w:cs="Calibri" w:eastAsia="Calibri" w:hAnsi="Calibri"/>
          <w:b w:val="false"/>
          <w:bCs w:val="false"/>
          <w:i w:val="false"/>
          <w:iCs w:val="false"/>
          <w:color w:val="5A6570"/>
          <w:sz w:val="20"/>
          <w:szCs w:val="20"/>
        </w:rPr>
        <w:t xml:space="preserve">https://globalmateriel.ma/</w:t>
      </w:r>
    </w:p>
    <w:p>
      <w:pPr>
        <w:spacing w:after="280"/>
        <w:jc w:val="center"/>
      </w:pPr>
      <w:r>
        <w:rPr>
          <w:rFonts w:ascii="Calibri" w:cs="Calibri" w:eastAsia="Calibri" w:hAnsi="Calibri"/>
          <w:b/>
          <w:bCs/>
          <w:i w:val="false"/>
          <w:iCs w:val="false"/>
          <w:color w:val="1B365D"/>
          <w:sz w:val="36"/>
          <w:szCs w:val="36"/>
        </w:rPr>
        <w:t xml:space="preserve">RÉCAPITULATIF TECHNIQUE DE LIVRAISON</w:t>
      </w:r>
    </w:p>
    <w:p>
      <w:pPr>
        <w:pBdr>
          <w:bottom w:val="single" w:color="F07D00" w:sz="16" w:space="8"/>
        </w:pBdr>
        <w:spacing w:after="360"/>
        <w:jc w:val="center"/>
      </w:pPr>
      <w:r>
        <w:rPr>
          <w:rFonts w:ascii="Calibri" w:cs="Calibri" w:eastAsia="Calibri" w:hAnsi="Calibri"/>
          <w:b w:val="false"/>
          <w:bCs w:val="false"/>
          <w:i/>
          <w:iCs/>
          <w:color w:val="5A6570"/>
          <w:sz w:val="20"/>
          <w:szCs w:val="20"/>
        </w:rPr>
        <w:t xml:space="preserve">Dossier de clôture — audit, sécurisation, performances, SEO et personnalisations e-commerce</w:t>
      </w:r>
    </w:p>
    <w:p>
      <w:pPr>
        <w:spacing w:after="60"/>
      </w:pPr>
      <w:r>
        <w:rPr>
          <w:rFonts w:ascii="Calibri" w:cs="Calibri" w:eastAsia="Calibri" w:hAnsi="Calibri"/>
          <w:b/>
          <w:bCs/>
          <w:i w:val="false"/>
          <w:iCs w:val="false"/>
          <w:color w:val="1B365D"/>
          <w:sz w:val="21"/>
          <w:szCs w:val="21"/>
        </w:rPr>
        <w:t xml:space="preserve">Date </w:t>
      </w:r>
      <w:r>
        <w:rPr>
          <w:rFonts w:ascii="Calibri" w:cs="Calibri" w:eastAsia="Calibri" w:hAnsi="Calibri"/>
          <w:b w:val="false"/>
          <w:bCs w:val="false"/>
          <w:i w:val="false"/>
          <w:iCs w:val="false"/>
          <w:color w:val="333333"/>
          <w:sz w:val="21"/>
          <w:szCs w:val="21"/>
        </w:rPr>
        <w:t xml:space="preserve">31 août 2026</w:t>
      </w:r>
    </w:p>
    <w:p>
      <w:pPr>
        <w:spacing w:after="60"/>
      </w:pPr>
      <w:r>
        <w:rPr>
          <w:rFonts w:ascii="Calibri" w:cs="Calibri" w:eastAsia="Calibri" w:hAnsi="Calibri"/>
          <w:b/>
          <w:bCs/>
          <w:i w:val="false"/>
          <w:iCs w:val="false"/>
          <w:color w:val="1B365D"/>
          <w:sz w:val="21"/>
          <w:szCs w:val="21"/>
        </w:rPr>
        <w:t xml:space="preserve">Référence </w:t>
      </w:r>
      <w:r>
        <w:rPr>
          <w:rFonts w:ascii="Calibri" w:cs="Calibri" w:eastAsia="Calibri" w:hAnsi="Calibri"/>
          <w:b w:val="false"/>
          <w:bCs w:val="false"/>
          <w:i w:val="false"/>
          <w:iCs w:val="false"/>
          <w:color w:val="333333"/>
          <w:sz w:val="21"/>
          <w:szCs w:val="21"/>
        </w:rPr>
        <w:t xml:space="preserve">Proposition commerciale du 7 juillet 2026</w:t>
      </w:r>
    </w:p>
    <w:p>
      <w:pPr>
        <w:spacing w:after="60"/>
      </w:pPr>
      <w:r>
        <w:rPr>
          <w:rFonts w:ascii="Calibri" w:cs="Calibri" w:eastAsia="Calibri" w:hAnsi="Calibri"/>
          <w:b/>
          <w:bCs/>
          <w:i w:val="false"/>
          <w:iCs w:val="false"/>
          <w:color w:val="1B365D"/>
          <w:sz w:val="21"/>
          <w:szCs w:val="21"/>
        </w:rPr>
        <w:t xml:space="preserve">Montant négocié et accepté </w:t>
      </w:r>
      <w:r>
        <w:rPr>
          <w:rFonts w:ascii="Calibri" w:cs="Calibri" w:eastAsia="Calibri" w:hAnsi="Calibri"/>
          <w:b w:val="false"/>
          <w:bCs w:val="false"/>
          <w:i w:val="false"/>
          <w:iCs w:val="false"/>
          <w:color w:val="333333"/>
          <w:sz w:val="21"/>
          <w:szCs w:val="21"/>
        </w:rPr>
        <w:t xml:space="preserve">4 000,00 DHS TTC</w:t>
      </w:r>
    </w:p>
    <w:p>
      <w:pPr>
        <w:spacing w:after="60"/>
      </w:pPr>
      <w:r>
        <w:rPr>
          <w:rFonts w:ascii="Calibri" w:cs="Calibri" w:eastAsia="Calibri" w:hAnsi="Calibri"/>
          <w:b/>
          <w:bCs/>
          <w:i w:val="false"/>
          <w:iCs w:val="false"/>
          <w:color w:val="1B365D"/>
          <w:sz w:val="21"/>
          <w:szCs w:val="21"/>
        </w:rPr>
        <w:t xml:space="preserve">Acompte reçu (50 %) </w:t>
      </w:r>
      <w:r>
        <w:rPr>
          <w:rFonts w:ascii="Calibri" w:cs="Calibri" w:eastAsia="Calibri" w:hAnsi="Calibri"/>
          <w:b w:val="false"/>
          <w:bCs w:val="false"/>
          <w:i w:val="false"/>
          <w:iCs w:val="false"/>
          <w:color w:val="333333"/>
          <w:sz w:val="21"/>
          <w:szCs w:val="21"/>
        </w:rPr>
        <w:t xml:space="preserve">2 000,00 DHS TTC</w:t>
      </w:r>
    </w:p>
    <w:p>
      <w:pPr>
        <w:spacing w:after="60"/>
      </w:pPr>
      <w:r>
        <w:rPr>
          <w:rFonts w:ascii="Calibri" w:cs="Calibri" w:eastAsia="Calibri" w:hAnsi="Calibri"/>
          <w:b/>
          <w:bCs/>
          <w:i w:val="false"/>
          <w:iCs w:val="false"/>
          <w:color w:val="1B365D"/>
          <w:sz w:val="21"/>
          <w:szCs w:val="21"/>
        </w:rPr>
        <w:t xml:space="preserve">Solde à réception (50 %) </w:t>
      </w:r>
      <w:r>
        <w:rPr>
          <w:rFonts w:ascii="Calibri" w:cs="Calibri" w:eastAsia="Calibri" w:hAnsi="Calibri"/>
          <w:b w:val="false"/>
          <w:bCs w:val="false"/>
          <w:i w:val="false"/>
          <w:iCs w:val="false"/>
          <w:color w:val="333333"/>
          <w:sz w:val="21"/>
          <w:szCs w:val="21"/>
        </w:rPr>
        <w:t xml:space="preserve">2 000,00 DHS TTC</w:t>
      </w:r>
    </w:p>
    <w:p>
      <w:pPr>
        <w:spacing w:after="280"/>
      </w:pPr>
    </w:p>
    <w:p>
      <w:pPr>
        <w:pStyle w:val="Heading1"/>
        <w:pBdr>
          <w:bottom w:val="single" w:color="F07D00" w:sz="12" w:space="4"/>
        </w:pBdr>
        <w:spacing w:after="160" w:before="360"/>
      </w:pPr>
      <w:r>
        <w:rPr>
          <w:rFonts w:ascii="Calibri" w:cs="Calibri" w:eastAsia="Calibri" w:hAnsi="Calibri"/>
          <w:b/>
          <w:bCs/>
          <w:i w:val="false"/>
          <w:iCs w:val="false"/>
          <w:color w:val="1B365D"/>
          <w:sz w:val="28"/>
          <w:szCs w:val="28"/>
        </w:rPr>
        <w:t xml:space="preserve">1. Objet du document</w:t>
      </w:r>
    </w:p>
    <w:p>
      <w:pPr>
        <w:spacing w:after="160" w:before="0" w:line="276"/>
        <w:jc w:val="both"/>
      </w:pPr>
      <w:r>
        <w:rPr>
          <w:rFonts w:ascii="Calibri" w:cs="Calibri" w:eastAsia="Calibri" w:hAnsi="Calibri"/>
          <w:b w:val="false"/>
          <w:bCs w:val="false"/>
          <w:i w:val="false"/>
          <w:iCs w:val="false"/>
          <w:color w:val="333333"/>
          <w:sz w:val="21"/>
          <w:szCs w:val="21"/>
        </w:rPr>
        <w:t xml:space="preserve">Madame, Monsieur,</w:t>
      </w:r>
    </w:p>
    <w:p>
      <w:pPr>
        <w:spacing w:after="160" w:before="0" w:line="276"/>
        <w:jc w:val="both"/>
      </w:pPr>
      <w:r>
        <w:rPr>
          <w:rFonts w:ascii="Calibri" w:cs="Calibri" w:eastAsia="Calibri" w:hAnsi="Calibri"/>
          <w:b w:val="false"/>
          <w:bCs w:val="false"/>
          <w:i w:val="false"/>
          <w:iCs w:val="false"/>
          <w:color w:val="333333"/>
          <w:sz w:val="21"/>
          <w:szCs w:val="21"/>
        </w:rPr>
        <w:t xml:space="preserve">Le présent document constitue le récapitulatif technique de livraison du projet d’intervention sur le site globalmateriel.ma. Il formalise l’ensemble des travaux réalisés afin de permettre la clôture du projet et le règlement du solde, conformément à la proposition commerciale du 7 juillet 2026 et à la négociation acceptée portant le montant total à 4 000,00 DHS TTC.</w:t>
      </w:r>
    </w:p>
    <w:p>
      <w:pPr>
        <w:spacing w:after="160" w:before="0" w:line="276"/>
        <w:jc w:val="both"/>
      </w:pPr>
      <w:r>
        <w:rPr>
          <w:rFonts w:ascii="Calibri" w:cs="Calibri" w:eastAsia="Calibri" w:hAnsi="Calibri"/>
          <w:b w:val="false"/>
          <w:bCs w:val="false"/>
          <w:i w:val="false"/>
          <w:iCs w:val="false"/>
          <w:color w:val="333333"/>
          <w:sz w:val="21"/>
          <w:szCs w:val="21"/>
        </w:rPr>
        <w:t xml:space="preserve">Pour chaque intervention prévue au devis, un tableau de conformité indique le libellé exact de la proposition commerciale, la mise en œuvre retenue, et un statut « fait » (✓).</w:t>
      </w:r>
    </w:p>
    <w:p>
      <w:pPr>
        <w:pStyle w:val="Heading1"/>
        <w:pBdr>
          <w:bottom w:val="single" w:color="F07D00" w:sz="12" w:space="4"/>
        </w:pBdr>
        <w:spacing w:after="160" w:before="360"/>
      </w:pPr>
      <w:r>
        <w:rPr>
          <w:rFonts w:ascii="Calibri" w:cs="Calibri" w:eastAsia="Calibri" w:hAnsi="Calibri"/>
          <w:b/>
          <w:bCs/>
          <w:i w:val="false"/>
          <w:iCs w:val="false"/>
          <w:color w:val="1B365D"/>
          <w:sz w:val="28"/>
          <w:szCs w:val="28"/>
        </w:rPr>
        <w:t xml:space="preserve">2. Contexte et périmètre</w:t>
      </w:r>
    </w:p>
    <w:p>
      <w:pPr>
        <w:pStyle w:val="Heading2"/>
        <w:spacing w:after="120" w:before="280"/>
      </w:pPr>
      <w:r>
        <w:rPr>
          <w:rFonts w:ascii="Calibri" w:cs="Calibri" w:eastAsia="Calibri" w:hAnsi="Calibri"/>
          <w:b/>
          <w:bCs/>
          <w:i w:val="false"/>
          <w:iCs w:val="false"/>
          <w:color w:val="1B365D"/>
          <w:sz w:val="24"/>
          <w:szCs w:val="24"/>
        </w:rPr>
        <w:t xml:space="preserve">2.1 Mission initiale</w:t>
      </w:r>
    </w:p>
    <w:p>
      <w:pPr>
        <w:spacing w:after="160" w:before="0" w:line="276"/>
        <w:jc w:val="both"/>
      </w:pPr>
      <w:r>
        <w:rPr>
          <w:rFonts w:ascii="Calibri" w:cs="Calibri" w:eastAsia="Calibri" w:hAnsi="Calibri"/>
          <w:b w:val="false"/>
          <w:bCs w:val="false"/>
          <w:i w:val="false"/>
          <w:iCs w:val="false"/>
          <w:color w:val="333333"/>
          <w:sz w:val="21"/>
          <w:szCs w:val="21"/>
        </w:rPr>
        <w:t xml:space="preserve">La proposition commerciale du 7 juillet 2026 prévoyait une intervention en trois phases :</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Phase 1 — Sécurisation du site (priorité critique)</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Phase 2 — Optimisation des performances</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Phase 3 — Optimisation SEO et accessibilité</w:t>
      </w:r>
    </w:p>
    <w:p>
      <w:pPr>
        <w:spacing w:after="160" w:before="0" w:line="276"/>
        <w:jc w:val="both"/>
      </w:pPr>
      <w:r>
        <w:rPr>
          <w:rFonts w:ascii="Calibri" w:cs="Calibri" w:eastAsia="Calibri" w:hAnsi="Calibri"/>
          <w:b w:val="false"/>
          <w:bCs w:val="false"/>
          <w:i w:val="false"/>
          <w:iCs w:val="false"/>
          <w:color w:val="333333"/>
          <w:sz w:val="21"/>
          <w:szCs w:val="21"/>
        </w:rPr>
        <w:t xml:space="preserve">Score d’audit initial (7 juillet 2026) : 4,25 / 10 — Performance 4/10, Sécurité 3/10, SEO 6/10, Accessibilité 4/10.</w:t>
      </w:r>
    </w:p>
    <w:p>
      <w:pPr>
        <w:pStyle w:val="Heading2"/>
        <w:spacing w:after="120" w:before="280"/>
      </w:pPr>
      <w:r>
        <w:rPr>
          <w:rFonts w:ascii="Calibri" w:cs="Calibri" w:eastAsia="Calibri" w:hAnsi="Calibri"/>
          <w:b/>
          <w:bCs/>
          <w:i w:val="false"/>
          <w:iCs w:val="false"/>
          <w:color w:val="1B365D"/>
          <w:sz w:val="24"/>
          <w:szCs w:val="24"/>
        </w:rPr>
        <w:t xml:space="preserve">2.2 Livrable principal</w:t>
      </w:r>
    </w:p>
    <w:p>
      <w:pPr>
        <w:spacing w:after="160" w:before="0" w:line="276"/>
        <w:jc w:val="both"/>
      </w:pPr>
      <w:r>
        <w:rPr>
          <w:rFonts w:ascii="Calibri" w:cs="Calibri" w:eastAsia="Calibri" w:hAnsi="Calibri"/>
          <w:b w:val="false"/>
          <w:bCs w:val="false"/>
          <w:i w:val="false"/>
          <w:iCs w:val="false"/>
          <w:color w:val="333333"/>
          <w:sz w:val="21"/>
          <w:szCs w:val="21"/>
        </w:rPr>
        <w:t xml:space="preserve">Les développements, corrections et personnalisations sont regroupés dans le plugin WordPress dédié « Global Matériel » (version 1.1.0), compatible WordPress 5.8+, PHP 7.4+ et WooCommerce 5.0+, y compris les tables de commandes HPOS. Ce plugin porte la logique e-commerce, les shortcodes, les templates WooCommerce, les styles, les scripts et une partie des mesures de sécurité. Le contenu éditorial (catalogue, pages, commandes, médias) n’a pas été altéré.</w:t>
      </w:r>
    </w:p>
    <w:p>
      <w:pPr>
        <w:pStyle w:val="Heading2"/>
        <w:spacing w:after="120" w:before="280"/>
      </w:pPr>
      <w:r>
        <w:rPr>
          <w:rFonts w:ascii="Calibri" w:cs="Calibri" w:eastAsia="Calibri" w:hAnsi="Calibri"/>
          <w:b/>
          <w:bCs/>
          <w:i w:val="false"/>
          <w:iCs w:val="false"/>
          <w:color w:val="1B365D"/>
          <w:sz w:val="24"/>
          <w:szCs w:val="24"/>
        </w:rPr>
        <w:t xml:space="preserve">2.3 Conservation de l’identité visuelle (exigence client)</w:t>
      </w:r>
    </w:p>
    <w:p>
      <w:pPr>
        <w:spacing w:after="160" w:before="0" w:line="276"/>
        <w:jc w:val="both"/>
      </w:pPr>
      <w:r>
        <w:rPr>
          <w:rFonts w:ascii="Calibri" w:cs="Calibri" w:eastAsia="Calibri" w:hAnsi="Calibri"/>
          <w:b w:val="false"/>
          <w:bCs w:val="false"/>
          <w:i w:val="false"/>
          <w:iCs w:val="false"/>
          <w:color w:val="333333"/>
          <w:sz w:val="21"/>
          <w:szCs w:val="21"/>
        </w:rPr>
        <w:t xml:space="preserve">Sur demande expresse du client, l’identité visuelle existante a été intégralement conservée sur l’ensemble du site : page d’accueil, boutique, fiches produits, panier, tunnel de devis, compte client, liste de souhaits, en-tête, pied de page et parcours mobile. Toutes les personnalisations fonctionnelles ont été développées pour reproduire fidèlement le design d’origine, sans rupture d’expérience pour les visiteurs.</w:t>
      </w:r>
    </w:p>
    <w:p>
      <w:pPr>
        <w:pStyle w:val="Heading1"/>
        <w:pBdr>
          <w:bottom w:val="single" w:color="F07D00" w:sz="12" w:space="4"/>
        </w:pBdr>
        <w:spacing w:after="160" w:before="360"/>
      </w:pPr>
      <w:r>
        <w:rPr>
          <w:rFonts w:ascii="Calibri" w:cs="Calibri" w:eastAsia="Calibri" w:hAnsi="Calibri"/>
          <w:b/>
          <w:bCs/>
          <w:i w:val="false"/>
          <w:iCs w:val="false"/>
          <w:color w:val="1B365D"/>
          <w:sz w:val="28"/>
          <w:szCs w:val="28"/>
        </w:rPr>
        <w:t xml:space="preserve">3. Architecture technique livrée</w:t>
      </w:r>
    </w:p>
    <w:p>
      <w:pPr>
        <w:spacing w:after="160" w:before="0" w:line="276"/>
        <w:jc w:val="both"/>
      </w:pPr>
      <w:r>
        <w:rPr>
          <w:rFonts w:ascii="Calibri" w:cs="Calibri" w:eastAsia="Calibri" w:hAnsi="Calibri"/>
          <w:b w:val="false"/>
          <w:bCs w:val="false"/>
          <w:i w:val="false"/>
          <w:iCs w:val="false"/>
          <w:color w:val="333333"/>
          <w:sz w:val="21"/>
          <w:szCs w:val="21"/>
        </w:rPr>
        <w:t xml:space="preserve">Le plugin est organisé en modules chargés uniquement si WooCommerce est actif.</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40"/>
      </w:tblGrid>
      <w:tr>
        <w:trPr>
          <w:tblHeader/>
        </w:trPr>
        <w:tc>
          <w:tcPr>
            <w:tcW w:type="dxa" w:w="28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Module</w:t>
            </w:r>
          </w:p>
        </w:tc>
        <w:tc>
          <w:tcPr>
            <w:tcW w:type="dxa" w:w="684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Rôle</w:t>
            </w:r>
          </w:p>
        </w:tc>
      </w:tr>
      <w:tr>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Sécurité</w:t>
            </w:r>
          </w:p>
        </w:tc>
        <w:tc>
          <w:tcPr>
            <w:tcW w:type="dxa" w:w="684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API REST, XML-RPC, énumération utilisateurs, limitation des connexions, masquage des versions</w:t>
            </w:r>
          </w:p>
        </w:tc>
      </w:tr>
      <w:tr>
        <w:tc>
          <w:tcPr>
            <w:tcW w:type="dxa" w:w="28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Cache</w:t>
            </w:r>
          </w:p>
        </w:tc>
        <w:tc>
          <w:tcPr>
            <w:tcW w:type="dxa" w:w="684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Purge LiteSpeed, exclusions JS critiques, bypass cache CSS/JS (barre d’admin)</w:t>
            </w:r>
          </w:p>
        </w:tc>
      </w:tr>
      <w:tr>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Checkout / devis</w:t>
            </w:r>
          </w:p>
        </w:tc>
        <w:tc>
          <w:tcPr>
            <w:tcW w:type="dxa" w:w="684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Tunnel transformé en demande de devis, sans encaissement</w:t>
            </w:r>
          </w:p>
        </w:tc>
      </w:tr>
      <w:tr>
        <w:tc>
          <w:tcPr>
            <w:tcW w:type="dxa" w:w="28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Panier</w:t>
            </w:r>
          </w:p>
        </w:tc>
        <w:tc>
          <w:tcPr>
            <w:tcW w:type="dxa" w:w="684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Tableau personnalisé, quantités en AJAX</w:t>
            </w:r>
          </w:p>
        </w:tc>
      </w:tr>
      <w:tr>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Mini-panier</w:t>
            </w:r>
          </w:p>
        </w:tc>
        <w:tc>
          <w:tcPr>
            <w:tcW w:type="dxa" w:w="684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Sélecteur ± et bouton « Mettre à jour » dans le menu</w:t>
            </w:r>
          </w:p>
        </w:tc>
      </w:tr>
      <w:tr>
        <w:tc>
          <w:tcPr>
            <w:tcW w:type="dxa" w:w="28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Boutique</w:t>
            </w:r>
          </w:p>
        </w:tc>
        <w:tc>
          <w:tcPr>
            <w:tcW w:type="dxa" w:w="684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Grille, vues, tri, chargement infini, recherche</w:t>
            </w:r>
          </w:p>
        </w:tc>
      </w:tr>
      <w:tr>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Catalogue</w:t>
            </w:r>
          </w:p>
        </w:tc>
        <w:tc>
          <w:tcPr>
            <w:tcW w:type="dxa" w:w="684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Devise DHS, produits à 0,00 DHS achetable</w:t>
            </w:r>
          </w:p>
        </w:tc>
      </w:tr>
      <w:tr>
        <w:tc>
          <w:tcPr>
            <w:tcW w:type="dxa" w:w="28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Compte client</w:t>
            </w:r>
          </w:p>
        </w:tc>
        <w:tc>
          <w:tcPr>
            <w:tcW w:type="dxa" w:w="684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Connexion / inscription en français, accessibilité</w:t>
            </w:r>
          </w:p>
        </w:tc>
      </w:tr>
      <w:tr>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Liste de souhaits</w:t>
            </w:r>
          </w:p>
        </w:tc>
        <w:tc>
          <w:tcPr>
            <w:tcW w:type="dxa" w:w="684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Tableau personnalisé + badge compteur</w:t>
            </w:r>
          </w:p>
        </w:tc>
      </w:tr>
      <w:tr>
        <w:tc>
          <w:tcPr>
            <w:tcW w:type="dxa" w:w="28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Carrousels &amp; sliders</w:t>
            </w:r>
          </w:p>
        </w:tc>
        <w:tc>
          <w:tcPr>
            <w:tcW w:type="dxa" w:w="684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Accueil, catégories, promotions, produits associés, sidebar</w:t>
            </w:r>
          </w:p>
        </w:tc>
      </w:tr>
      <w:tr>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Fiche produit</w:t>
            </w:r>
          </w:p>
        </w:tc>
        <w:tc>
          <w:tcPr>
            <w:tcW w:type="dxa" w:w="684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Références / dimensions, PDF, attributs en texte</w:t>
            </w:r>
          </w:p>
        </w:tc>
      </w:tr>
      <w:tr>
        <w:tc>
          <w:tcPr>
            <w:tcW w:type="dxa" w:w="28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WhatsApp</w:t>
            </w:r>
          </w:p>
        </w:tc>
        <w:tc>
          <w:tcPr>
            <w:tcW w:type="dxa" w:w="684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Bouton flottant configurable en administration</w:t>
            </w:r>
          </w:p>
        </w:tc>
      </w:tr>
    </w:tbl>
    <w:p>
      <w:pPr>
        <w:spacing w:after="160"/>
      </w:pPr>
    </w:p>
    <w:p>
      <w:pPr>
        <w:spacing w:after="160" w:before="0" w:line="276"/>
        <w:jc w:val="both"/>
      </w:pPr>
      <w:r>
        <w:rPr>
          <w:rFonts w:ascii="Calibri" w:cs="Calibri" w:eastAsia="Calibri" w:hAnsi="Calibri"/>
          <w:b w:val="false"/>
          <w:bCs w:val="false"/>
          <w:i w:val="false"/>
          <w:iCs w:val="false"/>
          <w:color w:val="333333"/>
          <w:sz w:val="21"/>
          <w:szCs w:val="21"/>
        </w:rPr>
        <w:t xml:space="preserve">Templates WooCommerce livrés : récapitulatif de commande (quantités ±, suppression, sans total — parcours devis), bloc paiement avec bouton « Demander Un Devis », formulaire de connexion / inscription client.</w:t>
      </w:r>
    </w:p>
    <w:p>
      <w:pPr>
        <w:pStyle w:val="Heading1"/>
        <w:pBdr>
          <w:bottom w:val="single" w:color="F07D00" w:sz="12" w:space="4"/>
        </w:pBdr>
        <w:spacing w:after="160" w:before="360"/>
      </w:pPr>
      <w:r>
        <w:rPr>
          <w:rFonts w:ascii="Calibri" w:cs="Calibri" w:eastAsia="Calibri" w:hAnsi="Calibri"/>
          <w:b/>
          <w:bCs/>
          <w:i w:val="false"/>
          <w:iCs w:val="false"/>
          <w:color w:val="1B365D"/>
          <w:sz w:val="28"/>
          <w:szCs w:val="28"/>
        </w:rPr>
        <w:t xml:space="preserve">4. Phase 1 — Sécurisation du site</w:t>
      </w:r>
    </w:p>
    <w:p>
      <w:pPr>
        <w:spacing w:after="160" w:before="0" w:line="276"/>
        <w:jc w:val="both"/>
      </w:pPr>
      <w:r>
        <w:rPr>
          <w:rFonts w:ascii="Calibri" w:cs="Calibri" w:eastAsia="Calibri" w:hAnsi="Calibri"/>
          <w:b w:val="false"/>
          <w:bCs w:val="false"/>
          <w:i w:val="false"/>
          <w:iCs w:val="false"/>
          <w:color w:val="333333"/>
          <w:sz w:val="21"/>
          <w:szCs w:val="21"/>
        </w:rPr>
        <w:t xml:space="preserve">Interventions techniques prévues à la section 5.1 de la proposition commerciale. Toutes les lignes ci-dessous sont réalisées (✓).</w:t>
      </w:r>
    </w:p>
    <w:p>
      <w:pPr>
        <w:pStyle w:val="Heading2"/>
        <w:spacing w:after="120" w:before="280"/>
      </w:pPr>
      <w:r>
        <w:rPr>
          <w:rFonts w:ascii="Calibri" w:cs="Calibri" w:eastAsia="Calibri" w:hAnsi="Calibri"/>
          <w:b/>
          <w:bCs/>
          <w:i w:val="false"/>
          <w:iCs w:val="false"/>
          <w:color w:val="1B365D"/>
          <w:sz w:val="24"/>
          <w:szCs w:val="24"/>
        </w:rPr>
        <w:t xml:space="preserve">4.1 En-têtes de sécurité HTTP</w:t>
      </w:r>
    </w:p>
    <w:p>
      <w:pPr>
        <w:spacing w:after="160" w:before="0" w:line="276"/>
        <w:jc w:val="both"/>
      </w:pPr>
      <w:r>
        <w:rPr>
          <w:rFonts w:ascii="Calibri" w:cs="Calibri" w:eastAsia="Calibri" w:hAnsi="Calibri"/>
          <w:b w:val="false"/>
          <w:bCs w:val="false"/>
          <w:i w:val="false"/>
          <w:iCs w:val="false"/>
          <w:color w:val="333333"/>
          <w:sz w:val="21"/>
          <w:szCs w:val="21"/>
        </w:rPr>
        <w:t xml:space="preserve">Ces en-têtes, absents lors de l’audit, sont appliqués en périphérie via Cloudflare (voir section 5.5).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0"/>
        <w:gridCol w:w="1400"/>
        <w:gridCol w:w="640"/>
      </w:tblGrid>
      <w:tr>
        <w:trPr>
          <w:tblHeader/>
        </w:trPr>
        <w:tc>
          <w:tcPr>
            <w:tcW w:type="dxa" w:w="76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Intervention prévue (proposition commerciale)</w:t>
            </w:r>
          </w:p>
        </w:tc>
        <w:tc>
          <w:tcPr>
            <w:tcW w:type="dxa" w:w="14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Mise en œuvre</w:t>
            </w:r>
          </w:p>
        </w:tc>
        <w:tc>
          <w:tcPr>
            <w:tcW w:type="dxa" w:w="64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FFFFFF"/>
                <w:sz w:val="18"/>
                <w:szCs w:val="18"/>
              </w:rPr>
              <w:t xml:space="preserve">Statut</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Ajout de Strict-Transport-Security (HSTS) avec durée de 1 an</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Cloudflare + HTTPS forcé</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Mise en place de Content-Security-Policy (CSP)</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En-tête CDN Cloudflare</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Configuration de X-Content-Type-Options</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En-tête CDN (nosniff)</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Activation de X-Frame-Options</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En-tête CDN (SAMEORIGIN)</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Définition de Referrer-Policy</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En-tête CDN</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Configuration de Permissions-Policy</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En-tête CDN</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bl>
    <w:p>
      <w:pPr>
        <w:pStyle w:val="Heading2"/>
        <w:spacing w:after="120" w:before="280"/>
      </w:pPr>
      <w:r>
        <w:rPr>
          <w:rFonts w:ascii="Calibri" w:cs="Calibri" w:eastAsia="Calibri" w:hAnsi="Calibri"/>
          <w:b/>
          <w:bCs/>
          <w:i w:val="false"/>
          <w:iCs w:val="false"/>
          <w:color w:val="1B365D"/>
          <w:sz w:val="24"/>
          <w:szCs w:val="24"/>
        </w:rPr>
        <w:t xml:space="preserve">4.2 Sécurisation des cookies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0"/>
        <w:gridCol w:w="1400"/>
        <w:gridCol w:w="640"/>
      </w:tblGrid>
      <w:tr>
        <w:trPr>
          <w:tblHeader/>
        </w:trPr>
        <w:tc>
          <w:tcPr>
            <w:tcW w:type="dxa" w:w="76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Intervention prévue (proposition commerciale)</w:t>
            </w:r>
          </w:p>
        </w:tc>
        <w:tc>
          <w:tcPr>
            <w:tcW w:type="dxa" w:w="14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Mise en œuvre</w:t>
            </w:r>
          </w:p>
        </w:tc>
        <w:tc>
          <w:tcPr>
            <w:tcW w:type="dxa" w:w="64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FFFFFF"/>
                <w:sz w:val="18"/>
                <w:szCs w:val="18"/>
              </w:rPr>
              <w:t xml:space="preserve">Statut</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Activation du flag Secure sur tous les cookies</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HTTPS + cookies sécurisés</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Activation du flag HttpOnly</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Cookies de session WordPress</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Configuration de l’attribut SameSite</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Protection CSRF</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Forçage du SSL pour l’administration</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FORCE_SSL_ADMIN / HTTPS</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bl>
    <w:p>
      <w:pPr>
        <w:pStyle w:val="Heading2"/>
        <w:spacing w:after="120" w:before="280"/>
      </w:pPr>
      <w:r>
        <w:rPr>
          <w:rFonts w:ascii="Calibri" w:cs="Calibri" w:eastAsia="Calibri" w:hAnsi="Calibri"/>
          <w:b/>
          <w:bCs/>
          <w:i w:val="false"/>
          <w:iCs w:val="false"/>
          <w:color w:val="1B365D"/>
          <w:sz w:val="24"/>
          <w:szCs w:val="24"/>
        </w:rPr>
        <w:t xml:space="preserve">4.3 Protection de l’API WordPress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0"/>
        <w:gridCol w:w="1400"/>
        <w:gridCol w:w="640"/>
      </w:tblGrid>
      <w:tr>
        <w:trPr>
          <w:tblHeader/>
        </w:trPr>
        <w:tc>
          <w:tcPr>
            <w:tcW w:type="dxa" w:w="76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Intervention prévue (proposition commerciale)</w:t>
            </w:r>
          </w:p>
        </w:tc>
        <w:tc>
          <w:tcPr>
            <w:tcW w:type="dxa" w:w="14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Mise en œuvre</w:t>
            </w:r>
          </w:p>
        </w:tc>
        <w:tc>
          <w:tcPr>
            <w:tcW w:type="dxa" w:w="64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FFFFFF"/>
                <w:sz w:val="18"/>
                <w:szCs w:val="18"/>
              </w:rPr>
              <w:t xml:space="preserve">Statut</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Restriction de l’accès à l’API REST aux utilisateurs authentifiés</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Plugin Global Matériel</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Désactivation de l’énumération des utilisateurs</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Redirection ?author=ID</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Masquage de la version de WordPress</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Générateur et ?ver= retirés</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Protection des endpoints sensibles</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XML-RPC off, pingback retiré</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bl>
    <w:p>
      <w:pPr>
        <w:spacing w:after="80"/>
      </w:pPr>
    </w:p>
    <w:p>
      <w:pPr>
        <w:spacing w:after="160" w:before="0" w:line="276"/>
        <w:jc w:val="both"/>
      </w:pPr>
      <w:r>
        <w:rPr>
          <w:rFonts w:ascii="Calibri" w:cs="Calibri" w:eastAsia="Calibri" w:hAnsi="Calibri"/>
          <w:b w:val="false"/>
          <w:bCs w:val="false"/>
          <w:i w:val="false"/>
          <w:iCs w:val="false"/>
          <w:color w:val="333333"/>
          <w:sz w:val="21"/>
          <w:szCs w:val="21"/>
        </w:rPr>
        <w:t xml:space="preserve">Note : l’API REST reste accessible de façon contrôlée aux services nécessaires au fonctionnement du site (Google Site Kit, MonsterInsights, WooCommerce Store API), afin de ne pas casser le suivi analytics ni le mini-panier.</w:t>
      </w:r>
    </w:p>
    <w:p>
      <w:pPr>
        <w:pStyle w:val="Heading2"/>
        <w:spacing w:after="120" w:before="280"/>
      </w:pPr>
      <w:r>
        <w:rPr>
          <w:rFonts w:ascii="Calibri" w:cs="Calibri" w:eastAsia="Calibri" w:hAnsi="Calibri"/>
          <w:b/>
          <w:bCs/>
          <w:i w:val="false"/>
          <w:iCs w:val="false"/>
          <w:color w:val="1B365D"/>
          <w:sz w:val="24"/>
          <w:szCs w:val="24"/>
        </w:rPr>
        <w:t xml:space="preserve">4.4 Sécurisation des formulaires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0"/>
        <w:gridCol w:w="1400"/>
        <w:gridCol w:w="640"/>
      </w:tblGrid>
      <w:tr>
        <w:trPr>
          <w:tblHeader/>
        </w:trPr>
        <w:tc>
          <w:tcPr>
            <w:tcW w:type="dxa" w:w="76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Intervention prévue (proposition commerciale)</w:t>
            </w:r>
          </w:p>
        </w:tc>
        <w:tc>
          <w:tcPr>
            <w:tcW w:type="dxa" w:w="14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Mise en œuvre</w:t>
            </w:r>
          </w:p>
        </w:tc>
        <w:tc>
          <w:tcPr>
            <w:tcW w:type="dxa" w:w="64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FFFFFF"/>
                <w:sz w:val="18"/>
                <w:szCs w:val="18"/>
              </w:rPr>
              <w:t xml:space="preserve">Statut</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Installation de reCAPTCHA sur tous les formulaires</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reCAPTCHA actif sur les formulaires</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Protection contre les attaques brute-force</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Limitation par adresse IP</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Limitation des tentatives de connexion</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5 essais / 15 minutes</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Filtrage anti-spam avancé</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reCAPTCHA + filtrage serveur</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bl>
    <w:p>
      <w:pPr>
        <w:pStyle w:val="Heading2"/>
        <w:spacing w:after="120" w:before="280"/>
      </w:pPr>
      <w:r>
        <w:rPr>
          <w:rFonts w:ascii="Calibri" w:cs="Calibri" w:eastAsia="Calibri" w:hAnsi="Calibri"/>
          <w:b/>
          <w:bCs/>
          <w:i w:val="false"/>
          <w:iCs w:val="false"/>
          <w:color w:val="1B365D"/>
          <w:sz w:val="24"/>
          <w:szCs w:val="24"/>
        </w:rPr>
        <w:t xml:space="preserve">4.5 Sauvegarde préalable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0"/>
        <w:gridCol w:w="1400"/>
        <w:gridCol w:w="640"/>
      </w:tblGrid>
      <w:tr>
        <w:trPr>
          <w:tblHeader/>
        </w:trPr>
        <w:tc>
          <w:tcPr>
            <w:tcW w:type="dxa" w:w="76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Intervention prévue (proposition commerciale)</w:t>
            </w:r>
          </w:p>
        </w:tc>
        <w:tc>
          <w:tcPr>
            <w:tcW w:type="dxa" w:w="14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Mise en œuvre</w:t>
            </w:r>
          </w:p>
        </w:tc>
        <w:tc>
          <w:tcPr>
            <w:tcW w:type="dxa" w:w="64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FFFFFF"/>
                <w:sz w:val="18"/>
                <w:szCs w:val="18"/>
              </w:rPr>
              <w:t xml:space="preserve">Statut</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Sauvegarde complète du site avant intervention</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Archive fichiers complète</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Sauvegarde de la base de données</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Dump SQL avant travaux</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Test de restauration</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Contrôle d’intégrité effectué</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bl>
    <w:p>
      <w:pPr>
        <w:pStyle w:val="Heading1"/>
        <w:pBdr>
          <w:bottom w:val="single" w:color="F07D00" w:sz="12" w:space="4"/>
        </w:pBdr>
        <w:spacing w:after="160" w:before="360"/>
      </w:pPr>
      <w:r>
        <w:rPr>
          <w:rFonts w:ascii="Calibri" w:cs="Calibri" w:eastAsia="Calibri" w:hAnsi="Calibri"/>
          <w:b/>
          <w:bCs/>
          <w:i w:val="false"/>
          <w:iCs w:val="false"/>
          <w:color w:val="1B365D"/>
          <w:sz w:val="28"/>
          <w:szCs w:val="28"/>
        </w:rPr>
        <w:t xml:space="preserve">5. Phase 2 — Optimisation des performances</w:t>
      </w:r>
    </w:p>
    <w:p>
      <w:pPr>
        <w:spacing w:after="160" w:before="0" w:line="276"/>
        <w:jc w:val="both"/>
      </w:pPr>
      <w:r>
        <w:rPr>
          <w:rFonts w:ascii="Calibri" w:cs="Calibri" w:eastAsia="Calibri" w:hAnsi="Calibri"/>
          <w:b w:val="false"/>
          <w:bCs w:val="false"/>
          <w:i w:val="false"/>
          <w:iCs w:val="false"/>
          <w:color w:val="333333"/>
          <w:sz w:val="21"/>
          <w:szCs w:val="21"/>
        </w:rPr>
        <w:t xml:space="preserve">Interventions techniques prévues à la section 5.2 de la proposition commerciale. Toutes les lignes ci-dessous sont réalisées (✓).</w:t>
      </w:r>
    </w:p>
    <w:p>
      <w:pPr>
        <w:pStyle w:val="Heading2"/>
        <w:spacing w:after="120" w:before="280"/>
      </w:pPr>
      <w:r>
        <w:rPr>
          <w:rFonts w:ascii="Calibri" w:cs="Calibri" w:eastAsia="Calibri" w:hAnsi="Calibri"/>
          <w:b/>
          <w:bCs/>
          <w:i w:val="false"/>
          <w:iCs w:val="false"/>
          <w:color w:val="1B365D"/>
          <w:sz w:val="24"/>
          <w:szCs w:val="24"/>
        </w:rPr>
        <w:t xml:space="preserve">5.1 Mise en place du cache</w:t>
      </w:r>
    </w:p>
    <w:p>
      <w:pPr>
        <w:spacing w:after="160" w:before="0" w:line="276"/>
        <w:jc w:val="both"/>
      </w:pPr>
      <w:r>
        <w:rPr>
          <w:rFonts w:ascii="Calibri" w:cs="Calibri" w:eastAsia="Calibri" w:hAnsi="Calibri"/>
          <w:b w:val="false"/>
          <w:bCs w:val="false"/>
          <w:i w:val="false"/>
          <w:iCs w:val="false"/>
          <w:color w:val="333333"/>
          <w:sz w:val="21"/>
          <w:szCs w:val="21"/>
        </w:rPr>
        <w:t xml:space="preserve">L’hébergeur o2switch (offre PowerBoost) repose sur LiteSpeed : l’équivalent de WP Rocket retenu est LiteSpeed Cache, nativement adapté à cette infrastructure.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0"/>
        <w:gridCol w:w="1400"/>
        <w:gridCol w:w="640"/>
      </w:tblGrid>
      <w:tr>
        <w:trPr>
          <w:tblHeader/>
        </w:trPr>
        <w:tc>
          <w:tcPr>
            <w:tcW w:type="dxa" w:w="76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Intervention prévue (proposition commerciale)</w:t>
            </w:r>
          </w:p>
        </w:tc>
        <w:tc>
          <w:tcPr>
            <w:tcW w:type="dxa" w:w="14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Mise en œuvre</w:t>
            </w:r>
          </w:p>
        </w:tc>
        <w:tc>
          <w:tcPr>
            <w:tcW w:type="dxa" w:w="64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FFFFFF"/>
                <w:sz w:val="18"/>
                <w:szCs w:val="18"/>
              </w:rPr>
              <w:t xml:space="preserve">Statut</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Installation d’un plugin de cache avancé (WP Rocket ou équivalent)</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LiteSpeed Cache (serveur o2switch)</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Configuration du cache des pages</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Cache HTML LiteSpeed</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Configuration du cache navigateur</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LiteSpeed + Cloudflare</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Activation de la compression Gzip/Brotli</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Origine + CDN Brotli</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bl>
    <w:p>
      <w:pPr>
        <w:pStyle w:val="Heading2"/>
        <w:spacing w:after="120" w:before="280"/>
      </w:pPr>
      <w:r>
        <w:rPr>
          <w:rFonts w:ascii="Calibri" w:cs="Calibri" w:eastAsia="Calibri" w:hAnsi="Calibri"/>
          <w:b/>
          <w:bCs/>
          <w:i w:val="false"/>
          <w:iCs w:val="false"/>
          <w:color w:val="1B365D"/>
          <w:sz w:val="24"/>
          <w:szCs w:val="24"/>
        </w:rPr>
        <w:t xml:space="preserve">5.2 Optimisation des images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0"/>
        <w:gridCol w:w="1400"/>
        <w:gridCol w:w="640"/>
      </w:tblGrid>
      <w:tr>
        <w:trPr>
          <w:tblHeader/>
        </w:trPr>
        <w:tc>
          <w:tcPr>
            <w:tcW w:type="dxa" w:w="76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Intervention prévue (proposition commerciale)</w:t>
            </w:r>
          </w:p>
        </w:tc>
        <w:tc>
          <w:tcPr>
            <w:tcW w:type="dxa" w:w="14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Mise en œuvre</w:t>
            </w:r>
          </w:p>
        </w:tc>
        <w:tc>
          <w:tcPr>
            <w:tcW w:type="dxa" w:w="64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FFFFFF"/>
                <w:sz w:val="18"/>
                <w:szCs w:val="18"/>
              </w:rPr>
              <w:t xml:space="preserve">Statut</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Conversion automatique au format WebP</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Optimisation images LiteSpeed</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Compression optimisée sans perte visible</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Compression automatique</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Activation du lazy loading sur toutes les images</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Lazy load natif + plugin</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Génération des tailles responsive (srcset)</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srcset WordPress / WooCommerce</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bl>
    <w:p>
      <w:pPr>
        <w:pStyle w:val="Heading2"/>
        <w:spacing w:after="120" w:before="280"/>
      </w:pPr>
      <w:r>
        <w:rPr>
          <w:rFonts w:ascii="Calibri" w:cs="Calibri" w:eastAsia="Calibri" w:hAnsi="Calibri"/>
          <w:b/>
          <w:bCs/>
          <w:i w:val="false"/>
          <w:iCs w:val="false"/>
          <w:color w:val="1B365D"/>
          <w:sz w:val="24"/>
          <w:szCs w:val="24"/>
        </w:rPr>
        <w:t xml:space="preserve">5.3 Optimisation des fichiers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0"/>
        <w:gridCol w:w="1400"/>
        <w:gridCol w:w="640"/>
      </w:tblGrid>
      <w:tr>
        <w:trPr>
          <w:tblHeader/>
        </w:trPr>
        <w:tc>
          <w:tcPr>
            <w:tcW w:type="dxa" w:w="76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Intervention prévue (proposition commerciale)</w:t>
            </w:r>
          </w:p>
        </w:tc>
        <w:tc>
          <w:tcPr>
            <w:tcW w:type="dxa" w:w="14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Mise en œuvre</w:t>
            </w:r>
          </w:p>
        </w:tc>
        <w:tc>
          <w:tcPr>
            <w:tcW w:type="dxa" w:w="64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FFFFFF"/>
                <w:sz w:val="18"/>
                <w:szCs w:val="18"/>
              </w:rPr>
              <w:t xml:space="preserve">Statut</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Minification des fichiers CSS</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Optimisation LiteSpeed</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Minification des fichiers JavaScript</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Optimisation LiteSpeed</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Combinaison des fichiers lorsque possible</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Regroupement contrôlé</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Chargement asynchrone des scripts non essentiels</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Différé / asynchrone</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Suppression des scripts inutilisés</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Exclusions et nettoyage</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bl>
    <w:p>
      <w:pPr>
        <w:spacing w:after="80"/>
      </w:pPr>
    </w:p>
    <w:p>
      <w:pPr>
        <w:spacing w:after="160" w:before="0" w:line="276"/>
        <w:jc w:val="both"/>
      </w:pPr>
      <w:r>
        <w:rPr>
          <w:rFonts w:ascii="Calibri" w:cs="Calibri" w:eastAsia="Calibri" w:hAnsi="Calibri"/>
          <w:b w:val="false"/>
          <w:bCs w:val="false"/>
          <w:i w:val="false"/>
          <w:iCs w:val="false"/>
          <w:color w:val="333333"/>
          <w:sz w:val="21"/>
          <w:szCs w:val="21"/>
        </w:rPr>
        <w:t xml:space="preserve">Les scripts critiques (galeries produit, carrousels) sont exclus du chargement différé afin d’éviter les erreurs d’affichage tout en conservant l’optimisation du reste des fichiers.</w:t>
      </w:r>
    </w:p>
    <w:p>
      <w:pPr>
        <w:pStyle w:val="Heading2"/>
        <w:spacing w:after="120" w:before="280"/>
      </w:pPr>
      <w:r>
        <w:rPr>
          <w:rFonts w:ascii="Calibri" w:cs="Calibri" w:eastAsia="Calibri" w:hAnsi="Calibri"/>
          <w:b/>
          <w:bCs/>
          <w:i w:val="false"/>
          <w:iCs w:val="false"/>
          <w:color w:val="1B365D"/>
          <w:sz w:val="24"/>
          <w:szCs w:val="24"/>
        </w:rPr>
        <w:t xml:space="preserve">5.4 Optimisation serveur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0"/>
        <w:gridCol w:w="1400"/>
        <w:gridCol w:w="640"/>
      </w:tblGrid>
      <w:tr>
        <w:trPr>
          <w:tblHeader/>
        </w:trPr>
        <w:tc>
          <w:tcPr>
            <w:tcW w:type="dxa" w:w="76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Intervention prévue (proposition commerciale)</w:t>
            </w:r>
          </w:p>
        </w:tc>
        <w:tc>
          <w:tcPr>
            <w:tcW w:type="dxa" w:w="14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Mise en œuvre</w:t>
            </w:r>
          </w:p>
        </w:tc>
        <w:tc>
          <w:tcPr>
            <w:tcW w:type="dxa" w:w="64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FFFFFF"/>
                <w:sz w:val="18"/>
                <w:szCs w:val="18"/>
              </w:rPr>
              <w:t xml:space="preserve">Statut</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Mise en place d’un CDN (Cloudflare)</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Zone Cloudflare active</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Optimisation du temps de réponse serveur</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Cache page + CDN + OPcache</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Activation d’OPcache PHP</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OPcache hébergeur o2switch</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Optimisation des requêtes base de données</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Requêtes et index nettoyés</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Nettoyage de la base de données (révisions, transients, spam)</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Révisions / transients / spam</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bl>
    <w:p>
      <w:pPr>
        <w:pStyle w:val="Heading2"/>
        <w:spacing w:after="120" w:before="280"/>
      </w:pPr>
      <w:r>
        <w:rPr>
          <w:rFonts w:ascii="Calibri" w:cs="Calibri" w:eastAsia="Calibri" w:hAnsi="Calibri"/>
          <w:b/>
          <w:bCs/>
          <w:i w:val="false"/>
          <w:iCs w:val="false"/>
          <w:color w:val="1B365D"/>
          <w:sz w:val="24"/>
          <w:szCs w:val="24"/>
        </w:rPr>
        <w:t xml:space="preserve">5.5 Intégration et configuration Cloudflare</w:t>
      </w:r>
    </w:p>
    <w:p>
      <w:pPr>
        <w:spacing w:after="160" w:before="0" w:line="276"/>
        <w:jc w:val="both"/>
      </w:pPr>
      <w:r>
        <w:rPr>
          <w:rFonts w:ascii="Calibri" w:cs="Calibri" w:eastAsia="Calibri" w:hAnsi="Calibri"/>
          <w:b w:val="false"/>
          <w:bCs w:val="false"/>
          <w:i w:val="false"/>
          <w:iCs w:val="false"/>
          <w:color w:val="333333"/>
          <w:sz w:val="21"/>
          <w:szCs w:val="21"/>
        </w:rPr>
        <w:t xml:space="preserve">Conformément à la proposition commerciale (« Mise en place d’un CDN — Cloudflare »), le domaine globalmateriel.ma a été intégré à Cloudflare. Le CDN se situe entre le visiteur et le serveur o2switch : il accélère la livraison des pages, absorbe une partie du trafic, applique les en-têtes de sécurité et masque l’IP d’origine.</w:t>
      </w:r>
    </w:p>
    <w:p>
      <w:pPr>
        <w:pStyle w:val="Heading3"/>
        <w:spacing w:after="80" w:before="200"/>
      </w:pPr>
      <w:r>
        <w:rPr>
          <w:rFonts w:ascii="Calibri" w:cs="Calibri" w:eastAsia="Calibri" w:hAnsi="Calibri"/>
          <w:b/>
          <w:bCs/>
          <w:i w:val="false"/>
          <w:iCs w:val="false"/>
          <w:color w:val="F07D00"/>
          <w:sz w:val="22"/>
          <w:szCs w:val="22"/>
        </w:rPr>
        <w:t xml:space="preserve">DNS et proxy CDN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0"/>
        <w:gridCol w:w="1400"/>
        <w:gridCol w:w="640"/>
      </w:tblGrid>
      <w:tr>
        <w:trPr>
          <w:tblHeader/>
        </w:trPr>
        <w:tc>
          <w:tcPr>
            <w:tcW w:type="dxa" w:w="76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Intervention prévue (proposition commerciale)</w:t>
            </w:r>
          </w:p>
        </w:tc>
        <w:tc>
          <w:tcPr>
            <w:tcW w:type="dxa" w:w="14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Mise en œuvre</w:t>
            </w:r>
          </w:p>
        </w:tc>
        <w:tc>
          <w:tcPr>
            <w:tcW w:type="dxa" w:w="64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FFFFFF"/>
                <w:sz w:val="18"/>
                <w:szCs w:val="18"/>
              </w:rPr>
              <w:t xml:space="preserve">Statut</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Rattachement du domaine globalmateriel.ma à Cloudflare</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Zone DNS Cloudflare</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Proxy CDN activé (nuage orange) sur les enregistrements du site</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Trafic filtré et mis en cache</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Masquage de l’adresse IP du serveur d’origine (o2switch)</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IP origine non exposée</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bl>
    <w:p>
      <w:pPr>
        <w:pStyle w:val="Heading3"/>
        <w:spacing w:after="80" w:before="200"/>
      </w:pPr>
      <w:r>
        <w:rPr>
          <w:rFonts w:ascii="Calibri" w:cs="Calibri" w:eastAsia="Calibri" w:hAnsi="Calibri"/>
          <w:b/>
          <w:bCs/>
          <w:i w:val="false"/>
          <w:iCs w:val="false"/>
          <w:color w:val="F07D00"/>
          <w:sz w:val="22"/>
          <w:szCs w:val="22"/>
        </w:rPr>
        <w:t xml:space="preserve">SSL / TLS et HTTPS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0"/>
        <w:gridCol w:w="1400"/>
        <w:gridCol w:w="640"/>
      </w:tblGrid>
      <w:tr>
        <w:trPr>
          <w:tblHeader/>
        </w:trPr>
        <w:tc>
          <w:tcPr>
            <w:tcW w:type="dxa" w:w="76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Intervention prévue (proposition commerciale)</w:t>
            </w:r>
          </w:p>
        </w:tc>
        <w:tc>
          <w:tcPr>
            <w:tcW w:type="dxa" w:w="14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Mise en œuvre</w:t>
            </w:r>
          </w:p>
        </w:tc>
        <w:tc>
          <w:tcPr>
            <w:tcW w:type="dxa" w:w="64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FFFFFF"/>
                <w:sz w:val="18"/>
                <w:szCs w:val="18"/>
              </w:rPr>
              <w:t xml:space="preserve">Statut</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Chiffrement SSL/TLS de bout en bout</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Cloudflare + Let’s Encrypt origine</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Always Use HTTPS / redirection HTTP → HTTPS</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HTTPS forcé au CDN</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Protocole TLS 1.3</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TLS 1.3 actif</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HSTS — max-age 1 an</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Strict-Transport-Security</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bl>
    <w:p>
      <w:pPr>
        <w:pStyle w:val="Heading3"/>
        <w:spacing w:after="80" w:before="200"/>
      </w:pPr>
      <w:r>
        <w:rPr>
          <w:rFonts w:ascii="Calibri" w:cs="Calibri" w:eastAsia="Calibri" w:hAnsi="Calibri"/>
          <w:b/>
          <w:bCs/>
          <w:i w:val="false"/>
          <w:iCs w:val="false"/>
          <w:color w:val="F07D00"/>
          <w:sz w:val="22"/>
          <w:szCs w:val="22"/>
        </w:rPr>
        <w:t xml:space="preserve">Performances CDN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0"/>
        <w:gridCol w:w="1400"/>
        <w:gridCol w:w="640"/>
      </w:tblGrid>
      <w:tr>
        <w:trPr>
          <w:tblHeader/>
        </w:trPr>
        <w:tc>
          <w:tcPr>
            <w:tcW w:type="dxa" w:w="76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Intervention prévue (proposition commerciale)</w:t>
            </w:r>
          </w:p>
        </w:tc>
        <w:tc>
          <w:tcPr>
            <w:tcW w:type="dxa" w:w="14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Mise en œuvre</w:t>
            </w:r>
          </w:p>
        </w:tc>
        <w:tc>
          <w:tcPr>
            <w:tcW w:type="dxa" w:w="64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FFFFFF"/>
                <w:sz w:val="18"/>
                <w:szCs w:val="18"/>
              </w:rPr>
              <w:t xml:space="preserve">Statut</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Réseau CDN mondial (points de présence Cloudflare)</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Distribution des assets</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Compression Brotli au niveau CDN</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Brotli activé</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Cache des ressources statiques (CSS, JS, images, polices)</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Cache navigateur + edge</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HTTP/2 et HTTP/3 (QUIC)</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Protocoles modernes</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bl>
    <w:p>
      <w:pPr>
        <w:pStyle w:val="Heading3"/>
        <w:spacing w:after="80" w:before="200"/>
      </w:pPr>
      <w:r>
        <w:rPr>
          <w:rFonts w:ascii="Calibri" w:cs="Calibri" w:eastAsia="Calibri" w:hAnsi="Calibri"/>
          <w:b/>
          <w:bCs/>
          <w:i w:val="false"/>
          <w:iCs w:val="false"/>
          <w:color w:val="F07D00"/>
          <w:sz w:val="22"/>
          <w:szCs w:val="22"/>
        </w:rPr>
        <w:t xml:space="preserve">Sécurité en périphérie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0"/>
        <w:gridCol w:w="1400"/>
        <w:gridCol w:w="640"/>
      </w:tblGrid>
      <w:tr>
        <w:trPr>
          <w:tblHeader/>
        </w:trPr>
        <w:tc>
          <w:tcPr>
            <w:tcW w:type="dxa" w:w="76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Intervention prévue (proposition commerciale)</w:t>
            </w:r>
          </w:p>
        </w:tc>
        <w:tc>
          <w:tcPr>
            <w:tcW w:type="dxa" w:w="14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Mise en œuvre</w:t>
            </w:r>
          </w:p>
        </w:tc>
        <w:tc>
          <w:tcPr>
            <w:tcW w:type="dxa" w:w="64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FFFFFF"/>
                <w:sz w:val="18"/>
                <w:szCs w:val="18"/>
              </w:rPr>
              <w:t xml:space="preserve">Statut</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En-têtes de sécurité HTTP appliqués en périphérie</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HSTS, CSP, X-CTO, XFO, Referrer, Permissions</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Pare-feu applicatif / filtrage du trafic malveillant</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Règles de sécurité Cloudflare</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Protection bots et atténuation des attaques automatisées</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Filtrage bots CDN</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bl>
    <w:p>
      <w:pPr>
        <w:spacing w:after="120"/>
      </w:pPr>
    </w:p>
    <w:p>
      <w:pPr>
        <w:spacing w:after="160" w:before="0" w:line="276"/>
        <w:jc w:val="both"/>
      </w:pPr>
      <w:r>
        <w:rPr>
          <w:rFonts w:ascii="Calibri" w:cs="Calibri" w:eastAsia="Calibri" w:hAnsi="Calibri"/>
          <w:b w:val="false"/>
          <w:bCs w:val="false"/>
          <w:i w:val="false"/>
          <w:iCs w:val="false"/>
          <w:color w:val="333333"/>
          <w:sz w:val="21"/>
          <w:szCs w:val="21"/>
        </w:rPr>
        <w:t xml:space="preserve">Cette configuration Cloudflare couvre, au niveau réseau, les en-têtes de sécurité de la Phase 1 et le volet CDN / compression / cache navigateur de la Phase 2, en complément de LiteSpeed Cache sur le serveur d’origine.</w:t>
      </w:r>
    </w:p>
    <w:p>
      <w:pPr>
        <w:pStyle w:val="Heading1"/>
        <w:pBdr>
          <w:bottom w:val="single" w:color="F07D00" w:sz="12" w:space="4"/>
        </w:pBdr>
        <w:spacing w:after="160" w:before="360"/>
      </w:pPr>
      <w:r>
        <w:rPr>
          <w:rFonts w:ascii="Calibri" w:cs="Calibri" w:eastAsia="Calibri" w:hAnsi="Calibri"/>
          <w:b/>
          <w:bCs/>
          <w:i w:val="false"/>
          <w:iCs w:val="false"/>
          <w:color w:val="1B365D"/>
          <w:sz w:val="28"/>
          <w:szCs w:val="28"/>
        </w:rPr>
        <w:t xml:space="preserve">6. Phase 3 — Optimisation SEO et accessibilité</w:t>
      </w:r>
    </w:p>
    <w:p>
      <w:pPr>
        <w:spacing w:after="160" w:before="0" w:line="276"/>
        <w:jc w:val="both"/>
      </w:pPr>
      <w:r>
        <w:rPr>
          <w:rFonts w:ascii="Calibri" w:cs="Calibri" w:eastAsia="Calibri" w:hAnsi="Calibri"/>
          <w:b w:val="false"/>
          <w:bCs w:val="false"/>
          <w:i w:val="false"/>
          <w:iCs w:val="false"/>
          <w:color w:val="333333"/>
          <w:sz w:val="21"/>
          <w:szCs w:val="21"/>
        </w:rPr>
        <w:t xml:space="preserve">Interventions techniques prévues à la section 5.3 de la proposition commerciale. Toutes les lignes ci-dessous sont réalisées (✓).</w:t>
      </w:r>
    </w:p>
    <w:p>
      <w:pPr>
        <w:pStyle w:val="Heading2"/>
        <w:spacing w:after="120" w:before="280"/>
      </w:pPr>
      <w:r>
        <w:rPr>
          <w:rFonts w:ascii="Calibri" w:cs="Calibri" w:eastAsia="Calibri" w:hAnsi="Calibri"/>
          <w:b/>
          <w:bCs/>
          <w:i w:val="false"/>
          <w:iCs w:val="false"/>
          <w:color w:val="1B365D"/>
          <w:sz w:val="24"/>
          <w:szCs w:val="24"/>
        </w:rPr>
        <w:t xml:space="preserve">6.1 Optimisation SEO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0"/>
        <w:gridCol w:w="1400"/>
        <w:gridCol w:w="640"/>
      </w:tblGrid>
      <w:tr>
        <w:trPr>
          <w:tblHeader/>
        </w:trPr>
        <w:tc>
          <w:tcPr>
            <w:tcW w:type="dxa" w:w="76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Intervention prévue (proposition commerciale)</w:t>
            </w:r>
          </w:p>
        </w:tc>
        <w:tc>
          <w:tcPr>
            <w:tcW w:type="dxa" w:w="14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Mise en œuvre</w:t>
            </w:r>
          </w:p>
        </w:tc>
        <w:tc>
          <w:tcPr>
            <w:tcW w:type="dxa" w:w="64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FFFFFF"/>
                <w:sz w:val="18"/>
                <w:szCs w:val="18"/>
              </w:rPr>
              <w:t xml:space="preserve">Statut</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Ajout de la balise H1 sur la page d’accueil</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H1 présent sur l’accueil</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Correction de la hiérarchie des titres (H1, H2, H3, H4, H5, H6)</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Hiérarchie revue</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Optimisation des meta descriptions (150-160 caractères)</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Meta descriptions ajustées</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Optimisation des meta titres</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Balises title optimisées</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Configuration des balises Open Graph (Facebook, LinkedIn)</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Open Graph configuré</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Configuration des Twitter Cards</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Twitter Cards configurées</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Optimisation du fichier robots.txt</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robots.txt contrôlé</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Optimisation du sitemap XML</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Sitemap XML à jour</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Configuration du lien canonique</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URL canoniques actives</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bl>
    <w:p>
      <w:pPr>
        <w:pStyle w:val="Heading2"/>
        <w:spacing w:after="120" w:before="280"/>
      </w:pPr>
      <w:r>
        <w:rPr>
          <w:rFonts w:ascii="Calibri" w:cs="Calibri" w:eastAsia="Calibri" w:hAnsi="Calibri"/>
          <w:b/>
          <w:bCs/>
          <w:i w:val="false"/>
          <w:iCs w:val="false"/>
          <w:color w:val="1B365D"/>
          <w:sz w:val="24"/>
          <w:szCs w:val="24"/>
        </w:rPr>
        <w:t xml:space="preserve">6.2 Optimisation de l’accessibilité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0"/>
        <w:gridCol w:w="1400"/>
        <w:gridCol w:w="640"/>
      </w:tblGrid>
      <w:tr>
        <w:trPr>
          <w:tblHeader/>
        </w:trPr>
        <w:tc>
          <w:tcPr>
            <w:tcW w:type="dxa" w:w="76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Intervention prévue (proposition commerciale)</w:t>
            </w:r>
          </w:p>
        </w:tc>
        <w:tc>
          <w:tcPr>
            <w:tcW w:type="dxa" w:w="14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Mise en œuvre</w:t>
            </w:r>
          </w:p>
        </w:tc>
        <w:tc>
          <w:tcPr>
            <w:tcW w:type="dxa" w:w="64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FFFFFF"/>
                <w:sz w:val="18"/>
                <w:szCs w:val="18"/>
              </w:rPr>
              <w:t xml:space="preserve">Statut</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Ajout d’attributs alt descriptifs sur les 262 images</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Alt renseignés / générés</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Amélioration des contrastes de couleur</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Contrastes renforcés</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Optimisation de la navigation au clavier</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Parcours clavier vérifié</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Ajout des ARIA labels lorsque nécessaire</w:t>
            </w:r>
          </w:p>
        </w:tc>
        <w:tc>
          <w:tcPr>
            <w:tcW w:type="dxa" w:w="14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ARIA sur actions clés</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Tests avec lecteurs d’écran</w:t>
            </w:r>
          </w:p>
        </w:tc>
        <w:tc>
          <w:tcPr>
            <w:tcW w:type="dxa" w:w="1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Contrôles d’accessibilité</w:t>
            </w:r>
          </w:p>
        </w:tc>
        <w:tc>
          <w:tcPr>
            <w:tcW w:type="dxa" w:w="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bl>
    <w:p>
      <w:pPr>
        <w:spacing w:after="80"/>
      </w:pPr>
    </w:p>
    <w:p>
      <w:pPr>
        <w:spacing w:after="160" w:before="0" w:line="276"/>
        <w:jc w:val="both"/>
      </w:pPr>
      <w:r>
        <w:rPr>
          <w:rFonts w:ascii="Calibri" w:cs="Calibri" w:eastAsia="Calibri" w:hAnsi="Calibri"/>
          <w:b w:val="false"/>
          <w:bCs w:val="false"/>
          <w:i w:val="false"/>
          <w:iCs w:val="false"/>
          <w:color w:val="333333"/>
          <w:sz w:val="21"/>
          <w:szCs w:val="21"/>
        </w:rPr>
        <w:t xml:space="preserve">Sur les listings générés par le plugin, un titre H1 contextuel est produit (Boutique, nom de catégorie, ou résultats de recherche). Les images des grilles, carrousels et sliders reçoivent un attribut alt (nom du produit, de la catégorie, ou texte alternatif WordPress). Les actions clés (navigation carrousel, suppression panier / wishlist, compteur de résultats, champs de connexion) disposent de labels ARIA.</w:t>
      </w:r>
    </w:p>
    <w:p>
      <w:pPr>
        <w:pStyle w:val="Heading1"/>
        <w:pBdr>
          <w:bottom w:val="single" w:color="F07D00" w:sz="12" w:space="4"/>
        </w:pBdr>
        <w:spacing w:after="160" w:before="360"/>
      </w:pPr>
      <w:r>
        <w:rPr>
          <w:rFonts w:ascii="Calibri" w:cs="Calibri" w:eastAsia="Calibri" w:hAnsi="Calibri"/>
          <w:b/>
          <w:bCs/>
          <w:i w:val="false"/>
          <w:iCs w:val="false"/>
          <w:color w:val="1B365D"/>
          <w:sz w:val="28"/>
          <w:szCs w:val="28"/>
        </w:rPr>
        <w:t xml:space="preserve">7. Personnalisations métier réalisées</w:t>
      </w:r>
    </w:p>
    <w:p>
      <w:pPr>
        <w:spacing w:after="160" w:before="0" w:line="276"/>
        <w:jc w:val="both"/>
      </w:pPr>
      <w:r>
        <w:rPr>
          <w:rFonts w:ascii="Calibri" w:cs="Calibri" w:eastAsia="Calibri" w:hAnsi="Calibri"/>
          <w:b w:val="false"/>
          <w:bCs w:val="false"/>
          <w:i w:val="false"/>
          <w:iCs w:val="false"/>
          <w:color w:val="333333"/>
          <w:sz w:val="21"/>
          <w:szCs w:val="21"/>
        </w:rPr>
        <w:t xml:space="preserve">En complément des trois phases du devis, le parcours e-commerce a été adapté au modèle commercial de Global Matériel (demande de devis, catalogue B2B) tout en conservant le design d’origine exigé par le client.</w:t>
      </w:r>
    </w:p>
    <w:p>
      <w:pPr>
        <w:pStyle w:val="Heading2"/>
        <w:spacing w:after="120" w:before="280"/>
      </w:pPr>
      <w:r>
        <w:rPr>
          <w:rFonts w:ascii="Calibri" w:cs="Calibri" w:eastAsia="Calibri" w:hAnsi="Calibri"/>
          <w:b/>
          <w:bCs/>
          <w:i w:val="false"/>
          <w:iCs w:val="false"/>
          <w:color w:val="1B365D"/>
          <w:sz w:val="24"/>
          <w:szCs w:val="24"/>
        </w:rPr>
        <w:t xml:space="preserve">7.1 Tunnel de commande transformé en demande de devis</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Bouton de validation libellé « Demander Un Devis » (et non « Commander » / « Payer »).</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Passerelle interne silencieuse : la demande est enregistrée au statut « En attente », sans collecte de paiement.</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Aucun autre moyen de paiement n’est proposé au visiteur.</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Le panier est vidé après envoi de la demande.</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Note interne de commande : « Demande de devis reçue. Aucun paiement n’a été collecté. »</w:t>
      </w:r>
    </w:p>
    <w:p>
      <w:pPr>
        <w:spacing w:after="120" w:before="0" w:line="276"/>
        <w:jc w:val="both"/>
      </w:pPr>
      <w:r>
        <w:rPr>
          <w:rFonts w:ascii="Calibri" w:cs="Calibri" w:eastAsia="Calibri" w:hAnsi="Calibri"/>
          <w:b/>
          <w:bCs/>
          <w:i w:val="false"/>
          <w:iCs w:val="false"/>
          <w:color w:val="333333"/>
          <w:sz w:val="21"/>
          <w:szCs w:val="21"/>
        </w:rPr>
        <w:t xml:space="preserve">Formulaire de facturation : </w:t>
      </w:r>
      <w:r>
        <w:rPr>
          <w:rFonts w:ascii="Calibri" w:cs="Calibri" w:eastAsia="Calibri" w:hAnsi="Calibri"/>
          <w:b w:val="false"/>
          <w:bCs w:val="false"/>
          <w:i w:val="false"/>
          <w:iCs w:val="false"/>
          <w:color w:val="333333"/>
          <w:sz w:val="21"/>
          <w:szCs w:val="21"/>
        </w:rPr>
        <w:t xml:space="preserve">ordre Société → Prénom → Nom → Adresse → Ville → Code postal → Pays → E-mail → Téléphone ; suppression du complément d’adresse et du champ État / Région ; code postal facultatif ; connexion client et code promo en accordéons.</w:t>
      </w:r>
    </w:p>
    <w:p>
      <w:pPr>
        <w:spacing w:after="160" w:before="0" w:line="276"/>
        <w:jc w:val="both"/>
      </w:pPr>
      <w:r>
        <w:rPr>
          <w:rFonts w:ascii="Calibri" w:cs="Calibri" w:eastAsia="Calibri" w:hAnsi="Calibri"/>
          <w:b/>
          <w:bCs/>
          <w:i w:val="false"/>
          <w:iCs w:val="false"/>
          <w:color w:val="333333"/>
          <w:sz w:val="21"/>
          <w:szCs w:val="21"/>
        </w:rPr>
        <w:t xml:space="preserve">Récapitulatif : </w:t>
      </w:r>
      <w:r>
        <w:rPr>
          <w:rFonts w:ascii="Calibri" w:cs="Calibri" w:eastAsia="Calibri" w:hAnsi="Calibri"/>
          <w:b w:val="false"/>
          <w:bCs w:val="false"/>
          <w:i w:val="false"/>
          <w:iCs w:val="false"/>
          <w:color w:val="333333"/>
          <w:sz w:val="21"/>
          <w:szCs w:val="21"/>
        </w:rPr>
        <w:t xml:space="preserve">colonnes nom du produit (vignette + UGS), quantité −/+, suppression ; bouton « Mettre à jour » uniquement si une quantité a changé ; pas de total financier (cohérent avec un devis).</w:t>
      </w:r>
    </w:p>
    <w:p>
      <w:pPr>
        <w:pStyle w:val="Heading2"/>
        <w:spacing w:after="120" w:before="280"/>
      </w:pPr>
      <w:r>
        <w:rPr>
          <w:rFonts w:ascii="Calibri" w:cs="Calibri" w:eastAsia="Calibri" w:hAnsi="Calibri"/>
          <w:b/>
          <w:bCs/>
          <w:i w:val="false"/>
          <w:iCs w:val="false"/>
          <w:color w:val="1B365D"/>
          <w:sz w:val="24"/>
          <w:szCs w:val="24"/>
        </w:rPr>
        <w:t xml:space="preserve">7.2 Panier et mini-panier</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Tableau panier épuré (produit, quantité, suppression), sans colonnes prix / total.</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Mise à jour des quantités en AJAX, avec temporisation.</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Boutons « Continuer mes achats » et « Suivant ».</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Mini-panier du menu : sélecteur −/+ et bouton « Mettre à jour » visible seulement en cas de modification.</w:t>
      </w:r>
    </w:p>
    <w:p>
      <w:pPr>
        <w:pStyle w:val="Heading2"/>
        <w:spacing w:after="120" w:before="280"/>
      </w:pPr>
      <w:r>
        <w:rPr>
          <w:rFonts w:ascii="Calibri" w:cs="Calibri" w:eastAsia="Calibri" w:hAnsi="Calibri"/>
          <w:b/>
          <w:bCs/>
          <w:i w:val="false"/>
          <w:iCs w:val="false"/>
          <w:color w:val="1B365D"/>
          <w:sz w:val="24"/>
          <w:szCs w:val="24"/>
        </w:rPr>
        <w:t xml:space="preserve">7.3 Boutique et catalogue</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Grille 4 colonnes, adaptative mobile ; vues grille / liste mémorisées.</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Compteur de résultats ; 24 / 48 / 72 / 96 produits ; tris (popularité, date, prix, ventes, vues, réduction).</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Chargement infini au scroll (AJAX), y compris en recherche et en catégorie.</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Image de survol, actions rapides (aperçu / panier), référence produit, lien « + En savoir plus ».</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Devise MAD affichée en « DHS ».</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Produits à 0,00 DHS : restent achetable et en stock (demande de devis possible sans prix public).</w:t>
      </w:r>
    </w:p>
    <w:p>
      <w:pPr>
        <w:pStyle w:val="Heading2"/>
        <w:spacing w:after="120" w:before="280"/>
      </w:pPr>
      <w:r>
        <w:rPr>
          <w:rFonts w:ascii="Calibri" w:cs="Calibri" w:eastAsia="Calibri" w:hAnsi="Calibri"/>
          <w:b/>
          <w:bCs/>
          <w:i w:val="false"/>
          <w:iCs w:val="false"/>
          <w:color w:val="1B365D"/>
          <w:sz w:val="24"/>
          <w:szCs w:val="24"/>
        </w:rPr>
        <w:t xml:space="preserve">7.4 Fiche produit</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Bloc « Références et Dimensions » et jusqu’à 3 PDF « Documentation Technique ».</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Attributs WooCommerce en texte (sans lien vers les archives d’attributs).</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Masquage automatique des onglets Description / Informations complémentaires s’ils sont vides.</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Prix promotionnel affiché sur deux lignes.</w:t>
      </w:r>
    </w:p>
    <w:p>
      <w:pPr>
        <w:pStyle w:val="Heading2"/>
        <w:spacing w:after="120" w:before="280"/>
      </w:pPr>
      <w:r>
        <w:rPr>
          <w:rFonts w:ascii="Calibri" w:cs="Calibri" w:eastAsia="Calibri" w:hAnsi="Calibri"/>
          <w:b/>
          <w:bCs/>
          <w:i w:val="false"/>
          <w:iCs w:val="false"/>
          <w:color w:val="1B365D"/>
          <w:sz w:val="24"/>
          <w:szCs w:val="24"/>
        </w:rPr>
        <w:t xml:space="preserve">7.5 Compte client, liste de souhaits et WhatsApp</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Formulaire de connexion / inscription en français, champs obligatoires signalés (visuel + lecteur d’écran).</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Tableau wishlist au même langage visuel que le panier ; badge compteur en en-tête (AJAX).</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Bouton WhatsApp flottant ; numéro modifiable dans Réglages → Global Matériel.</w:t>
      </w:r>
    </w:p>
    <w:p>
      <w:pPr>
        <w:pStyle w:val="Heading2"/>
        <w:spacing w:after="120" w:before="280"/>
      </w:pPr>
      <w:r>
        <w:rPr>
          <w:rFonts w:ascii="Calibri" w:cs="Calibri" w:eastAsia="Calibri" w:hAnsi="Calibri"/>
          <w:b/>
          <w:bCs/>
          <w:i w:val="false"/>
          <w:iCs w:val="false"/>
          <w:color w:val="1B365D"/>
          <w:sz w:val="24"/>
          <w:szCs w:val="24"/>
        </w:rPr>
        <w:t xml:space="preserve">7.6 Navigation catalogue</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Slider d’accueil, carrousel de catégories, menu latéral accordéon, promotions, produits d’une catégorie, produits associés, catégories associées.</w:t>
      </w:r>
    </w:p>
    <w:p>
      <w:pPr>
        <w:spacing w:after="160" w:before="0" w:line="276"/>
        <w:jc w:val="both"/>
      </w:pPr>
      <w:r>
        <w:rPr>
          <w:rFonts w:ascii="Calibri" w:cs="Calibri" w:eastAsia="Calibri" w:hAnsi="Calibri"/>
          <w:b w:val="false"/>
          <w:bCs w:val="false"/>
          <w:i w:val="false"/>
          <w:iCs w:val="false"/>
          <w:color w:val="333333"/>
          <w:sz w:val="21"/>
          <w:szCs w:val="21"/>
        </w:rPr>
        <w:t xml:space="preserve">Tous ces blocs reprennent le langage visuel d’origine (couleurs, typographie, espacements, comportement mobile).</w:t>
      </w:r>
    </w:p>
    <w:p>
      <w:pPr>
        <w:pStyle w:val="Heading1"/>
        <w:pBdr>
          <w:bottom w:val="single" w:color="F07D00" w:sz="12" w:space="4"/>
        </w:pBdr>
        <w:spacing w:after="160" w:before="360"/>
      </w:pPr>
      <w:r>
        <w:rPr>
          <w:rFonts w:ascii="Calibri" w:cs="Calibri" w:eastAsia="Calibri" w:hAnsi="Calibri"/>
          <w:b/>
          <w:bCs/>
          <w:i w:val="false"/>
          <w:iCs w:val="false"/>
          <w:color w:val="1B365D"/>
          <w:sz w:val="28"/>
          <w:szCs w:val="28"/>
        </w:rPr>
        <w:t xml:space="preserve">8. Inventaire des shortcodes</w:t>
      </w:r>
    </w:p>
    <w:p>
      <w:pPr>
        <w:spacing w:after="160" w:before="0" w:line="276"/>
        <w:jc w:val="both"/>
      </w:pPr>
      <w:r>
        <w:rPr>
          <w:rFonts w:ascii="Calibri" w:cs="Calibri" w:eastAsia="Calibri" w:hAnsi="Calibri"/>
          <w:b w:val="false"/>
          <w:bCs w:val="false"/>
          <w:i w:val="false"/>
          <w:iCs w:val="false"/>
          <w:color w:val="333333"/>
          <w:sz w:val="21"/>
          <w:szCs w:val="21"/>
        </w:rPr>
        <w:t xml:space="preserve">Shortcodes à insérer dans Elementor (widget Shortcode) ou dans le contenu WordPress.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140"/>
      </w:tblGrid>
      <w:tr>
        <w:trPr>
          <w:tblHeader/>
        </w:trPr>
        <w:tc>
          <w:tcPr>
            <w:tcW w:type="dxa" w:w="22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Bloc</w:t>
            </w:r>
          </w:p>
        </w:tc>
        <w:tc>
          <w:tcPr>
            <w:tcW w:type="dxa" w:w="43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Description</w:t>
            </w:r>
          </w:p>
        </w:tc>
        <w:tc>
          <w:tcPr>
            <w:tcW w:type="dxa" w:w="314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Code du shortcode</w:t>
            </w:r>
          </w:p>
        </w:tc>
      </w:tr>
      <w:tr>
        <w:tc>
          <w:tcPr>
            <w:tcW w:type="dxa" w:w="2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Page de devis (checkout)</w:t>
            </w:r>
          </w:p>
        </w:tc>
        <w:tc>
          <w:tcPr>
            <w:tcW w:type="dxa" w:w="43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Tunnel complet : connexion, code promo, coordonnées, récapitulatif et bouton « Demander Un Devis ».</w:t>
            </w:r>
          </w:p>
        </w:tc>
        <w:tc>
          <w:tcPr>
            <w:tcW w:type="dxa" w:w="314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[custom_checkout_page]</w:t>
            </w:r>
          </w:p>
        </w:tc>
      </w:tr>
      <w:tr>
        <w:tc>
          <w:tcPr>
            <w:tcW w:type="dxa" w:w="22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Tableau du panier</w:t>
            </w:r>
          </w:p>
        </w:tc>
        <w:tc>
          <w:tcPr>
            <w:tcW w:type="dxa" w:w="43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Panier personnalisé (produit, quantité AJAX, suppression) avec « Continuer mes achats » et « Suivant ».</w:t>
            </w:r>
          </w:p>
        </w:tc>
        <w:tc>
          <w:tcPr>
            <w:tcW w:type="dxa" w:w="314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[custom_cart_table]</w:t>
            </w:r>
          </w:p>
        </w:tc>
      </w:tr>
      <w:tr>
        <w:tc>
          <w:tcPr>
            <w:tcW w:type="dxa" w:w="2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Liste de souhaits</w:t>
            </w:r>
          </w:p>
        </w:tc>
        <w:tc>
          <w:tcPr>
            <w:tcW w:type="dxa" w:w="43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Tableau wishlist (image, nom, prix, ajout au panier, suppression). Nécessite YITH Wishlist.</w:t>
            </w:r>
          </w:p>
        </w:tc>
        <w:tc>
          <w:tcPr>
            <w:tcW w:type="dxa" w:w="314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[custom_wishlist_table]</w:t>
            </w:r>
          </w:p>
        </w:tc>
      </w:tr>
      <w:tr>
        <w:tc>
          <w:tcPr>
            <w:tcW w:type="dxa" w:w="22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Grille boutique</w:t>
            </w:r>
          </w:p>
        </w:tc>
        <w:tc>
          <w:tcPr>
            <w:tcW w:type="dxa" w:w="43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Listing produits : H1, compteur, vues grille/liste, tri, chargement infini. Boutique, catégories, recherche.</w:t>
            </w:r>
          </w:p>
        </w:tc>
        <w:tc>
          <w:tcPr>
            <w:tcW w:type="dxa" w:w="314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[custom_shop_products]</w:t>
            </w:r>
          </w:p>
        </w:tc>
      </w:tr>
      <w:tr>
        <w:tc>
          <w:tcPr>
            <w:tcW w:type="dxa" w:w="2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Données fiche produit</w:t>
            </w:r>
          </w:p>
        </w:tc>
        <w:tc>
          <w:tcPr>
            <w:tcW w:type="dxa" w:w="43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Tableau « Références et Dimensions » et PDF « Documentation Technique » du produit en cours.</w:t>
            </w:r>
          </w:p>
        </w:tc>
        <w:tc>
          <w:tcPr>
            <w:tcW w:type="dxa" w:w="314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[custom_product_data]</w:t>
            </w:r>
          </w:p>
        </w:tc>
      </w:tr>
      <w:tr>
        <w:tc>
          <w:tcPr>
            <w:tcW w:type="dxa" w:w="22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Carrousel de catégories</w:t>
            </w:r>
          </w:p>
        </w:tc>
        <w:tc>
          <w:tcPr>
            <w:tcW w:type="dxa" w:w="43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Catégories enfants de la page en cours (boutique = racines ; catégorie = sous-catégories).</w:t>
            </w:r>
          </w:p>
        </w:tc>
        <w:tc>
          <w:tcPr>
            <w:tcW w:type="dxa" w:w="314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[custom_category_carousel]</w:t>
            </w:r>
          </w:p>
        </w:tc>
      </w:tr>
      <w:tr>
        <w:tc>
          <w:tcPr>
            <w:tcW w:type="dxa" w:w="2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Menu latéral catégories</w:t>
            </w:r>
          </w:p>
        </w:tc>
        <w:tc>
          <w:tcPr>
            <w:tcW w:type="dxa" w:w="43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Accordéon des catégories racines et enfants. Surlignage de la catégorie active.</w:t>
            </w:r>
          </w:p>
        </w:tc>
        <w:tc>
          <w:tcPr>
            <w:tcW w:type="dxa" w:w="314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[category_sidebar]</w:t>
            </w:r>
          </w:p>
        </w:tc>
      </w:tr>
      <w:tr>
        <w:tc>
          <w:tcPr>
            <w:tcW w:type="dxa" w:w="22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Menu latéral (titre)</w:t>
            </w:r>
          </w:p>
        </w:tc>
        <w:tc>
          <w:tcPr>
            <w:tcW w:type="dxa" w:w="43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Identique, titre personnalisable.</w:t>
            </w:r>
          </w:p>
        </w:tc>
        <w:tc>
          <w:tcPr>
            <w:tcW w:type="dxa" w:w="314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[category_sidebar title="CATÉGORIES DE PRODUITS"]</w:t>
            </w:r>
          </w:p>
        </w:tc>
      </w:tr>
      <w:tr>
        <w:tc>
          <w:tcPr>
            <w:tcW w:type="dxa" w:w="2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Produits associés</w:t>
            </w:r>
          </w:p>
        </w:tc>
        <w:tc>
          <w:tcPr>
            <w:tcW w:type="dxa" w:w="43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Carrousel des produits liés à la fiche produit affichée.</w:t>
            </w:r>
          </w:p>
        </w:tc>
        <w:tc>
          <w:tcPr>
            <w:tcW w:type="dxa" w:w="314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[related_products_carousel]</w:t>
            </w:r>
          </w:p>
        </w:tc>
      </w:tr>
      <w:tr>
        <w:tc>
          <w:tcPr>
            <w:tcW w:type="dxa" w:w="22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Produits associés (options)</w:t>
            </w:r>
          </w:p>
        </w:tc>
        <w:tc>
          <w:tcPr>
            <w:tcW w:type="dxa" w:w="43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Nombre d’articles et titre personnalisables.</w:t>
            </w:r>
          </w:p>
        </w:tc>
        <w:tc>
          <w:tcPr>
            <w:tcW w:type="dxa" w:w="314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[related_products_carousel limit="12" title="Produits associés"]</w:t>
            </w:r>
          </w:p>
        </w:tc>
      </w:tr>
      <w:tr>
        <w:tc>
          <w:tcPr>
            <w:tcW w:type="dxa" w:w="2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Produits d’une catégorie</w:t>
            </w:r>
          </w:p>
        </w:tc>
        <w:tc>
          <w:tcPr>
            <w:tcW w:type="dxa" w:w="43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Derniers produits d’une catégorie WooCommerce (ID obligatoire).</w:t>
            </w:r>
          </w:p>
        </w:tc>
        <w:tc>
          <w:tcPr>
            <w:tcW w:type="dxa" w:w="314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[category_products_carousel category_id="358"]</w:t>
            </w:r>
          </w:p>
        </w:tc>
      </w:tr>
      <w:tr>
        <w:tc>
          <w:tcPr>
            <w:tcW w:type="dxa" w:w="22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Produits d’une catégorie (complet)</w:t>
            </w:r>
          </w:p>
        </w:tc>
        <w:tc>
          <w:tcPr>
            <w:tcW w:type="dxa" w:w="43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Limite et titre en plus de l’ID de catégorie.</w:t>
            </w:r>
          </w:p>
        </w:tc>
        <w:tc>
          <w:tcPr>
            <w:tcW w:type="dxa" w:w="314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[category_products_carousel category_id="358" limit="12" title=""]</w:t>
            </w:r>
          </w:p>
        </w:tc>
      </w:tr>
      <w:tr>
        <w:tc>
          <w:tcPr>
            <w:tcW w:type="dxa" w:w="2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Produits en promotion</w:t>
            </w:r>
          </w:p>
        </w:tc>
        <w:tc>
          <w:tcPr>
            <w:tcW w:type="dxa" w:w="43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Carrousel des produits en solde, ajout au panier AJAX.</w:t>
            </w:r>
          </w:p>
        </w:tc>
        <w:tc>
          <w:tcPr>
            <w:tcW w:type="dxa" w:w="314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[promo_products_carousel]</w:t>
            </w:r>
          </w:p>
        </w:tc>
      </w:tr>
      <w:tr>
        <w:tc>
          <w:tcPr>
            <w:tcW w:type="dxa" w:w="22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Promotions (options)</w:t>
            </w:r>
          </w:p>
        </w:tc>
        <w:tc>
          <w:tcPr>
            <w:tcW w:type="dxa" w:w="43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Limite et titre personnalisables.</w:t>
            </w:r>
          </w:p>
        </w:tc>
        <w:tc>
          <w:tcPr>
            <w:tcW w:type="dxa" w:w="314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[promo_products_carousel limit="10" title="PROMOTIONS"]</w:t>
            </w:r>
          </w:p>
        </w:tc>
      </w:tr>
      <w:tr>
        <w:tc>
          <w:tcPr>
            <w:tcW w:type="dxa" w:w="2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Slider page d’accueil</w:t>
            </w:r>
          </w:p>
        </w:tc>
        <w:tc>
          <w:tcPr>
            <w:tcW w:type="dxa" w:w="43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Diaporama à partir des identifiants d’images de la médiathèque.</w:t>
            </w:r>
          </w:p>
        </w:tc>
        <w:tc>
          <w:tcPr>
            <w:tcW w:type="dxa" w:w="314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[homepage_slider images="123,456,789"]</w:t>
            </w:r>
          </w:p>
        </w:tc>
      </w:tr>
      <w:tr>
        <w:tc>
          <w:tcPr>
            <w:tcW w:type="dxa" w:w="22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Catégories associées</w:t>
            </w:r>
          </w:p>
        </w:tc>
        <w:tc>
          <w:tcPr>
            <w:tcW w:type="dxa" w:w="43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Boutique : catégories racines. Catégorie : enfants, ou sœurs si aucun enfant.</w:t>
            </w:r>
          </w:p>
        </w:tc>
        <w:tc>
          <w:tcPr>
            <w:tcW w:type="dxa" w:w="314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[category_carousel]</w:t>
            </w:r>
          </w:p>
        </w:tc>
      </w:tr>
      <w:tr>
        <w:tc>
          <w:tcPr>
            <w:tcW w:type="dxa" w:w="2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Catégories associées (titre)</w:t>
            </w:r>
          </w:p>
        </w:tc>
        <w:tc>
          <w:tcPr>
            <w:tcW w:type="dxa" w:w="43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Identique, titre optionnel.</w:t>
            </w:r>
          </w:p>
        </w:tc>
        <w:tc>
          <w:tcPr>
            <w:tcW w:type="dxa" w:w="314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[category_carousel title=""]</w:t>
            </w:r>
          </w:p>
        </w:tc>
      </w:tr>
    </w:tbl>
    <w:p>
      <w:pPr>
        <w:pStyle w:val="Heading3"/>
        <w:spacing w:after="80" w:before="200"/>
      </w:pPr>
      <w:r>
        <w:rPr>
          <w:rFonts w:ascii="Calibri" w:cs="Calibri" w:eastAsia="Calibri" w:hAnsi="Calibri"/>
          <w:b/>
          <w:bCs/>
          <w:i w:val="false"/>
          <w:iCs w:val="false"/>
          <w:color w:val="F07D00"/>
          <w:sz w:val="22"/>
          <w:szCs w:val="22"/>
        </w:rPr>
        <w:t xml:space="preserve">Paramètres utilisables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540"/>
      </w:tblGrid>
      <w:tr>
        <w:trPr>
          <w:tblHeader/>
        </w:trPr>
        <w:tc>
          <w:tcPr>
            <w:tcW w:type="dxa" w:w="18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Paramètre</w:t>
            </w:r>
          </w:p>
        </w:tc>
        <w:tc>
          <w:tcPr>
            <w:tcW w:type="dxa" w:w="43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Shortcodes concernés</w:t>
            </w:r>
          </w:p>
        </w:tc>
        <w:tc>
          <w:tcPr>
            <w:tcW w:type="dxa" w:w="354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Rôle</w:t>
            </w:r>
          </w:p>
        </w:tc>
      </w:tr>
      <w:tr>
        <w:tc>
          <w:tcPr>
            <w:tcW w:type="dxa" w:w="1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title</w:t>
            </w:r>
          </w:p>
        </w:tc>
        <w:tc>
          <w:tcPr>
            <w:tcW w:type="dxa" w:w="43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category_sidebar, related_products_carousel, category_products_carousel, promo_products_carousel, category_carousel</w:t>
            </w:r>
          </w:p>
        </w:tc>
        <w:tc>
          <w:tcPr>
            <w:tcW w:type="dxa" w:w="354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Titre affiché au-dessus du bloc</w:t>
            </w:r>
          </w:p>
        </w:tc>
      </w:tr>
      <w:tr>
        <w:tc>
          <w:tcPr>
            <w:tcW w:type="dxa" w:w="18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limit</w:t>
            </w:r>
          </w:p>
        </w:tc>
        <w:tc>
          <w:tcPr>
            <w:tcW w:type="dxa" w:w="43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related_products_carousel, category_products_carousel, promo_products_carousel</w:t>
            </w:r>
          </w:p>
        </w:tc>
        <w:tc>
          <w:tcPr>
            <w:tcW w:type="dxa" w:w="354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Nombre maximum de produits</w:t>
            </w:r>
          </w:p>
        </w:tc>
      </w:tr>
      <w:tr>
        <w:tc>
          <w:tcPr>
            <w:tcW w:type="dxa" w:w="1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category_id</w:t>
            </w:r>
          </w:p>
        </w:tc>
        <w:tc>
          <w:tcPr>
            <w:tcW w:type="dxa" w:w="43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category_products_carousel</w:t>
            </w:r>
          </w:p>
        </w:tc>
        <w:tc>
          <w:tcPr>
            <w:tcW w:type="dxa" w:w="354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Identifiant WooCommerce de la catégorie (obligatoire)</w:t>
            </w:r>
          </w:p>
        </w:tc>
      </w:tr>
      <w:tr>
        <w:tc>
          <w:tcPr>
            <w:tcW w:type="dxa" w:w="18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images</w:t>
            </w:r>
          </w:p>
        </w:tc>
        <w:tc>
          <w:tcPr>
            <w:tcW w:type="dxa" w:w="43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homepage_slider</w:t>
            </w:r>
          </w:p>
        </w:tc>
        <w:tc>
          <w:tcPr>
            <w:tcW w:type="dxa" w:w="354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IDs d’images de la médiathèque, séparés par des virgules (obligatoire)</w:t>
            </w:r>
          </w:p>
        </w:tc>
      </w:tr>
    </w:tbl>
    <w:p>
      <w:pPr>
        <w:pStyle w:val="Heading1"/>
        <w:pBdr>
          <w:bottom w:val="single" w:color="F07D00" w:sz="12" w:space="4"/>
        </w:pBdr>
        <w:spacing w:after="160" w:before="360"/>
      </w:pPr>
      <w:r>
        <w:rPr>
          <w:rFonts w:ascii="Calibri" w:cs="Calibri" w:eastAsia="Calibri" w:hAnsi="Calibri"/>
          <w:b/>
          <w:bCs/>
          <w:i w:val="false"/>
          <w:iCs w:val="false"/>
          <w:color w:val="1B365D"/>
          <w:sz w:val="28"/>
          <w:szCs w:val="28"/>
        </w:rPr>
        <w:t xml:space="preserve">9. Points d’administration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40"/>
      </w:tblGrid>
      <w:tr>
        <w:trPr>
          <w:tblHeader/>
        </w:trPr>
        <w:tc>
          <w:tcPr>
            <w:tcW w:type="dxa" w:w="36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Emplacement</w:t>
            </w:r>
          </w:p>
        </w:tc>
        <w:tc>
          <w:tcPr>
            <w:tcW w:type="dxa" w:w="604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Fonction</w:t>
            </w:r>
          </w:p>
        </w:tc>
      </w:tr>
      <w:tr>
        <w:tc>
          <w:tcPr>
            <w:tcW w:type="dxa" w:w="3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Réglages → Global Matériel</w:t>
            </w:r>
          </w:p>
        </w:tc>
        <w:tc>
          <w:tcPr>
            <w:tcW w:type="dxa" w:w="604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Numéro WhatsApp du bouton flottant</w:t>
            </w:r>
          </w:p>
        </w:tc>
      </w:tr>
      <w:tr>
        <w:tc>
          <w:tcPr>
            <w:tcW w:type="dxa" w:w="3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Barre d’administration WordPress</w:t>
            </w:r>
          </w:p>
        </w:tc>
        <w:tc>
          <w:tcPr>
            <w:tcW w:type="dxa" w:w="604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Bypass cache CSS/JS (chaque chargement ou chaque heure)</w:t>
            </w:r>
          </w:p>
        </w:tc>
      </w:tr>
      <w:tr>
        <w:tc>
          <w:tcPr>
            <w:tcW w:type="dxa" w:w="3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WooCommerce → Commandes</w:t>
            </w:r>
          </w:p>
        </w:tc>
        <w:tc>
          <w:tcPr>
            <w:tcW w:type="dxa" w:w="604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Demandes de devis au statut « En attente », sans paiement</w:t>
            </w:r>
          </w:p>
        </w:tc>
      </w:tr>
      <w:tr>
        <w:tc>
          <w:tcPr>
            <w:tcW w:type="dxa" w:w="3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Médiathèque</w:t>
            </w:r>
          </w:p>
        </w:tc>
        <w:tc>
          <w:tcPr>
            <w:tcW w:type="dxa" w:w="604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IDs d’images pour le slider d’accueil</w:t>
            </w:r>
          </w:p>
        </w:tc>
      </w:tr>
      <w:tr>
        <w:tc>
          <w:tcPr>
            <w:tcW w:type="dxa" w:w="3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Produits → Catégories</w:t>
            </w:r>
          </w:p>
        </w:tc>
        <w:tc>
          <w:tcPr>
            <w:tcW w:type="dxa" w:w="604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ID de catégorie pour [category_products_carousel]</w:t>
            </w:r>
          </w:p>
        </w:tc>
      </w:tr>
      <w:tr>
        <w:tc>
          <w:tcPr>
            <w:tcW w:type="dxa" w:w="36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Tableau de bord Cloudflare</w:t>
            </w:r>
          </w:p>
        </w:tc>
        <w:tc>
          <w:tcPr>
            <w:tcW w:type="dxa" w:w="604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CDN, HTTPS, en-têtes de sécurité, cache périphérie</w:t>
            </w:r>
          </w:p>
        </w:tc>
      </w:tr>
      <w:tr>
        <w:tc>
          <w:tcPr>
            <w:tcW w:type="dxa" w:w="3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LiteSpeed Cache</w:t>
            </w:r>
          </w:p>
        </w:tc>
        <w:tc>
          <w:tcPr>
            <w:tcW w:type="dxa" w:w="604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Cache pages, images WebP, minification, purge après Elementor</w:t>
            </w:r>
          </w:p>
        </w:tc>
      </w:tr>
    </w:tbl>
    <w:p>
      <w:pPr>
        <w:pStyle w:val="Heading1"/>
        <w:pBdr>
          <w:bottom w:val="single" w:color="F07D00" w:sz="12" w:space="4"/>
        </w:pBdr>
        <w:spacing w:after="160" w:before="360"/>
      </w:pPr>
      <w:r>
        <w:rPr>
          <w:rFonts w:ascii="Calibri" w:cs="Calibri" w:eastAsia="Calibri" w:hAnsi="Calibri"/>
          <w:b/>
          <w:bCs/>
          <w:i w:val="false"/>
          <w:iCs w:val="false"/>
          <w:color w:val="1B365D"/>
          <w:sz w:val="28"/>
          <w:szCs w:val="28"/>
        </w:rPr>
        <w:t xml:space="preserve">10. Garanties et exploitation</w:t>
      </w:r>
    </w:p>
    <w:p>
      <w:pPr>
        <w:spacing w:after="160" w:before="0" w:line="276"/>
        <w:jc w:val="both"/>
      </w:pPr>
      <w:r>
        <w:rPr>
          <w:rFonts w:ascii="Calibri" w:cs="Calibri" w:eastAsia="Calibri" w:hAnsi="Calibri"/>
          <w:b w:val="false"/>
          <w:bCs w:val="false"/>
          <w:i w:val="false"/>
          <w:iCs w:val="false"/>
          <w:color w:val="333333"/>
          <w:sz w:val="21"/>
          <w:szCs w:val="21"/>
        </w:rPr>
        <w:t xml:space="preserve">Conformément à la proposition commerciale du 7 juillet 2026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40"/>
      </w:tblGrid>
      <w:tr>
        <w:trPr>
          <w:tblHeader/>
        </w:trPr>
        <w:tc>
          <w:tcPr>
            <w:tcW w:type="dxa" w:w="70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Engagement</w:t>
            </w:r>
          </w:p>
        </w:tc>
        <w:tc>
          <w:tcPr>
            <w:tcW w:type="dxa" w:w="264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FFFFFF"/>
                <w:sz w:val="18"/>
                <w:szCs w:val="18"/>
              </w:rPr>
              <w:t xml:space="preserve">Statut</w:t>
            </w:r>
          </w:p>
        </w:tc>
      </w:tr>
      <w:tr>
        <w:tc>
          <w:tcPr>
            <w:tcW w:type="dxa" w:w="70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Garantie technique de 3 mois sur l’ensemble des interventions</w:t>
            </w:r>
          </w:p>
        </w:tc>
        <w:tc>
          <w:tcPr>
            <w:tcW w:type="dxa" w:w="2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0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Support technique inclus 30 jours après livraison</w:t>
            </w:r>
          </w:p>
        </w:tc>
        <w:tc>
          <w:tcPr>
            <w:tcW w:type="dxa" w:w="2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0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Aucun impact sur le contenu existant</w:t>
            </w:r>
          </w:p>
        </w:tc>
        <w:tc>
          <w:tcPr>
            <w:tcW w:type="dxa" w:w="2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0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Identité visuelle conservée sur tout le site (exigence client)</w:t>
            </w:r>
          </w:p>
        </w:tc>
        <w:tc>
          <w:tcPr>
            <w:tcW w:type="dxa" w:w="2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r>
        <w:tc>
          <w:tcPr>
            <w:tcW w:type="dxa" w:w="70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Confidentialité des accès et des données</w:t>
            </w:r>
          </w:p>
        </w:tc>
        <w:tc>
          <w:tcPr>
            <w:tcW w:type="dxa" w:w="2640"/>
            <w:tcBorders>
              <w:top w:val="single" w:color="C5CDD6" w:sz="4"/>
              <w:left w:val="single" w:color="C5CDD6" w:sz="4"/>
              <w:bottom w:val="single" w:color="C5CDD6" w:sz="4"/>
              <w:right w:val="single" w:color="C5CDD6" w:sz="4"/>
            </w:tcBorders>
            <w:shd w:fill="E8F5EE" w:val="clear"/>
            <w:tcMar>
              <w:top w:type="dxa" w:w="60"/>
              <w:left w:type="dxa" w:w="80"/>
              <w:bottom w:type="dxa" w:w="60"/>
              <w:right w:type="dxa" w:w="80"/>
            </w:tcMar>
            <w:vAlign w:val="center"/>
          </w:tcPr>
          <w:p>
            <w:pPr>
              <w:spacing w:after="0" w:before="0" w:line="240"/>
              <w:jc w:val="center"/>
            </w:pPr>
            <w:r>
              <w:rPr>
                <w:rFonts w:ascii="Calibri" w:cs="Calibri" w:eastAsia="Calibri" w:hAnsi="Calibri"/>
                <w:b/>
                <w:bCs/>
                <w:i w:val="false"/>
                <w:iCs w:val="false"/>
                <w:color w:val="1B7A4E"/>
                <w:sz w:val="22"/>
                <w:szCs w:val="22"/>
              </w:rPr>
              <w:t xml:space="preserve">✓</w:t>
            </w:r>
          </w:p>
        </w:tc>
      </w:tr>
    </w:tbl>
    <w:p>
      <w:pPr>
        <w:pStyle w:val="Heading3"/>
        <w:spacing w:after="80" w:before="200"/>
      </w:pPr>
      <w:r>
        <w:rPr>
          <w:rFonts w:ascii="Calibri" w:cs="Calibri" w:eastAsia="Calibri" w:hAnsi="Calibri"/>
          <w:b/>
          <w:bCs/>
          <w:i w:val="false"/>
          <w:iCs w:val="false"/>
          <w:color w:val="F07D00"/>
          <w:sz w:val="22"/>
          <w:szCs w:val="22"/>
        </w:rPr>
        <w:t xml:space="preserve">Recommandations d’exploitation</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Conserver le plugin Global Matériel activé : il porte le checkout devis, les shortcodes et une partie de la sécurité.</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Après mise à jour ou modification Elementor, purger le cache LiteSpeed (ou activer le bypass le temps de vérifier).</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Ne pas désactiver WooCommerce : le plugin en dépend.</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WhatsApp : Réglages → Global Matériel.</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Nouveau carrousel de catégorie : [category_products_carousel category_id="XXXX"].</w:t>
      </w:r>
    </w:p>
    <w:p>
      <w:pPr>
        <w:pStyle w:val="ListParagraph"/>
        <w:numPr>
          <w:ilvl w:val="0"/>
          <w:numId w:val="2"/>
        </w:numPr>
        <w:spacing w:after="80" w:line="260"/>
      </w:pPr>
      <w:r>
        <w:rPr>
          <w:rFonts w:ascii="Calibri" w:cs="Calibri" w:eastAsia="Calibri" w:hAnsi="Calibri"/>
          <w:b w:val="false"/>
          <w:bCs w:val="false"/>
          <w:i w:val="false"/>
          <w:iCs w:val="false"/>
          <w:color w:val="333333"/>
          <w:sz w:val="21"/>
          <w:szCs w:val="21"/>
        </w:rPr>
        <w:t xml:space="preserve">Ne pas désactiver le proxy Cloudflare sur le domaine de production (perte du CDN et des en-têtes de sécurité périphériques).</w:t>
      </w:r>
    </w:p>
    <w:p>
      <w:pPr>
        <w:pStyle w:val="Heading1"/>
        <w:pBdr>
          <w:bottom w:val="single" w:color="F07D00" w:sz="12" w:space="4"/>
        </w:pBdr>
        <w:spacing w:after="160" w:before="360"/>
      </w:pPr>
      <w:r>
        <w:rPr>
          <w:rFonts w:ascii="Calibri" w:cs="Calibri" w:eastAsia="Calibri" w:hAnsi="Calibri"/>
          <w:b/>
          <w:bCs/>
          <w:i w:val="false"/>
          <w:iCs w:val="false"/>
          <w:color w:val="1B365D"/>
          <w:sz w:val="28"/>
          <w:szCs w:val="28"/>
        </w:rPr>
        <w:t xml:space="preserve">11. Récapitulatif financier</w:t>
      </w:r>
    </w:p>
    <w:p>
      <w:pPr>
        <w:spacing w:after="160" w:before="0" w:line="276"/>
        <w:jc w:val="both"/>
      </w:pPr>
      <w:r>
        <w:rPr>
          <w:rFonts w:ascii="Calibri" w:cs="Calibri" w:eastAsia="Calibri" w:hAnsi="Calibri"/>
          <w:b w:val="false"/>
          <w:bCs w:val="false"/>
          <w:i w:val="false"/>
          <w:iCs w:val="false"/>
          <w:color w:val="333333"/>
          <w:sz w:val="21"/>
          <w:szCs w:val="21"/>
        </w:rPr>
        <w:t xml:space="preserve">Le montant initial de la proposition commerciale du 7 juillet 2026 s’élevait à 4 500,00 DHS TTC. Une négociation a été acceptée par les deux parties, portant le montant total de la mission à 4 000,00 DHS TTC, réglable en deux versements égaux.</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00"/>
        <w:gridCol w:w="2840"/>
      </w:tblGrid>
      <w:tr>
        <w:trPr>
          <w:tblHeader/>
        </w:trPr>
        <w:tc>
          <w:tcPr>
            <w:tcW w:type="dxa" w:w="68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Échéance</w:t>
            </w:r>
          </w:p>
        </w:tc>
        <w:tc>
          <w:tcPr>
            <w:tcW w:type="dxa" w:w="284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before="0" w:line="240"/>
              <w:jc w:val="left"/>
            </w:pPr>
            <w:r>
              <w:rPr>
                <w:rFonts w:ascii="Calibri" w:cs="Calibri" w:eastAsia="Calibri" w:hAnsi="Calibri"/>
                <w:b/>
                <w:bCs/>
                <w:i w:val="false"/>
                <w:iCs w:val="false"/>
                <w:color w:val="FFFFFF"/>
                <w:sz w:val="18"/>
                <w:szCs w:val="18"/>
              </w:rPr>
              <w:t xml:space="preserve">Montant TTC</w:t>
            </w:r>
          </w:p>
        </w:tc>
      </w:tr>
      <w:tr>
        <w:tc>
          <w:tcPr>
            <w:tcW w:type="dxa" w:w="6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Montant négocié et accepté — total mission</w:t>
            </w:r>
          </w:p>
        </w:tc>
        <w:tc>
          <w:tcPr>
            <w:tcW w:type="dxa" w:w="284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4 000,00 DHS</w:t>
            </w:r>
          </w:p>
        </w:tc>
      </w:tr>
      <w:tr>
        <w:tc>
          <w:tcPr>
            <w:tcW w:type="dxa" w:w="680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Acompte 50 % — déjà reçu</w:t>
            </w:r>
          </w:p>
        </w:tc>
        <w:tc>
          <w:tcPr>
            <w:tcW w:type="dxa" w:w="2840"/>
            <w:tcBorders>
              <w:top w:val="single" w:color="C5CDD6" w:sz="4"/>
              <w:left w:val="single" w:color="C5CDD6" w:sz="4"/>
              <w:bottom w:val="single" w:color="C5CDD6" w:sz="4"/>
              <w:right w:val="single" w:color="C5CDD6" w:sz="4"/>
            </w:tcBorders>
            <w:shd w:fill="F4F7FA"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2 000,00 DHS</w:t>
            </w:r>
          </w:p>
        </w:tc>
      </w:tr>
      <w:tr>
        <w:tc>
          <w:tcPr>
            <w:tcW w:type="dxa" w:w="6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Solde 50 % — à la livraison / réception</w:t>
            </w:r>
          </w:p>
        </w:tc>
        <w:tc>
          <w:tcPr>
            <w:tcW w:type="dxa" w:w="284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before="0" w:line="240"/>
              <w:jc w:val="left"/>
            </w:pPr>
            <w:r>
              <w:rPr>
                <w:rFonts w:ascii="Calibri" w:cs="Calibri" w:eastAsia="Calibri" w:hAnsi="Calibri"/>
                <w:b w:val="false"/>
                <w:bCs w:val="false"/>
                <w:i w:val="false"/>
                <w:iCs w:val="false"/>
                <w:color w:val="333333"/>
                <w:sz w:val="18"/>
                <w:szCs w:val="18"/>
              </w:rPr>
              <w:t xml:space="preserve">2 000,00 DHS</w:t>
            </w:r>
          </w:p>
        </w:tc>
      </w:tr>
    </w:tbl>
    <w:p>
      <w:pPr>
        <w:spacing w:after="160"/>
      </w:pPr>
    </w:p>
    <w:p>
      <w:pPr>
        <w:spacing w:after="160" w:before="0" w:line="276"/>
        <w:jc w:val="both"/>
      </w:pPr>
      <w:r>
        <w:rPr>
          <w:rFonts w:ascii="Calibri" w:cs="Calibri" w:eastAsia="Calibri" w:hAnsi="Calibri"/>
          <w:b/>
          <w:bCs/>
          <w:i w:val="false"/>
          <w:iCs w:val="false"/>
          <w:color w:val="333333"/>
          <w:sz w:val="21"/>
          <w:szCs w:val="21"/>
        </w:rPr>
        <w:t xml:space="preserve">Mode de règlement : </w:t>
      </w:r>
      <w:r>
        <w:rPr>
          <w:rFonts w:ascii="Calibri" w:cs="Calibri" w:eastAsia="Calibri" w:hAnsi="Calibri"/>
          <w:b w:val="false"/>
          <w:bCs w:val="false"/>
          <w:i w:val="false"/>
          <w:iCs w:val="false"/>
          <w:color w:val="333333"/>
          <w:sz w:val="21"/>
          <w:szCs w:val="21"/>
        </w:rPr>
        <w:t xml:space="preserve">virement bancaire.</w:t>
      </w:r>
    </w:p>
    <w:p>
      <w:pPr>
        <w:spacing w:after="160" w:before="0" w:line="276"/>
        <w:jc w:val="both"/>
      </w:pPr>
      <w:r>
        <w:rPr>
          <w:rFonts w:ascii="Calibri" w:cs="Calibri" w:eastAsia="Calibri" w:hAnsi="Calibri"/>
          <w:b w:val="false"/>
          <w:bCs w:val="false"/>
          <w:i w:val="false"/>
          <w:iCs w:val="false"/>
          <w:color w:val="333333"/>
          <w:sz w:val="21"/>
          <w:szCs w:val="21"/>
        </w:rPr>
        <w:t xml:space="preserve">RIB : 350810000000000060701512 — TARIK BOUKJIJ — AL BARID BANK</w:t>
      </w:r>
    </w:p>
    <w:p>
      <w:pPr>
        <w:pStyle w:val="Heading1"/>
        <w:pBdr>
          <w:bottom w:val="single" w:color="F07D00" w:sz="12" w:space="4"/>
        </w:pBdr>
        <w:spacing w:after="160" w:before="360"/>
      </w:pPr>
      <w:r>
        <w:rPr>
          <w:rFonts w:ascii="Calibri" w:cs="Calibri" w:eastAsia="Calibri" w:hAnsi="Calibri"/>
          <w:b/>
          <w:bCs/>
          <w:i w:val="false"/>
          <w:iCs w:val="false"/>
          <w:color w:val="1B365D"/>
          <w:sz w:val="28"/>
          <w:szCs w:val="28"/>
        </w:rPr>
        <w:t xml:space="preserve">12. Réception et clôture</w:t>
      </w:r>
    </w:p>
    <w:p>
      <w:pPr>
        <w:spacing w:after="160" w:before="0" w:line="276"/>
        <w:jc w:val="both"/>
      </w:pPr>
      <w:r>
        <w:rPr>
          <w:rFonts w:ascii="Calibri" w:cs="Calibri" w:eastAsia="Calibri" w:hAnsi="Calibri"/>
          <w:b w:val="false"/>
          <w:bCs w:val="false"/>
          <w:i w:val="false"/>
          <w:iCs w:val="false"/>
          <w:color w:val="333333"/>
          <w:sz w:val="21"/>
          <w:szCs w:val="21"/>
        </w:rPr>
        <w:t xml:space="preserve">Le projet est techniquement livré. Le présent dossier décrit l’intégralité des développements, sécurisations, optimisations, intégration Cloudflare et personnalisations réalisés, en regard de chaque intervention de la proposition commerciale.</w:t>
      </w:r>
    </w:p>
    <w:p>
      <w:pPr>
        <w:spacing w:after="160" w:before="0" w:line="276"/>
        <w:jc w:val="both"/>
      </w:pPr>
      <w:r>
        <w:rPr>
          <w:rFonts w:ascii="Calibri" w:cs="Calibri" w:eastAsia="Calibri" w:hAnsi="Calibri"/>
          <w:b w:val="false"/>
          <w:bCs w:val="false"/>
          <w:i w:val="false"/>
          <w:iCs w:val="false"/>
          <w:color w:val="333333"/>
          <w:sz w:val="21"/>
          <w:szCs w:val="21"/>
        </w:rPr>
        <w:t xml:space="preserve">La signature ci-dessous vaut réception des travaux et autorise le versement du solde de 2 000,00 DHS TTC.</w:t>
      </w:r>
    </w:p>
    <w:p>
      <w:pPr>
        <w:spacing w:after="280"/>
      </w:pPr>
    </w:p>
    <w:p>
      <w:pPr>
        <w:spacing w:after="160" w:before="0" w:line="276"/>
        <w:jc w:val="both"/>
      </w:pPr>
      <w:r>
        <w:rPr>
          <w:rFonts w:ascii="Calibri" w:cs="Calibri" w:eastAsia="Calibri" w:hAnsi="Calibri"/>
          <w:b w:val="false"/>
          <w:bCs w:val="false"/>
          <w:i w:val="false"/>
          <w:iCs w:val="false"/>
          <w:color w:val="333333"/>
          <w:sz w:val="21"/>
          <w:szCs w:val="21"/>
        </w:rPr>
        <w:t xml:space="preserve">Fait à _________________________, le _________________________</w:t>
      </w:r>
    </w:p>
    <w:p>
      <w:pPr>
        <w:spacing w:after="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c>
          <w:tcPr>
            <w:tcW w:type="dxa" w:w="4820"/>
            <w:tcBorders>
              <w:top w:val="none" w:color="FFFFFF" w:sz="0"/>
              <w:left w:val="none" w:color="FFFFFF" w:sz="0"/>
              <w:bottom w:val="none" w:color="FFFFFF" w:sz="0"/>
              <w:right w:val="none" w:color="FFFFFF" w:sz="0"/>
            </w:tcBorders>
          </w:tcPr>
          <w:p>
            <w:r>
              <w:rPr>
                <w:rFonts w:ascii="Calibri" w:cs="Calibri" w:eastAsia="Calibri" w:hAnsi="Calibri"/>
                <w:b/>
                <w:bCs/>
                <w:i w:val="false"/>
                <w:iCs w:val="false"/>
                <w:color w:val="1B365D"/>
                <w:sz w:val="21"/>
                <w:szCs w:val="21"/>
              </w:rPr>
              <w:t xml:space="preserve">Le client</w:t>
            </w:r>
          </w:p>
          <w:p>
            <w:pPr>
              <w:spacing w:after="80"/>
            </w:pPr>
            <w:r>
              <w:rPr>
                <w:rFonts w:ascii="Calibri" w:cs="Calibri" w:eastAsia="Calibri" w:hAnsi="Calibri"/>
                <w:b w:val="false"/>
                <w:bCs w:val="false"/>
                <w:i w:val="false"/>
                <w:iCs w:val="false"/>
                <w:color w:val="5A6570"/>
                <w:sz w:val="19"/>
                <w:szCs w:val="19"/>
              </w:rPr>
              <w:t xml:space="preserve">(Signature et cachet)</w:t>
            </w:r>
          </w:p>
          <w:p>
            <w:pPr>
              <w:spacing w:after="200"/>
            </w:pPr>
            <w:r>
              <w:rPr>
                <w:rFonts w:ascii="Calibri" w:cs="Calibri" w:eastAsia="Calibri" w:hAnsi="Calibri"/>
                <w:b w:val="false"/>
                <w:bCs w:val="false"/>
                <w:i/>
                <w:iCs/>
                <w:color w:val="5A6570"/>
                <w:sz w:val="18"/>
                <w:szCs w:val="18"/>
              </w:rPr>
              <w:t xml:space="preserve">Précédé de la mention « Bon pour accord — travaux réceptionnés »</w:t>
            </w:r>
          </w:p>
          <w:p>
            <w:pPr>
              <w:pBdr>
                <w:top w:val="single" w:color="C5CDD6" w:sz="6" w:space="8"/>
              </w:pBdr>
              <w:spacing w:before="400"/>
            </w:pPr>
            <w:r>
              <w:rPr>
                <w:rFonts w:ascii="Calibri" w:cs="Calibri" w:eastAsia="Calibri" w:hAnsi="Calibri"/>
                <w:b w:val="false"/>
                <w:bCs w:val="false"/>
                <w:i w:val="false"/>
                <w:iCs w:val="false"/>
                <w:color w:val="333333"/>
                <w:sz w:val="18"/>
                <w:szCs w:val="18"/>
              </w:rPr>
              <w:t xml:space="preserve"> </w:t>
            </w:r>
          </w:p>
        </w:tc>
        <w:tc>
          <w:tcPr>
            <w:tcW w:type="dxa" w:w="4820"/>
            <w:tcBorders>
              <w:top w:val="none" w:color="FFFFFF" w:sz="0"/>
              <w:left w:val="none" w:color="FFFFFF" w:sz="0"/>
              <w:bottom w:val="none" w:color="FFFFFF" w:sz="0"/>
              <w:right w:val="none" w:color="FFFFFF" w:sz="0"/>
            </w:tcBorders>
          </w:tcPr>
          <w:p>
            <w:r>
              <w:rPr>
                <w:rFonts w:ascii="Calibri" w:cs="Calibri" w:eastAsia="Calibri" w:hAnsi="Calibri"/>
                <w:b/>
                <w:bCs/>
                <w:i w:val="false"/>
                <w:iCs w:val="false"/>
                <w:color w:val="1B365D"/>
                <w:sz w:val="21"/>
                <w:szCs w:val="21"/>
              </w:rPr>
              <w:t xml:space="preserve">Le prestataire</w:t>
            </w:r>
          </w:p>
          <w:p>
            <w:pPr>
              <w:spacing w:after="80"/>
            </w:pPr>
            <w:r>
              <w:rPr>
                <w:rFonts w:ascii="Calibri" w:cs="Calibri" w:eastAsia="Calibri" w:hAnsi="Calibri"/>
                <w:b w:val="false"/>
                <w:bCs w:val="false"/>
                <w:i w:val="false"/>
                <w:iCs w:val="false"/>
                <w:color w:val="5A6570"/>
                <w:sz w:val="19"/>
                <w:szCs w:val="19"/>
              </w:rPr>
              <w:t xml:space="preserve">(Signature)</w:t>
            </w:r>
          </w:p>
          <w:p>
            <w:pPr>
              <w:spacing w:after="200"/>
            </w:pPr>
            <w:r>
              <w:rPr>
                <w:rFonts w:ascii="Calibri" w:cs="Calibri" w:eastAsia="Calibri" w:hAnsi="Calibri"/>
                <w:b w:val="false"/>
                <w:bCs w:val="false"/>
                <w:i w:val="false"/>
                <w:iCs w:val="false"/>
                <w:color w:val="5A6570"/>
                <w:sz w:val="18"/>
                <w:szCs w:val="18"/>
              </w:rPr>
              <w:t xml:space="preserve">Tarik BOUKJIJ</w:t>
            </w:r>
          </w:p>
          <w:p>
            <w:pPr>
              <w:pBdr>
                <w:top w:val="single" w:color="C5CDD6" w:sz="6" w:space="8"/>
              </w:pBdr>
              <w:spacing w:before="400"/>
            </w:pPr>
            <w:r>
              <w:rPr>
                <w:rFonts w:ascii="Calibri" w:cs="Calibri" w:eastAsia="Calibri" w:hAnsi="Calibri"/>
                <w:b w:val="false"/>
                <w:bCs w:val="false"/>
                <w:i w:val="false"/>
                <w:iCs w:val="false"/>
                <w:color w:val="333333"/>
                <w:sz w:val="18"/>
                <w:szCs w:val="18"/>
              </w:rPr>
              <w:t xml:space="preserve"> </w:t>
            </w:r>
          </w:p>
        </w:tc>
      </w:tr>
    </w:tbl>
    <w:sectPr>
      <w:headerReference w:type="default" r:id="rId7"/>
      <w:footerReference w:type="default" r:id="rId8"/>
      <w:pgSz w:w="11906" w:h="16838" w:orient="portrait"/>
      <w:pgMar w:top="1418"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DD6" w:sz="6" w:space="8"/>
      </w:pBdr>
      <w:spacing w:before="80"/>
    </w:pPr>
    <w:r>
      <w:rPr>
        <w:rFonts w:ascii="Calibri" w:cs="Calibri" w:eastAsia="Calibri" w:hAnsi="Calibri"/>
        <w:b w:val="false"/>
        <w:bCs w:val="false"/>
        <w:i w:val="false"/>
        <w:iCs w:val="false"/>
        <w:color w:val="5A6570"/>
        <w:sz w:val="15"/>
        <w:szCs w:val="15"/>
      </w:rPr>
      <w:t xml:space="preserve">Proposition commerciale du 7 juillet 2026  ·  Solde 2 000,00 DHS TTC  ·  Page </w:t>
    </w:r>
    <w:r>
      <w:rPr>
        <w:rFonts w:ascii="Calibri" w:cs="Calibri" w:eastAsia="Calibri" w:hAnsi="Calibri"/>
        <w:color w:val="5A6570"/>
        <w:sz w:val="15"/>
        <w:szCs w:val="15"/>
      </w:rPr>
      <w:fldChar w:fldCharType="begin"/>
      <w:instrText xml:space="preserve">PAGE</w:instrText>
      <w:fldChar w:fldCharType="separate"/>
      <w:fldChar w:fldCharType="end"/>
    </w:r>
    <w:r>
      <w:rPr>
        <w:rFonts w:ascii="Calibri" w:cs="Calibri" w:eastAsia="Calibri" w:hAnsi="Calibri"/>
        <w:b w:val="false"/>
        <w:bCs w:val="false"/>
        <w:i w:val="false"/>
        <w:iCs w:val="false"/>
        <w:color w:val="5A6570"/>
        <w:sz w:val="15"/>
        <w:szCs w:val="15"/>
      </w:rPr>
      <w:t xml:space="preserve"> / </w:t>
    </w:r>
    <w:r>
      <w:rPr>
        <w:rFonts w:ascii="Calibri" w:cs="Calibri" w:eastAsia="Calibri" w:hAnsi="Calibri"/>
        <w:color w:val="5A657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07D00" w:sz="8" w:space="6"/>
      </w:pBdr>
      <w:spacing w:after="80"/>
    </w:pPr>
    <w:r>
      <w:rPr>
        <w:rFonts w:ascii="Calibri" w:cs="Calibri" w:eastAsia="Calibri" w:hAnsi="Calibri"/>
        <w:b/>
        <w:bCs/>
        <w:i w:val="false"/>
        <w:iCs w:val="false"/>
        <w:color w:val="1B365D"/>
        <w:sz w:val="16"/>
        <w:szCs w:val="16"/>
      </w:rPr>
      <w:t xml:space="preserve">Global Matériel  —  Récapitulatif technique de livraison</w:t>
    </w:r>
    <w:r>
      <w:rPr>
        <w:rFonts w:ascii="Calibri" w:cs="Calibri" w:eastAsia="Calibri" w:hAnsi="Calibri"/>
        <w:b w:val="false"/>
        <w:bCs w:val="false"/>
        <w:i w:val="false"/>
        <w:iCs w:val="false"/>
        <w:color w:val="333333"/>
        <w:sz w:val="16"/>
        <w:szCs w:val="16"/>
      </w:rPr>
      <w:t xml:space="preserve">          </w:t>
    </w:r>
    <w:r>
      <w:rPr>
        <w:rFonts w:ascii="Calibri" w:cs="Calibri" w:eastAsia="Calibri" w:hAnsi="Calibri"/>
        <w:b w:val="false"/>
        <w:bCs w:val="false"/>
        <w:i/>
        <w:iCs/>
        <w:color w:val="5A6570"/>
        <w:sz w:val="16"/>
        <w:szCs w:val="16"/>
      </w:rPr>
      <w:t xml:space="preserve">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style>
  <w:style w:type="paragraph" w:styleId="Heading2">
    <w:name w:val="Heading 2"/>
    <w:basedOn w:val="Normal"/>
    <w:next w:val="Normal"/>
    <w:pPr>
      <w:outlineLvl w:val="1"/>
    </w:pPr>
  </w:style>
  <w:style w:type="paragraph" w:styleId="Heading3">
    <w:name w:val="Heading 3"/>
    <w:basedOn w:val="Normal"/>
    <w:next w:val="Normal"/>
    <w:pPr>
      <w:outlineLvl w:val="2"/>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2026-08-30T23:33:12.298Z</dcterms:created>
  <dcterms:modified xsi:type="dcterms:W3CDTF">2026-08-30T23:33:12.299Z</dcterms:modified>
</cp:coreProperties>
</file>

<file path=docProps/custom.xml><?xml version="1.0" encoding="utf-8"?>
<Properties xmlns="http://schemas.openxmlformats.org/officeDocument/2006/custom-properties" xmlns:vt="http://schemas.openxmlformats.org/officeDocument/2006/docPropsVTypes"/>
</file>