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0F76" w:rsidRPr="0070562F" w:rsidRDefault="00975FC7" w:rsidP="0070562F">
      <w:pPr>
        <w:pStyle w:val="normal0"/>
        <w:jc w:val="center"/>
        <w:rPr>
          <w:rFonts w:ascii="Century Gothic" w:hAnsi="Century Gothic"/>
          <w:b/>
          <w:color w:val="76923C" w:themeColor="accent3" w:themeShade="BF"/>
          <w:u w:val="single"/>
        </w:rPr>
      </w:pPr>
      <w:r>
        <w:rPr>
          <w:rFonts w:ascii="Century Gothic" w:hAnsi="Century Gothic"/>
          <w:b/>
          <w:color w:val="76923C" w:themeColor="accent3" w:themeShade="BF"/>
          <w:u w:val="single"/>
        </w:rPr>
        <w:t>CAMPEONATO DE AJEDREZ</w:t>
      </w:r>
    </w:p>
    <w:p w:rsidR="00570F76" w:rsidRPr="0070562F" w:rsidRDefault="00570F76" w:rsidP="0070562F">
      <w:pPr>
        <w:pStyle w:val="normal0"/>
        <w:jc w:val="both"/>
        <w:rPr>
          <w:rFonts w:ascii="Century Gothic" w:hAnsi="Century Gothic"/>
        </w:rPr>
      </w:pPr>
    </w:p>
    <w:p w:rsidR="0070562F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Un club de Ajedrez de una ciudad cualquiera ha sido elegido por la Federación Internacional de Ajedrez para la </w:t>
      </w:r>
      <w:r w:rsidR="00483A6D">
        <w:rPr>
          <w:rFonts w:ascii="Century Gothic" w:hAnsi="Century Gothic"/>
          <w:sz w:val="20"/>
          <w:szCs w:val="20"/>
        </w:rPr>
        <w:t>organización</w:t>
      </w:r>
      <w:r>
        <w:rPr>
          <w:rFonts w:ascii="Century Gothic" w:hAnsi="Century Gothic"/>
          <w:sz w:val="20"/>
          <w:szCs w:val="20"/>
        </w:rPr>
        <w:t xml:space="preserve"> de los </w:t>
      </w:r>
      <w:r w:rsidR="00483A6D">
        <w:rPr>
          <w:rFonts w:ascii="Century Gothic" w:hAnsi="Century Gothic"/>
          <w:sz w:val="20"/>
          <w:szCs w:val="20"/>
        </w:rPr>
        <w:t>próximos</w:t>
      </w:r>
      <w:r>
        <w:rPr>
          <w:rFonts w:ascii="Century Gothic" w:hAnsi="Century Gothic"/>
          <w:sz w:val="20"/>
          <w:szCs w:val="20"/>
        </w:rPr>
        <w:t xml:space="preserve"> campeonatos mundiales que se celebrarán en </w:t>
      </w:r>
      <w:r w:rsidR="00483A6D">
        <w:rPr>
          <w:rFonts w:ascii="Century Gothic" w:hAnsi="Century Gothic"/>
          <w:sz w:val="20"/>
          <w:szCs w:val="20"/>
        </w:rPr>
        <w:t>dicha</w:t>
      </w:r>
      <w:r>
        <w:rPr>
          <w:rFonts w:ascii="Century Gothic" w:hAnsi="Century Gothic"/>
          <w:sz w:val="20"/>
          <w:szCs w:val="20"/>
        </w:rPr>
        <w:t xml:space="preserve"> ciudad. Por este motivo desea llevar a una base de datos toda la gestión relativa a participantes, alojamiento y partidas. Teniendo en cuenta que:</w:t>
      </w:r>
    </w:p>
    <w:p w:rsidR="00975FC7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975FC7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el campeonato participan jugadores y </w:t>
      </w:r>
      <w:r w:rsidR="00483A6D">
        <w:rPr>
          <w:rFonts w:ascii="Century Gothic" w:hAnsi="Century Gothic"/>
          <w:sz w:val="20"/>
          <w:szCs w:val="20"/>
        </w:rPr>
        <w:t>árbitros</w:t>
      </w:r>
      <w:r>
        <w:rPr>
          <w:rFonts w:ascii="Century Gothic" w:hAnsi="Century Gothic"/>
          <w:sz w:val="20"/>
          <w:szCs w:val="20"/>
        </w:rPr>
        <w:t xml:space="preserve">; de </w:t>
      </w:r>
      <w:r w:rsidR="00483A6D">
        <w:rPr>
          <w:rFonts w:ascii="Century Gothic" w:hAnsi="Century Gothic"/>
          <w:sz w:val="20"/>
          <w:szCs w:val="20"/>
        </w:rPr>
        <w:t>ambos</w:t>
      </w:r>
      <w:r>
        <w:rPr>
          <w:rFonts w:ascii="Century Gothic" w:hAnsi="Century Gothic"/>
          <w:sz w:val="20"/>
          <w:szCs w:val="20"/>
        </w:rPr>
        <w:t xml:space="preserve"> se </w:t>
      </w:r>
      <w:r w:rsidR="00483A6D">
        <w:rPr>
          <w:rFonts w:ascii="Century Gothic" w:hAnsi="Century Gothic"/>
          <w:sz w:val="20"/>
          <w:szCs w:val="20"/>
        </w:rPr>
        <w:t>requiere</w:t>
      </w:r>
      <w:r>
        <w:rPr>
          <w:rFonts w:ascii="Century Gothic" w:hAnsi="Century Gothic"/>
          <w:sz w:val="20"/>
          <w:szCs w:val="20"/>
        </w:rPr>
        <w:t xml:space="preserve"> </w:t>
      </w:r>
      <w:r w:rsidR="00483A6D">
        <w:rPr>
          <w:rFonts w:ascii="Century Gothic" w:hAnsi="Century Gothic"/>
          <w:sz w:val="20"/>
          <w:szCs w:val="20"/>
        </w:rPr>
        <w:t>conocer</w:t>
      </w:r>
      <w:r>
        <w:rPr>
          <w:rFonts w:ascii="Century Gothic" w:hAnsi="Century Gothic"/>
          <w:sz w:val="20"/>
          <w:szCs w:val="20"/>
        </w:rPr>
        <w:t xml:space="preserve"> el número de asociado, nombre, dirección y </w:t>
      </w:r>
      <w:r w:rsidR="00483A6D">
        <w:rPr>
          <w:rFonts w:ascii="Century Gothic" w:hAnsi="Century Gothic"/>
          <w:sz w:val="20"/>
          <w:szCs w:val="20"/>
        </w:rPr>
        <w:t>teléfono</w:t>
      </w:r>
      <w:r>
        <w:rPr>
          <w:rFonts w:ascii="Century Gothic" w:hAnsi="Century Gothic"/>
          <w:sz w:val="20"/>
          <w:szCs w:val="20"/>
        </w:rPr>
        <w:t xml:space="preserve"> de contacto. De los jugadores se precisa además el nivel de juego en una escala de 1 a10. Ningún árbitro puede participar como jugador.</w:t>
      </w:r>
    </w:p>
    <w:p w:rsidR="00975FC7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975FC7" w:rsidRDefault="00483A6D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Los países envían al campeonat</w:t>
      </w:r>
      <w:r w:rsidR="00975FC7">
        <w:rPr>
          <w:rFonts w:ascii="Century Gothic" w:hAnsi="Century Gothic"/>
          <w:sz w:val="20"/>
          <w:szCs w:val="20"/>
        </w:rPr>
        <w:t xml:space="preserve">o un conjunto de jugadores y </w:t>
      </w:r>
      <w:r>
        <w:rPr>
          <w:rFonts w:ascii="Century Gothic" w:hAnsi="Century Gothic"/>
          <w:sz w:val="20"/>
          <w:szCs w:val="20"/>
        </w:rPr>
        <w:t xml:space="preserve">árbitros, </w:t>
      </w:r>
      <w:r w:rsidR="00975FC7">
        <w:rPr>
          <w:rFonts w:ascii="Century Gothic" w:hAnsi="Century Gothic"/>
          <w:sz w:val="20"/>
          <w:szCs w:val="20"/>
        </w:rPr>
        <w:t xml:space="preserve">no todo los países envían </w:t>
      </w:r>
      <w:r>
        <w:rPr>
          <w:rFonts w:ascii="Century Gothic" w:hAnsi="Century Gothic"/>
          <w:sz w:val="20"/>
          <w:szCs w:val="20"/>
        </w:rPr>
        <w:t>participantes</w:t>
      </w:r>
      <w:r w:rsidR="00975FC7">
        <w:rPr>
          <w:rFonts w:ascii="Century Gothic" w:hAnsi="Century Gothic"/>
          <w:sz w:val="20"/>
          <w:szCs w:val="20"/>
        </w:rPr>
        <w:t xml:space="preserve">. Todo jugador y </w:t>
      </w:r>
      <w:r>
        <w:rPr>
          <w:rFonts w:ascii="Century Gothic" w:hAnsi="Century Gothic"/>
          <w:sz w:val="20"/>
          <w:szCs w:val="20"/>
        </w:rPr>
        <w:t>árbitro</w:t>
      </w:r>
      <w:r w:rsidR="00975FC7">
        <w:rPr>
          <w:rFonts w:ascii="Century Gothic" w:hAnsi="Century Gothic"/>
          <w:sz w:val="20"/>
          <w:szCs w:val="20"/>
        </w:rPr>
        <w:t xml:space="preserve"> es enviado </w:t>
      </w:r>
      <w:r>
        <w:rPr>
          <w:rFonts w:ascii="Century Gothic" w:hAnsi="Century Gothic"/>
          <w:sz w:val="20"/>
          <w:szCs w:val="20"/>
        </w:rPr>
        <w:t>por un úni</w:t>
      </w:r>
      <w:r w:rsidR="00975FC7">
        <w:rPr>
          <w:rFonts w:ascii="Century Gothic" w:hAnsi="Century Gothic"/>
          <w:sz w:val="20"/>
          <w:szCs w:val="20"/>
        </w:rPr>
        <w:t xml:space="preserve">co </w:t>
      </w:r>
      <w:r>
        <w:rPr>
          <w:rFonts w:ascii="Century Gothic" w:hAnsi="Century Gothic"/>
          <w:sz w:val="20"/>
          <w:szCs w:val="20"/>
        </w:rPr>
        <w:t>país</w:t>
      </w:r>
      <w:r w:rsidR="00975FC7">
        <w:rPr>
          <w:rFonts w:ascii="Century Gothic" w:hAnsi="Century Gothic"/>
          <w:sz w:val="20"/>
          <w:szCs w:val="20"/>
        </w:rPr>
        <w:t xml:space="preserve">. Un país puede ser representado por otro país. Un país puede representar a otro/s países. Cada país se identifica por un número correlativo según su orden alfabético e interesa conocer además de su nombre, el </w:t>
      </w:r>
      <w:r w:rsidR="00C75908">
        <w:rPr>
          <w:rFonts w:ascii="Century Gothic" w:hAnsi="Century Gothic"/>
          <w:sz w:val="20"/>
          <w:szCs w:val="20"/>
        </w:rPr>
        <w:t>número</w:t>
      </w:r>
      <w:r w:rsidR="00975FC7">
        <w:rPr>
          <w:rFonts w:ascii="Century Gothic" w:hAnsi="Century Gothic"/>
          <w:sz w:val="20"/>
          <w:szCs w:val="20"/>
        </w:rPr>
        <w:t xml:space="preserve"> de c</w:t>
      </w:r>
      <w:r w:rsidR="00C75908">
        <w:rPr>
          <w:rFonts w:ascii="Century Gothic" w:hAnsi="Century Gothic"/>
          <w:sz w:val="20"/>
          <w:szCs w:val="20"/>
        </w:rPr>
        <w:t>lub</w:t>
      </w:r>
      <w:r w:rsidR="00975FC7">
        <w:rPr>
          <w:rFonts w:ascii="Century Gothic" w:hAnsi="Century Gothic"/>
          <w:sz w:val="20"/>
          <w:szCs w:val="20"/>
        </w:rPr>
        <w:t>es de ajedrez existentes en el mismo.</w:t>
      </w:r>
    </w:p>
    <w:p w:rsidR="00975FC7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B01AC" w:rsidRDefault="00C75908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Cada partida se identifi</w:t>
      </w:r>
      <w:r w:rsidR="00975FC7">
        <w:rPr>
          <w:rFonts w:ascii="Century Gothic" w:hAnsi="Century Gothic"/>
          <w:sz w:val="20"/>
          <w:szCs w:val="20"/>
        </w:rPr>
        <w:t xml:space="preserve">ca por un número correlativo (Cod-P), la juegan dos jugadores y la </w:t>
      </w:r>
      <w:r>
        <w:rPr>
          <w:rFonts w:ascii="Century Gothic" w:hAnsi="Century Gothic"/>
          <w:sz w:val="20"/>
          <w:szCs w:val="20"/>
        </w:rPr>
        <w:t>arbitra</w:t>
      </w:r>
      <w:r w:rsidR="00975FC7">
        <w:rPr>
          <w:rFonts w:ascii="Century Gothic" w:hAnsi="Century Gothic"/>
          <w:sz w:val="20"/>
          <w:szCs w:val="20"/>
        </w:rPr>
        <w:t xml:space="preserve"> un árbitro. </w:t>
      </w:r>
      <w:r>
        <w:rPr>
          <w:rFonts w:ascii="Century Gothic" w:hAnsi="Century Gothic"/>
          <w:sz w:val="20"/>
          <w:szCs w:val="20"/>
        </w:rPr>
        <w:t xml:space="preserve">interesa registrar las partidas que juega cada jugador y el color (blancas </w:t>
      </w:r>
      <w:r w:rsidR="007B01AC">
        <w:rPr>
          <w:rFonts w:ascii="Century Gothic" w:hAnsi="Century Gothic"/>
          <w:sz w:val="20"/>
          <w:szCs w:val="20"/>
        </w:rPr>
        <w:t xml:space="preserve">o negras) con el que juega. Ha de tenerse en cuenta que un árbitro no puede arbitrar a jugadores. Todo </w:t>
      </w:r>
      <w:r>
        <w:rPr>
          <w:rFonts w:ascii="Century Gothic" w:hAnsi="Century Gothic"/>
          <w:sz w:val="20"/>
          <w:szCs w:val="20"/>
        </w:rPr>
        <w:t>participante</w:t>
      </w:r>
      <w:r w:rsidR="007B01AC">
        <w:rPr>
          <w:rFonts w:ascii="Century Gothic" w:hAnsi="Century Gothic"/>
          <w:sz w:val="20"/>
          <w:szCs w:val="20"/>
        </w:rPr>
        <w:t xml:space="preserve"> participa en al menos una partida.</w:t>
      </w: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Tanto jugadores y árbitros se aloja en uno de los hoteles en los que se desarrollan las partidas; se desea conocer el qué hotel y en qué fechas se ha alojado cada uno de los participantes. </w:t>
      </w:r>
      <w:r w:rsidR="00C75908">
        <w:rPr>
          <w:rFonts w:ascii="Century Gothic" w:hAnsi="Century Gothic"/>
          <w:sz w:val="20"/>
          <w:szCs w:val="20"/>
        </w:rPr>
        <w:t xml:space="preserve">Los participantes pueden no permanecer en la ciudad durante todo el campeonato sino acudir </w:t>
      </w:r>
      <w:r>
        <w:rPr>
          <w:rFonts w:ascii="Century Gothic" w:hAnsi="Century Gothic"/>
          <w:sz w:val="20"/>
          <w:szCs w:val="20"/>
        </w:rPr>
        <w:t xml:space="preserve">cuando tienen que jugar alguna partida </w:t>
      </w:r>
      <w:r w:rsidR="00C75908">
        <w:rPr>
          <w:rFonts w:ascii="Century Gothic" w:hAnsi="Century Gothic"/>
          <w:sz w:val="20"/>
          <w:szCs w:val="20"/>
        </w:rPr>
        <w:t>alojándose</w:t>
      </w:r>
      <w:r>
        <w:rPr>
          <w:rFonts w:ascii="Century Gothic" w:hAnsi="Century Gothic"/>
          <w:sz w:val="20"/>
          <w:szCs w:val="20"/>
        </w:rPr>
        <w:t xml:space="preserve"> en el mimos o distinto hotel. Poe ello se desea registrar también las fechas de entrada y salida de los hoteles donde se alojan los participantes. De cada hotel se desea conocer el nombre, la dirección y el nú</w:t>
      </w:r>
      <w:r w:rsidR="00C75908">
        <w:rPr>
          <w:rFonts w:ascii="Century Gothic" w:hAnsi="Century Gothic"/>
          <w:sz w:val="20"/>
          <w:szCs w:val="20"/>
        </w:rPr>
        <w:t>mero de teléfono. Puede haber h</w:t>
      </w:r>
      <w:r>
        <w:rPr>
          <w:rFonts w:ascii="Century Gothic" w:hAnsi="Century Gothic"/>
          <w:sz w:val="20"/>
          <w:szCs w:val="20"/>
        </w:rPr>
        <w:t>oteles que no alojen participantes.</w:t>
      </w: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campeonato se desarrolla a lo largo de una serie de jornadas (año, mes, día) y cada partida tiene lugar en una de las hornadas </w:t>
      </w:r>
      <w:r w:rsidR="00C75908">
        <w:rPr>
          <w:rFonts w:ascii="Century Gothic" w:hAnsi="Century Gothic"/>
          <w:sz w:val="20"/>
          <w:szCs w:val="20"/>
        </w:rPr>
        <w:t>aunque</w:t>
      </w:r>
      <w:r>
        <w:rPr>
          <w:rFonts w:ascii="Century Gothic" w:hAnsi="Century Gothic"/>
          <w:sz w:val="20"/>
          <w:szCs w:val="20"/>
        </w:rPr>
        <w:t xml:space="preserve"> no tengan lugar partidas todas las jornadas.</w:t>
      </w: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Cada partida se celebra en una de las salas del as que </w:t>
      </w:r>
      <w:r w:rsidR="00C75908">
        <w:rPr>
          <w:rFonts w:ascii="Century Gothic" w:hAnsi="Century Gothic"/>
          <w:sz w:val="20"/>
          <w:szCs w:val="20"/>
        </w:rPr>
        <w:t>pueden</w:t>
      </w:r>
      <w:r>
        <w:rPr>
          <w:rFonts w:ascii="Century Gothic" w:hAnsi="Century Gothic"/>
          <w:sz w:val="20"/>
          <w:szCs w:val="20"/>
        </w:rPr>
        <w:t xml:space="preserve"> disponer los hoteles, se desea conocer el número de entradas </w:t>
      </w:r>
      <w:r w:rsidR="00C75908">
        <w:rPr>
          <w:rFonts w:ascii="Century Gothic" w:hAnsi="Century Gothic"/>
          <w:sz w:val="20"/>
          <w:szCs w:val="20"/>
        </w:rPr>
        <w:t>vendidas</w:t>
      </w:r>
      <w:r>
        <w:rPr>
          <w:rFonts w:ascii="Century Gothic" w:hAnsi="Century Gothic"/>
          <w:sz w:val="20"/>
          <w:szCs w:val="20"/>
        </w:rPr>
        <w:t xml:space="preserve"> en la sala para cada partida. El número de entradas no podrá exceder de la ca</w:t>
      </w:r>
      <w:r w:rsidR="00C75908">
        <w:rPr>
          <w:rFonts w:ascii="Century Gothic" w:hAnsi="Century Gothic"/>
          <w:sz w:val="20"/>
          <w:szCs w:val="20"/>
        </w:rPr>
        <w:t>pacidad de la sala. De cada sal</w:t>
      </w:r>
      <w:r>
        <w:rPr>
          <w:rFonts w:ascii="Century Gothic" w:hAnsi="Century Gothic"/>
          <w:sz w:val="20"/>
          <w:szCs w:val="20"/>
        </w:rPr>
        <w:t>a se desea almacenar un número den</w:t>
      </w:r>
      <w:r w:rsidR="00C75908">
        <w:rPr>
          <w:rFonts w:ascii="Century Gothic" w:hAnsi="Century Gothic"/>
          <w:sz w:val="20"/>
          <w:szCs w:val="20"/>
        </w:rPr>
        <w:t>tro del hotel al que pertenece</w:t>
      </w:r>
      <w:r>
        <w:rPr>
          <w:rFonts w:ascii="Century Gothic" w:hAnsi="Century Gothic"/>
          <w:sz w:val="20"/>
          <w:szCs w:val="20"/>
        </w:rPr>
        <w:t xml:space="preserve">, la </w:t>
      </w:r>
      <w:r w:rsidR="00C75908">
        <w:rPr>
          <w:rFonts w:ascii="Century Gothic" w:hAnsi="Century Gothic"/>
          <w:sz w:val="20"/>
          <w:szCs w:val="20"/>
        </w:rPr>
        <w:t>capacidad</w:t>
      </w:r>
      <w:r>
        <w:rPr>
          <w:rFonts w:ascii="Century Gothic" w:hAnsi="Century Gothic"/>
          <w:sz w:val="20"/>
          <w:szCs w:val="20"/>
        </w:rPr>
        <w:t xml:space="preserve"> y medios de que dispone (radio, televisión, vídeo...) para facilitar la transmisión de los encuentros. Una sala puede disponer de varios medios distintos. Un hotel puede no tener salas (solo alojan a participantes) o tener varias. En una sala se pueden celebrar varias partidas.</w:t>
      </w: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B01AC" w:rsidRDefault="007B01AC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 cada partida se pretende </w:t>
      </w:r>
      <w:r w:rsidR="00C75908">
        <w:rPr>
          <w:rFonts w:ascii="Century Gothic" w:hAnsi="Century Gothic"/>
          <w:sz w:val="20"/>
          <w:szCs w:val="20"/>
        </w:rPr>
        <w:t>registrar todos los movi</w:t>
      </w:r>
      <w:r>
        <w:rPr>
          <w:rFonts w:ascii="Century Gothic" w:hAnsi="Century Gothic"/>
          <w:sz w:val="20"/>
          <w:szCs w:val="20"/>
        </w:rPr>
        <w:t xml:space="preserve">mientos que la componen; la </w:t>
      </w:r>
      <w:r w:rsidR="00C75908">
        <w:rPr>
          <w:rFonts w:ascii="Century Gothic" w:hAnsi="Century Gothic"/>
          <w:sz w:val="20"/>
          <w:szCs w:val="20"/>
        </w:rPr>
        <w:t>identificación</w:t>
      </w:r>
      <w:r>
        <w:rPr>
          <w:rFonts w:ascii="Century Gothic" w:hAnsi="Century Gothic"/>
          <w:sz w:val="20"/>
          <w:szCs w:val="20"/>
        </w:rPr>
        <w:t xml:space="preserve"> de movimiento se establece en base a un número de orden dentro de cada partida; para cada movimiento se guardan la jugada (5 posiciones) y un breve comentario realizado por un experto.</w:t>
      </w:r>
    </w:p>
    <w:p w:rsidR="00975FC7" w:rsidRDefault="00975FC7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p w:rsidR="00C75908" w:rsidRPr="0070562F" w:rsidRDefault="00C75908" w:rsidP="0070562F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70562F" w:rsidRPr="000E5AA9" w:rsidRDefault="0070562F" w:rsidP="0070562F">
      <w:pPr>
        <w:pStyle w:val="Prrafodelista"/>
        <w:ind w:left="0"/>
        <w:jc w:val="both"/>
        <w:rPr>
          <w:rFonts w:ascii="Century Gothic" w:hAnsi="Century Gothic"/>
          <w:color w:val="365F91" w:themeColor="accent1" w:themeShade="BF"/>
          <w:sz w:val="20"/>
          <w:szCs w:val="20"/>
        </w:rPr>
      </w:pPr>
      <w:r w:rsidRPr="000E5AA9">
        <w:rPr>
          <w:rFonts w:ascii="Century Gothic" w:hAnsi="Century Gothic"/>
          <w:color w:val="365F91" w:themeColor="accent1" w:themeShade="BF"/>
          <w:sz w:val="20"/>
          <w:szCs w:val="20"/>
        </w:rPr>
        <w:lastRenderedPageBreak/>
        <w:t>Se pide:</w:t>
      </w:r>
    </w:p>
    <w:p w:rsidR="0070562F" w:rsidRPr="000E5AA9" w:rsidRDefault="0070562F" w:rsidP="0070562F">
      <w:pPr>
        <w:pStyle w:val="Prrafodelista"/>
        <w:ind w:left="0"/>
        <w:jc w:val="both"/>
        <w:rPr>
          <w:rFonts w:ascii="Century Gothic" w:hAnsi="Century Gothic"/>
          <w:color w:val="365F91" w:themeColor="accent1" w:themeShade="BF"/>
          <w:sz w:val="20"/>
          <w:szCs w:val="20"/>
        </w:rPr>
      </w:pPr>
      <w:r w:rsidRPr="000E5AA9">
        <w:rPr>
          <w:rFonts w:ascii="Century Gothic" w:hAnsi="Century Gothic"/>
          <w:color w:val="365F91" w:themeColor="accent1" w:themeShade="BF"/>
          <w:sz w:val="20"/>
          <w:szCs w:val="20"/>
        </w:rPr>
        <w:t xml:space="preserve">Realizar el esquema conceptual según el </w:t>
      </w:r>
      <w:r w:rsidRPr="000E5AA9">
        <w:rPr>
          <w:rFonts w:ascii="Century Gothic" w:hAnsi="Century Gothic"/>
          <w:b/>
          <w:color w:val="365F91" w:themeColor="accent1" w:themeShade="BF"/>
          <w:sz w:val="20"/>
          <w:szCs w:val="20"/>
        </w:rPr>
        <w:t>modelo entidad-relación</w:t>
      </w:r>
      <w:r w:rsidRPr="000E5AA9">
        <w:rPr>
          <w:rFonts w:ascii="Century Gothic" w:hAnsi="Century Gothic"/>
          <w:color w:val="365F91" w:themeColor="accent1" w:themeShade="BF"/>
          <w:sz w:val="20"/>
          <w:szCs w:val="20"/>
        </w:rPr>
        <w:t xml:space="preserve"> definiendo entidades, atributos, relaciones, participaciones de las entidades, cardinalidad de la relación.</w:t>
      </w:r>
    </w:p>
    <w:p w:rsidR="0070562F" w:rsidRPr="000E5AA9" w:rsidRDefault="0070562F" w:rsidP="0070562F">
      <w:pPr>
        <w:pStyle w:val="Prrafodelista"/>
        <w:ind w:left="0"/>
        <w:jc w:val="both"/>
        <w:rPr>
          <w:rFonts w:ascii="Century Gothic" w:hAnsi="Century Gothic"/>
          <w:color w:val="365F91" w:themeColor="accent1" w:themeShade="BF"/>
          <w:sz w:val="20"/>
          <w:szCs w:val="20"/>
        </w:rPr>
      </w:pPr>
    </w:p>
    <w:p w:rsidR="0070562F" w:rsidRPr="000E5AA9" w:rsidRDefault="0070562F" w:rsidP="0070562F">
      <w:pPr>
        <w:pStyle w:val="Prrafodelista"/>
        <w:ind w:left="0"/>
        <w:jc w:val="both"/>
        <w:rPr>
          <w:rFonts w:ascii="Century Gothic" w:hAnsi="Century Gothic"/>
          <w:color w:val="365F91" w:themeColor="accent1" w:themeShade="BF"/>
          <w:sz w:val="20"/>
          <w:szCs w:val="20"/>
        </w:rPr>
      </w:pPr>
      <w:r w:rsidRPr="000E5AA9">
        <w:rPr>
          <w:rFonts w:ascii="Century Gothic" w:hAnsi="Century Gothic"/>
          <w:color w:val="365F91" w:themeColor="accent1" w:themeShade="BF"/>
          <w:sz w:val="20"/>
          <w:szCs w:val="20"/>
        </w:rPr>
        <w:t xml:space="preserve">También se pide obtener el </w:t>
      </w:r>
      <w:r w:rsidRPr="000E5AA9">
        <w:rPr>
          <w:rFonts w:ascii="Century Gothic" w:hAnsi="Century Gothic"/>
          <w:b/>
          <w:color w:val="365F91" w:themeColor="accent1" w:themeShade="BF"/>
          <w:sz w:val="20"/>
          <w:szCs w:val="20"/>
        </w:rPr>
        <w:t>modelo relacional</w:t>
      </w:r>
      <w:r w:rsidRPr="000E5AA9">
        <w:rPr>
          <w:rFonts w:ascii="Century Gothic" w:hAnsi="Century Gothic"/>
          <w:color w:val="365F91" w:themeColor="accent1" w:themeShade="BF"/>
          <w:sz w:val="20"/>
          <w:szCs w:val="20"/>
        </w:rPr>
        <w:t xml:space="preserve"> junto con su grafo relacionado.</w:t>
      </w:r>
    </w:p>
    <w:p w:rsidR="00570F76" w:rsidRPr="0070562F" w:rsidRDefault="0086534B" w:rsidP="0070562F">
      <w:pPr>
        <w:pStyle w:val="normal0"/>
        <w:jc w:val="both"/>
        <w:rPr>
          <w:rFonts w:ascii="Century Gothic" w:hAnsi="Century Gothic"/>
          <w:sz w:val="20"/>
          <w:szCs w:val="20"/>
        </w:rPr>
      </w:pPr>
      <w:r w:rsidRPr="0070562F">
        <w:rPr>
          <w:rFonts w:ascii="Century Gothic" w:hAnsi="Century Gothic"/>
          <w:sz w:val="20"/>
          <w:szCs w:val="20"/>
        </w:rPr>
        <w:t xml:space="preserve">  </w:t>
      </w:r>
    </w:p>
    <w:p w:rsidR="00570F76" w:rsidRPr="0070562F" w:rsidRDefault="00570F76" w:rsidP="0070562F">
      <w:pPr>
        <w:pStyle w:val="normal0"/>
        <w:jc w:val="both"/>
        <w:rPr>
          <w:rFonts w:ascii="Century Gothic" w:hAnsi="Century Gothic"/>
          <w:sz w:val="20"/>
          <w:szCs w:val="20"/>
        </w:rPr>
      </w:pPr>
    </w:p>
    <w:sectPr w:rsidR="00570F76" w:rsidRPr="0070562F" w:rsidSect="00570F76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EF0" w:rsidRDefault="00D37EF0" w:rsidP="0070562F">
      <w:pPr>
        <w:spacing w:line="240" w:lineRule="auto"/>
      </w:pPr>
      <w:r>
        <w:separator/>
      </w:r>
    </w:p>
  </w:endnote>
  <w:endnote w:type="continuationSeparator" w:id="1">
    <w:p w:rsidR="00D37EF0" w:rsidRDefault="00D37EF0" w:rsidP="00705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62F" w:rsidRPr="0070562F" w:rsidRDefault="0070562F" w:rsidP="0070562F">
    <w:pPr>
      <w:pStyle w:val="Piedepgina"/>
      <w:jc w:val="right"/>
      <w:rPr>
        <w:rFonts w:asciiTheme="majorHAnsi" w:hAnsiTheme="majorHAnsi"/>
        <w:sz w:val="20"/>
        <w:szCs w:val="20"/>
      </w:rPr>
    </w:pPr>
    <w:r>
      <w:tab/>
    </w:r>
    <w:r>
      <w:tab/>
    </w:r>
    <w:r>
      <w:tab/>
    </w:r>
    <w:r w:rsidR="00F8376F">
      <w:rPr>
        <w:rFonts w:asciiTheme="majorHAnsi" w:hAnsiTheme="majorHAnsi"/>
        <w:sz w:val="20"/>
        <w:szCs w:val="20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EF0" w:rsidRDefault="00D37EF0" w:rsidP="0070562F">
      <w:pPr>
        <w:spacing w:line="240" w:lineRule="auto"/>
      </w:pPr>
      <w:r>
        <w:separator/>
      </w:r>
    </w:p>
  </w:footnote>
  <w:footnote w:type="continuationSeparator" w:id="1">
    <w:p w:rsidR="00D37EF0" w:rsidRDefault="00D37EF0" w:rsidP="007056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6"/>
      <w:gridCol w:w="1153"/>
    </w:tblGrid>
    <w:tr w:rsidR="0070562F">
      <w:trPr>
        <w:trHeight w:val="288"/>
      </w:trPr>
      <w:sdt>
        <w:sdtPr>
          <w:rPr>
            <w:rFonts w:ascii="Cambria" w:eastAsia="Times New Roman" w:hAnsi="Cambria"/>
            <w:sz w:val="20"/>
            <w:szCs w:val="20"/>
          </w:rPr>
          <w:alias w:val="Título"/>
          <w:id w:val="77761602"/>
          <w:placeholder>
            <w:docPart w:val="4C943278B89443FA8C976BFA56FCAA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0562F" w:rsidRDefault="0070562F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0562F">
                <w:rPr>
                  <w:rFonts w:ascii="Cambria" w:eastAsia="Times New Roman" w:hAnsi="Cambria"/>
                  <w:sz w:val="20"/>
                  <w:szCs w:val="20"/>
                </w:rPr>
                <w:t>Modelo E-R + Modelo Relacional</w:t>
              </w:r>
            </w:p>
          </w:tc>
        </w:sdtContent>
      </w:sdt>
      <w:sdt>
        <w:sdtPr>
          <w:rPr>
            <w:rFonts w:ascii="Cambria" w:eastAsia="Times New Roman" w:hAnsi="Cambria"/>
            <w:b/>
            <w:bCs/>
            <w:color w:val="4F81BD"/>
            <w:sz w:val="20"/>
            <w:szCs w:val="20"/>
          </w:rPr>
          <w:alias w:val="Año"/>
          <w:id w:val="77761609"/>
          <w:placeholder>
            <w:docPart w:val="C945A8C5822C479BBA41D6C7314E106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0562F" w:rsidRDefault="0070562F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70562F">
                <w:rPr>
                  <w:rFonts w:ascii="Cambria" w:eastAsia="Times New Roman" w:hAnsi="Cambria"/>
                  <w:b/>
                  <w:bCs/>
                  <w:color w:val="4F81BD"/>
                  <w:sz w:val="20"/>
                  <w:szCs w:val="20"/>
                </w:rPr>
                <w:t>UT4</w:t>
              </w:r>
            </w:p>
          </w:tc>
        </w:sdtContent>
      </w:sdt>
    </w:tr>
  </w:tbl>
  <w:p w:rsidR="0070562F" w:rsidRDefault="0070562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F76"/>
    <w:rsid w:val="000E5AA9"/>
    <w:rsid w:val="001518CE"/>
    <w:rsid w:val="00483A6D"/>
    <w:rsid w:val="00570F76"/>
    <w:rsid w:val="0070562F"/>
    <w:rsid w:val="007B01AC"/>
    <w:rsid w:val="0086534B"/>
    <w:rsid w:val="00975FC7"/>
    <w:rsid w:val="00C75908"/>
    <w:rsid w:val="00D37EF0"/>
    <w:rsid w:val="00F8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CE"/>
  </w:style>
  <w:style w:type="paragraph" w:styleId="Ttulo1">
    <w:name w:val="heading 1"/>
    <w:basedOn w:val="normal0"/>
    <w:next w:val="normal0"/>
    <w:rsid w:val="00570F7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70F7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70F7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70F7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70F7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70F7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70F76"/>
  </w:style>
  <w:style w:type="table" w:customStyle="1" w:styleId="TableNormal">
    <w:name w:val="Table Normal"/>
    <w:rsid w:val="00570F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0F7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570F7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056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62F"/>
  </w:style>
  <w:style w:type="paragraph" w:styleId="Piedepgina">
    <w:name w:val="footer"/>
    <w:basedOn w:val="Normal"/>
    <w:link w:val="PiedepginaCar"/>
    <w:uiPriority w:val="99"/>
    <w:semiHidden/>
    <w:unhideWhenUsed/>
    <w:rsid w:val="007056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562F"/>
  </w:style>
  <w:style w:type="paragraph" w:styleId="Textodeglobo">
    <w:name w:val="Balloon Text"/>
    <w:basedOn w:val="Normal"/>
    <w:link w:val="TextodegloboCar"/>
    <w:uiPriority w:val="99"/>
    <w:semiHidden/>
    <w:unhideWhenUsed/>
    <w:rsid w:val="00705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6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2F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943278B89443FA8C976BFA56FCA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8726-3497-4896-B391-89EC22AA721B}"/>
      </w:docPartPr>
      <w:docPartBody>
        <w:p w:rsidR="0003495E" w:rsidRDefault="00646DDC" w:rsidP="00646DDC">
          <w:pPr>
            <w:pStyle w:val="4C943278B89443FA8C976BFA56FCAA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945A8C5822C479BBA41D6C7314E1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FC12A-DFC4-43CF-87F6-D2CE59430BA2}"/>
      </w:docPartPr>
      <w:docPartBody>
        <w:p w:rsidR="0003495E" w:rsidRDefault="00646DDC" w:rsidP="00646DDC">
          <w:pPr>
            <w:pStyle w:val="C945A8C5822C479BBA41D6C7314E106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6DDC"/>
    <w:rsid w:val="0003495E"/>
    <w:rsid w:val="00646DDC"/>
    <w:rsid w:val="00A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943278B89443FA8C976BFA56FCAADB">
    <w:name w:val="4C943278B89443FA8C976BFA56FCAADB"/>
    <w:rsid w:val="00646DDC"/>
  </w:style>
  <w:style w:type="paragraph" w:customStyle="1" w:styleId="C945A8C5822C479BBA41D6C7314E1069">
    <w:name w:val="C945A8C5822C479BBA41D6C7314E1069"/>
    <w:rsid w:val="00646D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E-R + Modelo Relacional</vt:lpstr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E-R + Modelo Relacional</dc:title>
  <dc:creator>Carmen López Mazo</dc:creator>
  <cp:lastModifiedBy>Carmen López Mazo</cp:lastModifiedBy>
  <cp:revision>5</cp:revision>
  <dcterms:created xsi:type="dcterms:W3CDTF">2015-11-08T20:27:00Z</dcterms:created>
  <dcterms:modified xsi:type="dcterms:W3CDTF">2015-11-09T08:15:00Z</dcterms:modified>
</cp:coreProperties>
</file>