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FLEE Dual-Process Model — Phase 3: TMI Full Calibration</w:t>
      </w:r>
    </w:p>
    <w:p>
      <w:pPr>
        <w:jc w:val="center"/>
      </w:pPr>
      <w:r>
        <w:rPr>
          <w:b/>
          <w:color w:val="2E5FA3"/>
          <w:sz w:val="30"/>
        </w:rPr>
        <w:t>Day 13 — TMI Sobol Sensitivity Analysis (four factors: CMC, α, β, κ)</w:t>
      </w:r>
    </w:p>
    <w:p>
      <w:pPr>
        <w:jc w:val="center"/>
      </w:pPr>
      <w:r>
        <w:rPr>
          <w:i/>
          <w:color w:val="555555"/>
          <w:sz w:val="20"/>
        </w:rPr>
        <w:t>Columbia University Climate School · Center for Climate Systems Research</w:t>
      </w:r>
    </w:p>
    <w:p/>
    <w:p>
      <w:pPr>
        <w:pStyle w:val="Heading1"/>
      </w:pPr>
      <w:r>
        <w:rPr>
          <w:color w:val="1F3864"/>
        </w:rP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Day 13 mirrors the Fukushima Day-7b Sobol analysis on the Three Mile Island (TMI) network, adding the conflict move-chance (CMC) as a fourth factor alongside the dual-process parameters α, β, and κ. The objective is to establish, with bootstrap confidence intervals, which factors are identifiable from TMI quantities of interest (QoIs) before Day-14 calibration. The campaign ran a Saltelli design of 640 samples (base N=64, N×(2D+2)) averaged over 3 fixed seeds, in the full-mixture (blend) mode, both with the panic clamp ON and OFF.</w:t>
      </w:r>
    </w:p>
    <w:p>
      <w:pPr>
        <w:spacing w:after="120"/>
      </w:pPr>
      <w:r>
        <w:rPr>
          <w:b w:val="0"/>
          <w:i w:val="0"/>
          <w:sz w:val="21"/>
        </w:rPr>
        <w:t>Headline finding: CMC dominates the mobilisation QoIs and is the clear calibration target for TMI, while the cognitive parameters separate cleanly onto cognitive QoIs — α controls the System-2 reliability (peak P_S2), β carries a smaller identifiable timing signal, and κ is flat across all TMI QoIs. This is the expected and desirable outcome: it confirms CMC must be recalibrated for TMI while α/β/κ remain a clean cross-domain transfer hypothesis (locked at the Fukushima values 1.6667 / 2.1667 / 18.407).</w:t>
      </w:r>
    </w:p>
    <w:p>
      <w:pPr>
        <w:pStyle w:val="ListBullet"/>
      </w:pPr>
      <w:r>
        <w:rPr>
          <w:b/>
          <w:sz w:val="21"/>
        </w:rPr>
        <w:t xml:space="preserve">CMC: </w:t>
      </w:r>
      <w:r>
        <w:rPr>
          <w:sz w:val="21"/>
        </w:rPr>
        <w:t>identifiable on mobilisation QoIs (ST=0.78 on fraction-departed-by-t=8 and median departure); clamp-dependent on total evac (ST 0.61 → 0.78 when the clamp is removed).</w:t>
      </w:r>
    </w:p>
    <w:p>
      <w:pPr>
        <w:pStyle w:val="ListBullet"/>
      </w:pPr>
      <w:r>
        <w:rPr>
          <w:b/>
          <w:sz w:val="21"/>
        </w:rPr>
        <w:t xml:space="preserve">α: </w:t>
      </w:r>
      <w:r>
        <w:rPr>
          <w:sz w:val="21"/>
        </w:rPr>
        <w:t>identifiable on the cognitive QoI peak mean P_S2 (ST=1.00).</w:t>
      </w:r>
    </w:p>
    <w:p>
      <w:pPr>
        <w:pStyle w:val="ListBullet"/>
      </w:pPr>
      <w:r>
        <w:rPr>
          <w:b/>
          <w:sz w:val="21"/>
        </w:rPr>
        <w:t xml:space="preserve">β: </w:t>
      </w:r>
      <w:r>
        <w:rPr>
          <w:sz w:val="21"/>
        </w:rPr>
        <w:t>identifiable but smaller, on the pre-clamp timing QoIs (ST≈0.16).</w:t>
      </w:r>
    </w:p>
    <w:p>
      <w:pPr>
        <w:pStyle w:val="ListBullet"/>
      </w:pPr>
      <w:r>
        <w:rPr>
          <w:b/>
          <w:sz w:val="21"/>
        </w:rPr>
        <w:t xml:space="preserve">κ: </w:t>
      </w:r>
      <w:r>
        <w:rPr>
          <w:sz w:val="21"/>
        </w:rPr>
        <w:t>flat — not identifiable from any TMI QoI (best ST=0.01).</w:t>
      </w:r>
    </w:p>
    <w:p>
      <w:pPr>
        <w:spacing w:after="120"/>
      </w:pPr>
      <w:r>
        <w:rPr>
          <w:b w:val="0"/>
          <w:i/>
          <w:color w:val="555555"/>
          <w:sz w:val="21"/>
        </w:rPr>
        <w:t>Diagnostics gate: 36/37 PASS (1 documented expected fail inherited). All Day-13 checks (31–37) pass; the single inherited failure is the documented Day-12 over-mobilisation finding.</w:t>
      </w:r>
    </w:p>
    <w:p>
      <w:pPr>
        <w:pStyle w:val="Heading1"/>
      </w:pPr>
      <w:r>
        <w:rPr>
          <w:color w:val="1F3864"/>
        </w:rPr>
        <w:t>2. Campaign Design</w:t>
      </w:r>
    </w:p>
    <w:p>
      <w:pPr>
        <w:spacing w:after="120"/>
      </w:pPr>
      <w:r>
        <w:rPr>
          <w:b w:val="0"/>
          <w:i w:val="0"/>
          <w:sz w:val="21"/>
        </w:rPr>
        <w:t>Full-mixture (blend) mode only — the sole mode in which α/β/κ act and CMC enters via the System-1 move chance. Network: TMI (OSM driving distances from Day 12); horizon t_max = 19 (= T_SCHED). Sampler: SALib Saltelli, base N=64 (power of two), calc_second_order=True → 640 samples. ABM noise is controlled by averaging each sample over 3 fixed seeds [0, 1, 2]; total model runs = 1920 (clamp ON) + 1920 (clamp OFF).</w:t>
      </w:r>
    </w:p>
    <w:p>
      <w:pPr>
        <w:pStyle w:val="Heading2"/>
      </w:pPr>
      <w:r>
        <w:rPr>
          <w:color w:val="2E5FA3"/>
        </w:rPr>
        <w:t>2.1 Factors and ranges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fill="1F3864"/>
          </w:tcPr>
          <w:p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5184"/>
            <w:shd w:fill="1F3864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CMC (conflict_movechance)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[0.00, 0.30]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No-mobilisation to the Fukushima value; TMI partial evac expected low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α (alpha)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[0.5, 5.0]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Gradual → sharp capacity (Ψ) growth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β (beta)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[1.0, 10.0]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Gentle → steep opportunity (Ω) collapse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κ (kappa)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[1.0, 20.0]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Weak → strong System-2 move sensitivity</w:t>
            </w:r>
          </w:p>
        </w:tc>
      </w:tr>
    </w:tbl>
    <w:p>
      <w:pPr>
        <w:pStyle w:val="Heading2"/>
      </w:pPr>
      <w:r>
        <w:rPr>
          <w:color w:val="2E5FA3"/>
        </w:rPr>
        <w:t>2.2 Quantities of interest (tiered by expected signal)</w:t>
      </w:r>
    </w:p>
    <w:p>
      <w:pPr>
        <w:spacing w:after="120"/>
      </w:pPr>
      <w:r>
        <w:rPr>
          <w:b w:val="0"/>
          <w:i w:val="0"/>
          <w:sz w:val="21"/>
        </w:rPr>
        <w:t>The panic clamp (conflict&gt;0.9 → movechance≥0.95, firing only at the t=10 peak) plus CMC saturation kills variance in the obvious mobilisation QoIs, so QoIs are tiered: Tier 1 are clamp-insensitive and carry the identifiability signal; Tier 2 are timing-based Zeigler differentials (path-based metrics are avoided this round because camp adjacency confounds them); Tier 3 are saturated and reported with explicit variance flags.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1F3864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3744"/>
            <w:shd w:fill="1F3864"/>
          </w:tcPr>
          <w:p>
            <w:r>
              <w:rPr>
                <w:b/>
                <w:color w:val="FFFFFF"/>
                <w:sz w:val="19"/>
              </w:rPr>
              <w:t>QoI</w:t>
            </w:r>
          </w:p>
        </w:tc>
        <w:tc>
          <w:tcPr>
            <w:tcW w:type="dxa" w:w="4896"/>
            <w:shd w:fill="1F3864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Fraction departed by t=8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Strictly pre-clamp move decision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Median departure timestep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Timing structure, not just final count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Peak mean P_S2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Direct α(Ψ)/β(Ω) signal; clamp/CMC-independent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Zone P_S2 spread at t=10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P1 metric; β-sensitive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Inner−outer median-departure gap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Clamp-robust Zeigler signature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Inner−outer frac-by-t8 gap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Differential pre-clamp mobilisation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Total town evac rate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Saturated under clamp+high CMC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Outer (&gt;15 mi) shadow-evac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Saturated; shadow-evac proxy</w:t>
            </w:r>
          </w:p>
        </w:tc>
      </w:tr>
    </w:tbl>
    <w:p>
      <w:pPr>
        <w:pStyle w:val="Heading1"/>
      </w:pPr>
      <w:r>
        <w:rPr>
          <w:color w:val="1F3864"/>
        </w:rPr>
        <w:t>3. Pre-Flight and Method Reuse</w:t>
      </w:r>
    </w:p>
    <w:p>
      <w:pPr>
        <w:pStyle w:val="ListBullet"/>
      </w:pPr>
      <w:r>
        <w:rPr>
          <w:b/>
          <w:sz w:val="21"/>
        </w:rPr>
        <w:t xml:space="preserve">Infrastructure reused: </w:t>
      </w:r>
      <w:r>
        <w:rPr>
          <w:sz w:val="21"/>
        </w:rPr>
        <w:t>scripts/run_sobol_day7b.py — SALib Saltelli sampling + analysis, raw['S1']→S_first remap, and bootstrap CIs were reused; only the simulation driver was swapped to the TMI run_one.</w:t>
      </w:r>
    </w:p>
    <w:p>
      <w:pPr>
        <w:pStyle w:val="ListBullet"/>
      </w:pPr>
      <w:r>
        <w:rPr>
          <w:b/>
          <w:sz w:val="21"/>
        </w:rPr>
        <w:t xml:space="preserve">Clamp toggle added: </w:t>
      </w:r>
      <w:r>
        <w:rPr>
          <w:sz w:val="21"/>
        </w:rPr>
        <w:t>a config flag enable_panic_clamp (default True, so the 84 model tests are unaffected) was added to DecisionEngine + moving.py and threaded through run_one, rather than commenting out the clamp.</w:t>
      </w:r>
    </w:p>
    <w:p>
      <w:pPr>
        <w:pStyle w:val="ListBullet"/>
      </w:pPr>
      <w:r>
        <w:rPr>
          <w:b/>
          <w:sz w:val="21"/>
        </w:rPr>
        <w:t xml:space="preserve">Timing: </w:t>
      </w:r>
      <w:r>
        <w:rPr>
          <w:sz w:val="21"/>
        </w:rPr>
        <w:t>peak at t=10; conflict first exceeds 0.9 only at t=10 — a single-timestep clamp window, so fraction-departed-by-t=8 is safely pre-clamp.</w:t>
      </w:r>
    </w:p>
    <w:p>
      <w:pPr>
        <w:pStyle w:val="Heading1"/>
      </w:pPr>
      <w:r>
        <w:rPr>
          <w:color w:val="1F3864"/>
        </w:rPr>
        <w:t>4. Identifiability Results</w:t>
      </w:r>
    </w:p>
    <w:p>
      <w:pPr>
        <w:pStyle w:val="Heading2"/>
      </w:pPr>
      <w:r>
        <w:rPr>
          <w:color w:val="2E5FA3"/>
        </w:rPr>
        <w:t>4.1 Per-factor verdict (clamp ON, primary)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3864"/>
          </w:tcPr>
          <w:p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584"/>
            <w:shd w:fill="1F3864"/>
          </w:tcPr>
          <w:p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Best Tier-1 ST</w:t>
            </w:r>
          </w:p>
        </w:tc>
        <w:tc>
          <w:tcPr>
            <w:tcW w:type="dxa" w:w="4752"/>
            <w:shd w:fill="1F3864"/>
          </w:tcPr>
          <w:p>
            <w:r>
              <w:rPr>
                <w:b/>
                <w:color w:val="FFFFFF"/>
                <w:sz w:val="19"/>
              </w:rPr>
              <w:t>Carrier QoIs (ST)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CMC (conflict_movechance)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identifiable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0.78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Fraction departed by t=8 (pre-clamp) (0.78), Median departure timestep (0.76)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α (alpha)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identifiable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Fraction departed by t=8 (pre-clamp) (0.12), Median departure timestep (0.27), Peak mean P_S2 (active agents) (1.00)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β (beta)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identifiable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0.16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Fraction departed by t=8 (pre-clamp) (0.16), Median departure timestep (0.16)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κ (kappa)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flat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color w:val="2E5FA3"/>
        </w:rPr>
        <w:t>4.2 Tier-1 total-order indices (ST) with 95% bootstrap CIs, clamp 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608"/>
            <w:shd w:fill="1F3864"/>
          </w:tcPr>
          <w:p>
            <w:r>
              <w:rPr>
                <w:b/>
                <w:color w:val="FFFFFF"/>
                <w:sz w:val="19"/>
              </w:rPr>
              <w:t>QoI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152"/>
            <w:shd w:fill="1F3864"/>
          </w:tcPr>
          <w:p>
            <w:r>
              <w:rPr>
                <w:b/>
                <w:color w:val="FFFFFF"/>
                <w:sz w:val="19"/>
              </w:rPr>
              <w:t>ST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  <w:color w:val="FFFFFF"/>
                <w:sz w:val="19"/>
              </w:rPr>
              <w:t>95% CI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Fraction departed by t=8 (pre-clamp)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CMC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0.78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[0.47, 1.10]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Fraction departed by t=8 (pre-clamp)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α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[0.06, 0.17]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Fraction departed by t=8 (pre-clamp)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β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[0.08, 0.25]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Fraction departed by t=8 (pre-clamp)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κ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[0.00, 0.01]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Median departure timestep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CMC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0.76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[0.47, 1.04]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Median departure timestep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α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[0.15, 0.39]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Median departure timestep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β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[0.06, 0.26]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Median departure timestep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κ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[0.01, 0.02]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Peak mean P_S2 (active agents)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CMC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[0.00, 0.00]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Peak mean P_S2 (active agents)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α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[0.76, 1.24]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Peak mean P_S2 (active agents)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β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[0.00, 0.00]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Peak mean P_S2 (active agents)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κ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[0.00, 0.00]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Zone P_S2 spread at t=10 (P1)  [LOW_VARIANCE]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CMC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[0.01, 0.20]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Zone P_S2 spread at t=10 (P1)  [LOW_VARIANCE]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α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[0.01, 0.51]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Zone P_S2 spread at t=10 (P1)  [LOW_VARIANCE]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β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0.63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[0.21, 1.04]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Zone P_S2 spread at t=10 (P1)  [LOW_VARIANCE]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κ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[-0.00, 0.03]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The zone P_S2 spread QoI is flagged LOW_VARIANCE (its absolute spread is ~0.002, the Day-12 P1 near-degeneracy), so its indices are reported but not relied upon in the verdict.</w:t>
      </w:r>
    </w:p>
    <w:p>
      <w:pPr>
        <w:pStyle w:val="Heading1"/>
      </w:pPr>
      <w:r>
        <w:rPr>
          <w:color w:val="1F3864"/>
        </w:rPr>
        <w:t>5. Saturation and the Panic-Clamp Effect</w:t>
      </w:r>
    </w:p>
    <w:p>
      <w:pPr>
        <w:spacing w:after="120"/>
      </w:pPr>
      <w:r>
        <w:rPr>
          <w:b w:val="0"/>
          <w:i w:val="0"/>
          <w:sz w:val="21"/>
        </w:rPr>
        <w:t>Tier-3 mobilisation QoIs saturate under the clamp + high CMC. With the clamp ON, total town evac and the shadow-evac proxy are flagged LOW_VARIANCE (coefficient of variation &lt; 0.02): essentially every sample mobilises near-fully once conflict spikes at t=10, so their Sobol indices carry little reliable signal.</w:t>
      </w:r>
    </w:p>
    <w:p>
      <w:pPr>
        <w:spacing w:after="120"/>
      </w:pPr>
      <w:r>
        <w:rPr>
          <w:b w:val="0"/>
          <w:i w:val="0"/>
          <w:sz w:val="21"/>
        </w:rPr>
        <w:t>Removing the clamp (Task C, identical design) re-opens this variance: clamp-OFF total evac is no longer flagged LOW_VARIANCE, and CMC's total-evac sensitivity rises from ST=0.61 (clamp ON) to ST=0.78 (clamp OFF). The clamp is therefore masking CMC's true influence on final mobilisation — a direct, quantified argument for revisiting the clamp in the information-crisis (TMI) regime, which differs from the radiological Fukushima case for which the clamp was originally tuned.</w:t>
      </w:r>
    </w:p>
    <w:p>
      <w:pPr>
        <w:pStyle w:val="Heading1"/>
      </w:pPr>
      <w:r>
        <w:rPr>
          <w:color w:val="1F3864"/>
        </w:rPr>
        <w:t>6. Sanity Checks</w:t>
      </w:r>
    </w:p>
    <w:p>
      <w:pPr>
        <w:pStyle w:val="ListBullet"/>
      </w:pPr>
      <w:r>
        <w:rPr>
          <w:sz w:val="21"/>
        </w:rPr>
        <w:t>S_first ≤ ST for every factor/QoI: PASS (0 violations).</w:t>
      </w:r>
    </w:p>
    <w:p>
      <w:pPr>
        <w:pStyle w:val="ListBullet"/>
      </w:pPr>
      <w:r>
        <w:rPr>
          <w:sz w:val="21"/>
        </w:rPr>
        <w:t>Σ S_first ≤ 1 (approx) per QoI: PASS (0 QoIs exceed 1.10).</w:t>
      </w:r>
    </w:p>
    <w:p>
      <w:pPr>
        <w:pStyle w:val="ListBullet"/>
      </w:pPr>
      <w:r>
        <w:rPr>
          <w:sz w:val="21"/>
        </w:rPr>
        <w:t>No strongly negative S_first beyond CI noise: PASS (0 QoIs flagged).</w:t>
      </w:r>
    </w:p>
    <w:p>
      <w:pPr>
        <w:spacing w:after="120"/>
      </w:pPr>
      <w:r>
        <w:rPr>
          <w:b w:val="0"/>
          <w:i/>
          <w:color w:val="555555"/>
          <w:sz w:val="19"/>
        </w:rPr>
        <w:t>All sanity checks pass at base N=64, confirming the sample size is adequate for stable first/total-order indices on the variance-bearing QoIs (the Day-7b run at smaller N produced ST&gt;1 and negative S_first; the 3-seed averaging and N=64 design remove those artifacts here).</w:t>
      </w:r>
    </w:p>
    <w:p>
      <w:pPr>
        <w:pStyle w:val="Heading1"/>
      </w:pPr>
      <w:r>
        <w:rPr>
          <w:color w:val="1F3864"/>
        </w:rPr>
        <w:t>7. Figure — Sobol Indices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39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sobol_ind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TMI four-factor total-order Sobol indices (ST) with 95% bootstrap CIs, faceted by the four Tier-1 QoIs; the dotted line marks the ST=0.10 identifiability threshold. The right panel contrasts clamp ON vs OFF on the saturated total-evac QoI, exposing the clamp's masking of CMC.</w:t>
      </w:r>
    </w:p>
    <w:p>
      <w:pPr>
        <w:pStyle w:val="Heading1"/>
      </w:pPr>
      <w:r>
        <w:rPr>
          <w:color w:val="1F3864"/>
        </w:rPr>
        <w:t>8. Diagnostics Gate</w:t>
      </w:r>
    </w:p>
    <w:p>
      <w:pPr>
        <w:spacing w:after="120"/>
      </w:pPr>
      <w:r>
        <w:rPr>
          <w:b w:val="0"/>
          <w:i w:val="0"/>
          <w:sz w:val="21"/>
        </w:rPr>
        <w:t>Verdict: 36/37 PASS (1 documented expected fail inherited).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1F3864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20"/>
            <w:shd w:fill="1F3864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31 CMC included as 4th factor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factors=['cmc', 'alpha', 'beta', 'kappa'] (CMC maps to conflict_movech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32 Saltelli sample count correct (N*10, N power of two)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N=64 (power_of_two=True) total=640 expect=640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33 Seed averaging applied (3 seeds/sample)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seeds/sample min=3 max=3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34 Sobol indices + CIs computed (clamp on &amp; off)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clamps=['off', 'on'] cols_ok=True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35 Sanity checks evaluated (S_first&lt;=ST, sum S_first&lt;=1 per QoI)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S_first&gt;ST viol=0, sumS_first&gt;1 viol=0, neg S_first QoIs=0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36 LOW_VARIANCE QoIs flagged (saturated total_evac/shadow_evac)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flagged=['shadow_evac', 'total_evac']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37 Sobol indices figure generated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day13_sobol_indices.png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Inherited expected failure: 26 total evac in [15,30]: frozen Fukushima CMC over-mobilises TMI (model evac 37.7%); expected cross-domain finding, addressed in Day 14 recalibration / Day 16 comparison.</w:t>
      </w:r>
    </w:p>
    <w:p>
      <w:pPr>
        <w:pStyle w:val="Heading1"/>
      </w:pPr>
      <w:r>
        <w:rPr>
          <w:color w:val="1F3864"/>
        </w:rPr>
        <w:t>9. Implications for Day 14 (Calibration)</w:t>
      </w:r>
    </w:p>
    <w:p>
      <w:pPr>
        <w:pStyle w:val="ListBullet"/>
      </w:pPr>
      <w:r>
        <w:rPr>
          <w:b/>
          <w:sz w:val="21"/>
        </w:rPr>
        <w:t xml:space="preserve">CMC: </w:t>
      </w:r>
      <w:r>
        <w:rPr>
          <w:sz w:val="21"/>
        </w:rPr>
        <w:t>CMC is the calibration target. A suggested Stage-1 grid range is [0.0, 0.10]: TMI's partial voluntary evacuation lives in the low end, and the Day-12 Fukushima CMC=0.25 over-mobilises.</w:t>
      </w:r>
    </w:p>
    <w:p>
      <w:pPr>
        <w:pStyle w:val="ListBullet"/>
      </w:pPr>
      <w:r>
        <w:rPr>
          <w:b/>
          <w:sz w:val="21"/>
        </w:rPr>
        <w:t xml:space="preserve">α/β/κ: </w:t>
      </w:r>
      <w:r>
        <w:rPr>
          <w:sz w:val="21"/>
        </w:rPr>
        <w:t>keep locked at the Fukushima transfer values (1.6667 / 2.1667 / 18.407). α and β remain identifiable on cognitive/timing QoIs, so the transfer hypothesis is testable; κ is flat and need not be retuned for TMI.</w:t>
      </w:r>
    </w:p>
    <w:p>
      <w:pPr>
        <w:pStyle w:val="ListBullet"/>
      </w:pPr>
      <w:r>
        <w:rPr>
          <w:b/>
          <w:sz w:val="21"/>
        </w:rPr>
        <w:t xml:space="preserve">Panic clamp: </w:t>
      </w:r>
      <w:r>
        <w:rPr>
          <w:sz w:val="21"/>
        </w:rPr>
        <w:t>revisit for the information-crisis regime — the clamp-off run shows it masks CMC sensitivity on final mobilisation; a retune/remove candidate for Day 14.</w:t>
      </w:r>
    </w:p>
    <w:p>
      <w:pPr>
        <w:pStyle w:val="ListBullet"/>
      </w:pPr>
      <w:r>
        <w:rPr>
          <w:b/>
          <w:sz w:val="21"/>
        </w:rPr>
        <w:t xml:space="preserve">Zeigler: </w:t>
      </w:r>
      <w:r>
        <w:rPr>
          <w:sz w:val="21"/>
        </w:rPr>
        <w:t>fix camp placement / path metric for a clean Zeigler read; path-length-at-arrival is confounded by camp adjacency, so only timing-based Tier-2 gaps were used this round.</w:t>
      </w:r>
    </w:p>
    <w:p>
      <w:pPr>
        <w:pStyle w:val="Heading2"/>
      </w:pPr>
      <w:r>
        <w:rPr>
          <w:color w:val="2E5FA3"/>
        </w:rPr>
        <w:t>Appendix — Artifact Manifest</w:t>
      </w:r>
    </w:p>
    <w:p>
      <w:pPr>
        <w:spacing w:after="20"/>
      </w:pPr>
      <w:r>
        <w:rPr>
          <w:b w:val="0"/>
          <w:i w:val="0"/>
          <w:sz w:val="18"/>
        </w:rPr>
        <w:t>scripts/run_tmi_day13_sobol.py</w:t>
      </w:r>
    </w:p>
    <w:p>
      <w:pPr>
        <w:spacing w:after="20"/>
      </w:pPr>
      <w:r>
        <w:rPr>
          <w:b w:val="0"/>
          <w:i w:val="0"/>
          <w:sz w:val="18"/>
        </w:rPr>
        <w:t>scripts/compute_tmi_day13_indices.py</w:t>
      </w:r>
    </w:p>
    <w:p>
      <w:pPr>
        <w:spacing w:after="20"/>
      </w:pPr>
      <w:r>
        <w:rPr>
          <w:b w:val="0"/>
          <w:i w:val="0"/>
          <w:sz w:val="18"/>
        </w:rPr>
        <w:t>scripts/plot_tmi_day13_sobol.py</w:t>
      </w:r>
    </w:p>
    <w:p>
      <w:pPr>
        <w:spacing w:after="20"/>
      </w:pPr>
      <w:r>
        <w:rPr>
          <w:b w:val="0"/>
          <w:i w:val="0"/>
          <w:sz w:val="18"/>
        </w:rPr>
        <w:t>scripts/run_diagnostics_gate_day13.py</w:t>
      </w:r>
    </w:p>
    <w:p>
      <w:pPr>
        <w:spacing w:after="20"/>
      </w:pPr>
      <w:r>
        <w:rPr>
          <w:b w:val="0"/>
          <w:i w:val="0"/>
          <w:sz w:val="18"/>
        </w:rPr>
        <w:t>results/tmi/day13_preflight.txt</w:t>
      </w:r>
    </w:p>
    <w:p>
      <w:pPr>
        <w:spacing w:after="20"/>
      </w:pPr>
      <w:r>
        <w:rPr>
          <w:b w:val="0"/>
          <w:i w:val="0"/>
          <w:sz w:val="18"/>
        </w:rPr>
        <w:t>results/tmi/day13_sobol_evals.csv</w:t>
      </w:r>
    </w:p>
    <w:p>
      <w:pPr>
        <w:spacing w:after="20"/>
      </w:pPr>
      <w:r>
        <w:rPr>
          <w:b w:val="0"/>
          <w:i w:val="0"/>
          <w:sz w:val="18"/>
        </w:rPr>
        <w:t>results/tmi/day13_sobol_evals_noclamp.csv</w:t>
      </w:r>
    </w:p>
    <w:p>
      <w:pPr>
        <w:spacing w:after="20"/>
      </w:pPr>
      <w:r>
        <w:rPr>
          <w:b w:val="0"/>
          <w:i w:val="0"/>
          <w:sz w:val="18"/>
        </w:rPr>
        <w:t>results/tmi/day13_sobol_indices.csv</w:t>
      </w:r>
    </w:p>
    <w:p>
      <w:pPr>
        <w:spacing w:after="20"/>
      </w:pPr>
      <w:r>
        <w:rPr>
          <w:b w:val="0"/>
          <w:i w:val="0"/>
          <w:sz w:val="18"/>
        </w:rPr>
        <w:t>results/tmi/day13_sobol_sanity.csv</w:t>
      </w:r>
    </w:p>
    <w:p>
      <w:pPr>
        <w:spacing w:after="20"/>
      </w:pPr>
      <w:r>
        <w:rPr>
          <w:b w:val="0"/>
          <w:i w:val="0"/>
          <w:sz w:val="18"/>
        </w:rPr>
        <w:t>results/tmi/day13_sobol_verdict.json</w:t>
      </w:r>
    </w:p>
    <w:p>
      <w:pPr>
        <w:spacing w:after="20"/>
      </w:pPr>
      <w:r>
        <w:rPr>
          <w:b w:val="0"/>
          <w:i w:val="0"/>
          <w:sz w:val="18"/>
        </w:rPr>
        <w:t>figures/tmi/day13_sobol_indices.png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