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FLEE Dual-Process Model — Phase 3: TMI Full Calibration</w:t>
      </w:r>
    </w:p>
    <w:p>
      <w:pPr>
        <w:jc w:val="center"/>
      </w:pPr>
      <w:r>
        <w:rPr>
          <w:b/>
          <w:color w:val="2E5FA3"/>
          <w:sz w:val="30"/>
        </w:rPr>
        <w:t>Day 14 — TMI CMC Calibration, Panic-Clamp Decision, and Path-Metric Fix</w:t>
      </w:r>
    </w:p>
    <w:p>
      <w:pPr>
        <w:jc w:val="center"/>
      </w:pPr>
      <w:r>
        <w:rPr>
          <w:i/>
          <w:color w:val="555555"/>
          <w:sz w:val="20"/>
        </w:rPr>
        <w:t>Columbia University Climate School · Center for Climate Systems Research</w:t>
      </w:r>
    </w:p>
    <w:p/>
    <w:p>
      <w:pPr>
        <w:pStyle w:val="Heading1"/>
      </w:pPr>
      <w:r>
        <w:rPr>
          <w:color w:val="1F3864"/>
        </w:rP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Day 14 inverts the Fukushima Days 8–9 procedure. At Fukushima the conflict move-chance (CMC) was physically anchored and the dual-process parameters α/β/κ were fit; at TMI the reverse holds — α/β/κ are LOCKED at the Fukushima transfer values (1.6667 / 2.1667 / 18.407) and CMC is the single free parameter, calibrated jointly with a decision on the panic clamp because the two interact. Day 13 had shown CMC is the mobilisation calibration target (ST=0.78) but that the clamp masks it (total-evac ST 0.61→0.78 when the clamp is removed). The central question is whether TMI's information-driven threat implies a different physical CMC than Fukushima's radiological one.</w:t>
      </w:r>
    </w:p>
    <w:p>
      <w:pPr>
        <w:spacing w:after="120"/>
      </w:pPr>
      <w:r>
        <w:rPr>
          <w:b w:val="0"/>
          <w:i w:val="0"/>
          <w:sz w:val="21"/>
        </w:rPr>
        <w:t>Answer: yes — markedly lower. The misfit-minimising solution is CMC = 0.00 under the clamp DISABLED, a lower-boundary solution (misfit increases monotonically with CMC). This is the physically sensible reading: TMI mobilisation is System-2 deliberation-driven, not System-1 panic-flight, so near-zero System-1 conflict move-chance is required. Versus Fukushima's locked CMC = 0.25 the ratio is 0.00 (lower, as hypothesised).</w:t>
      </w:r>
    </w:p>
    <w:p>
      <w:pPr>
        <w:pStyle w:val="ListBullet"/>
      </w:pPr>
      <w:r>
        <w:rPr>
          <w:b/>
          <w:sz w:val="21"/>
        </w:rPr>
        <w:t xml:space="preserve">Panic clamp: </w:t>
      </w:r>
      <w:r>
        <w:rPr>
          <w:sz w:val="21"/>
        </w:rPr>
        <w:t>DISABLED for the information regime. With the clamp ON, total evac is flat across CMC (Task A) — unidentifiable; the Fukushima population-wide 0.95 floor is the wrong physics for TMI's uniform, information-driven spike.</w:t>
      </w:r>
    </w:p>
    <w:p>
      <w:pPr>
        <w:pStyle w:val="ListBullet"/>
      </w:pPr>
      <w:r>
        <w:rPr>
          <w:b/>
          <w:sz w:val="21"/>
        </w:rPr>
        <w:t xml:space="preserve">TMI CMC: </w:t>
      </w:r>
      <w:r>
        <w:rPr>
          <w:sz w:val="21"/>
        </w:rPr>
        <w:t>locked at 0.00 (clamp OFF). Lower than Fukushima 0.25 (ratio 0.00).</w:t>
      </w:r>
    </w:p>
    <w:p>
      <w:pPr>
        <w:pStyle w:val="ListBullet"/>
      </w:pPr>
      <w:r>
        <w:rPr>
          <w:b/>
          <w:sz w:val="21"/>
        </w:rPr>
        <w:t xml:space="preserve">Total evac: </w:t>
      </w:r>
      <w:r>
        <w:rPr>
          <w:sz w:val="21"/>
        </w:rPr>
        <w:t>26.5% at the locked CMC — IN the [15,30]% band (target ~21%). The Day-12/13 check 26 FLIPS to PASS.</w:t>
      </w:r>
    </w:p>
    <w:p>
      <w:pPr>
        <w:pStyle w:val="ListBullet"/>
      </w:pPr>
      <w:r>
        <w:rPr>
          <w:b/>
          <w:sz w:val="21"/>
        </w:rPr>
        <w:t xml:space="preserve">Robustness: </w:t>
      </w:r>
      <w:r>
        <w:rPr>
          <w:sz w:val="21"/>
        </w:rPr>
        <w:t>CMC MODERATE (max QoI change 17% over CMC±neighbourhood); P1 uniform P_S2 holds; κ flat.</w:t>
      </w:r>
    </w:p>
    <w:p>
      <w:pPr>
        <w:pStyle w:val="ListBullet"/>
      </w:pPr>
      <w:r>
        <w:rPr>
          <w:b/>
          <w:sz w:val="21"/>
        </w:rPr>
        <w:t xml:space="preserve">Guardrail: </w:t>
      </w:r>
      <w:r>
        <w:rPr>
          <w:sz w:val="21"/>
        </w:rPr>
        <w:t>α/β/κ UNCHANGED (locked, not retuned) — gate check 38 verifies this so the Day-16 cross-domain transfer test stays valid.</w:t>
      </w:r>
    </w:p>
    <w:p>
      <w:pPr>
        <w:spacing w:after="120"/>
      </w:pPr>
      <w:r>
        <w:rPr>
          <w:b w:val="0"/>
          <w:i/>
          <w:color w:val="555555"/>
          <w:sz w:val="21"/>
        </w:rPr>
        <w:t>Diagnostics gate: 43/44 PASS. Check 41 (total evac in band) FLIPPED to PASS — the headline validation that calibration worked; the single remaining failure is the inherited Day-12 frozen-CMC run, unchanged by design.</w:t>
      </w:r>
    </w:p>
    <w:p>
      <w:pPr>
        <w:pStyle w:val="Heading1"/>
      </w:pPr>
      <w:r>
        <w:rPr>
          <w:color w:val="1F3864"/>
        </w:rPr>
        <w:t>2. Calibration Design</w:t>
      </w:r>
    </w:p>
    <w:p>
      <w:pPr>
        <w:spacing w:after="120"/>
      </w:pPr>
      <w:r>
        <w:rPr>
          <w:b w:val="0"/>
          <w:i w:val="0"/>
          <w:sz w:val="21"/>
        </w:rPr>
        <w:t>Full-mixture (blend) mode — the regime in which α/β/κ act and CMC enters via the System-1 move chance. TMI network (OSM driving distances from Day 12); horizon t_max = T_SCHED; 5 fixed seeds averaged per grid point; α/β/κ held LOCKED throughout. conflict_movechance is applied via SimulationSettings overrides immediately after ReadFromYML().</w:t>
      </w:r>
    </w:p>
    <w:p>
      <w:pPr>
        <w:pStyle w:val="Heading2"/>
      </w:pPr>
      <w:r>
        <w:rPr>
          <w:color w:val="2E5FA3"/>
        </w:rPr>
        <w:t>2.1 CMC grid and clamp states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fill="1F3864"/>
          </w:tcPr>
          <w:p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6624"/>
            <w:shd w:fill="1F3864"/>
          </w:tcPr>
          <w:p>
            <w:r>
              <w:rPr>
                <w:b/>
                <w:color w:val="FFFFFF"/>
                <w:sz w:val="19"/>
              </w:rPr>
              <w:t>Setting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CMC range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[0.00, 0.30]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Fine resolution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[0.00, 0.12] step 0.01 (where Day-13 expects the answer)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Coarse resolution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{0.15, 0.20, 0.25, 0.30} step 0.05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Grid points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17 per clamp state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Clamp states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ON and OFF (full grid each)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Seeds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5 averaged per point</w:t>
            </w:r>
          </w:p>
        </w:tc>
      </w:tr>
    </w:tbl>
    <w:p>
      <w:pPr>
        <w:pStyle w:val="Heading2"/>
      </w:pPr>
      <w:r>
        <w:rPr>
          <w:color w:val="2E5FA3"/>
        </w:rPr>
        <w:t>2.2 Calibration QoIs and empirical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  <w:shd w:fill="1F3864"/>
          </w:tcPr>
          <w:p>
            <w:r>
              <w:rPr>
                <w:b/>
                <w:color w:val="FFFFFF"/>
                <w:sz w:val="19"/>
              </w:rPr>
              <w:t>QoI</w:t>
            </w:r>
          </w:p>
        </w:tc>
        <w:tc>
          <w:tcPr>
            <w:tcW w:type="dxa" w:w="1296"/>
            <w:shd w:fill="1F3864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Empirical target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Total evacuation rate (20-mi pop)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Primary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~21%  band [15,30]%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Evac rate by band: inner / middle / outer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Primary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0.55 / 0.50 / 0.16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Fraction of inner-zone departed by t=10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Check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&gt;0.77</w:t>
            </w:r>
          </w:p>
        </w:tc>
      </w:tr>
      <w:tr>
        <w:tc>
          <w:tcPr>
            <w:tcW w:type="dxa" w:w="4752"/>
          </w:tcPr>
          <w:p>
            <w:r>
              <w:rPr>
                <w:sz w:val="19"/>
              </w:rPr>
              <w:t>Zeigler timing gap median_dep(outer)−(inner)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Directional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&gt;0 (outer leaves later)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Misfit = weighted sum-of-squares on QoIs 1–2 (primary), reported alongside QoIs 3–4. The total-evac QoI uses the established Day-12 definition exactly — evac_frac_town × town_pop(258,000) / POP_20MI(663,500) — so that check 41 is the precise flip of check 26 (the model represents ~258k of the 20-mi region's 663.5k residents as mobile town agents).</w:t>
      </w:r>
    </w:p>
    <w:p>
      <w:pPr>
        <w:pStyle w:val="Heading1"/>
      </w:pPr>
      <w:r>
        <w:rPr>
          <w:color w:val="1F3864"/>
        </w:rPr>
        <w:t>3. Clamp Diagnostic (Task A)</w:t>
      </w:r>
    </w:p>
    <w:p>
      <w:pPr>
        <w:spacing w:after="120"/>
      </w:pPr>
      <w:r>
        <w:rPr>
          <w:b w:val="0"/>
          <w:i w:val="0"/>
          <w:sz w:val="21"/>
        </w:rPr>
        <w:t>Before calibrating, the clamp problem is demonstrated directly: a CMC sweep with the clamp ON shows total mobilisation is flat — essentially everyone moves once conflict spikes at t=10, irrespective of CMC.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1F3864"/>
          </w:tcPr>
          <w:p>
            <w:r>
              <w:rPr>
                <w:b/>
                <w:color w:val="FFFFFF"/>
                <w:sz w:val="19"/>
              </w:rPr>
              <w:t>CMC</w:t>
            </w:r>
          </w:p>
        </w:tc>
        <w:tc>
          <w:tcPr>
            <w:tcW w:type="dxa" w:w="3456"/>
            <w:shd w:fill="1F3864"/>
          </w:tcPr>
          <w:p>
            <w:r>
              <w:rPr>
                <w:b/>
                <w:color w:val="FFFFFF"/>
                <w:sz w:val="19"/>
              </w:rPr>
              <w:t>Within-20mi evac (clamp ON)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  <w:sz w:val="19"/>
              </w:rPr>
              <w:t>evac inner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  <w:sz w:val="19"/>
              </w:rPr>
              <w:t>evac outer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93.2%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0.86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0.92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0.05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94.4%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0.84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0.94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0.10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94.9%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0.87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0.94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0.20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96.5%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0.96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0.30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97.8%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0.98</w:t>
            </w:r>
          </w:p>
        </w:tc>
      </w:tr>
    </w:tbl>
    <w:p>
      <w:pPr>
        <w:spacing w:after="120"/>
      </w:pPr>
      <w:r>
        <w:rPr>
          <w:b/>
          <w:i w:val="0"/>
          <w:color w:val="B02A2A"/>
          <w:sz w:val="21"/>
        </w:rPr>
        <w:t>CMC unidentifiable on evac rate under clamp ON: CONFIRMED (within-20mi evac span only 4.6 pts across the full CMC range).</w:t>
      </w:r>
    </w:p>
    <w:p>
      <w:pPr>
        <w:pStyle w:val="Heading1"/>
      </w:pPr>
      <w:r>
        <w:rPr>
          <w:color w:val="1F3864"/>
        </w:rPr>
        <w:t>4. Stage-1 CMC Calibration Grid (Task B)</w:t>
      </w:r>
    </w:p>
    <w:p>
      <w:pPr>
        <w:spacing w:after="120"/>
      </w:pPr>
      <w:r>
        <w:rPr>
          <w:b w:val="0"/>
          <w:i w:val="0"/>
          <w:sz w:val="21"/>
        </w:rPr>
        <w:t>The full grid was run under both clamp states. For each state the CMC minimising misfit is reported; under clamp OFF the misfit increases monotonically with CMC, placing the optimum at the lower boundary.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1F3864"/>
          </w:tcPr>
          <w:p>
            <w:r>
              <w:rPr>
                <w:b/>
                <w:color w:val="FFFFFF"/>
                <w:sz w:val="19"/>
              </w:rPr>
              <w:t>Clamp</w:t>
            </w:r>
          </w:p>
        </w:tc>
        <w:tc>
          <w:tcPr>
            <w:tcW w:type="dxa" w:w="1584"/>
            <w:shd w:fill="1F3864"/>
          </w:tcPr>
          <w:p>
            <w:r>
              <w:rPr>
                <w:b/>
                <w:color w:val="FFFFFF"/>
                <w:sz w:val="19"/>
              </w:rPr>
              <w:t>Best-fit CMC</w:t>
            </w:r>
          </w:p>
        </w:tc>
        <w:tc>
          <w:tcPr>
            <w:tcW w:type="dxa" w:w="1296"/>
            <w:shd w:fill="1F3864"/>
          </w:tcPr>
          <w:p>
            <w:r>
              <w:rPr>
                <w:b/>
                <w:color w:val="FFFFFF"/>
                <w:sz w:val="19"/>
              </w:rPr>
              <w:t>Misfit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Total evac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inner / mid / outer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OFF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0.228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26.5%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0.39 / 0.50 / 0.60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ON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0.843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36.2%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0.86 / 0.89 / 0.92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Clamp OFF gives the far lower misfit (a third of the clamp-ON value) and an in-band total evac; clamp ON saturates the zone rates near unity. Best-fit CMC is 0.00 under both states, but only clamp OFF is identifiable and in band.</w:t>
      </w:r>
    </w:p>
    <w:p>
      <w:pPr>
        <w:pStyle w:val="Heading1"/>
      </w:pPr>
      <w:r>
        <w:rPr>
          <w:color w:val="1F3864"/>
        </w:rPr>
        <w:t>5. The Clamp Decision (Task 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1F3864"/>
          </w:tcPr>
          <w:p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592"/>
            <w:shd w:fill="1F3864"/>
          </w:tcPr>
          <w:p>
            <w:r>
              <w:rPr>
                <w:b/>
                <w:color w:val="FFFFFF"/>
                <w:sz w:val="19"/>
              </w:rPr>
              <w:t>Clamp ON</w:t>
            </w:r>
          </w:p>
        </w:tc>
        <w:tc>
          <w:tcPr>
            <w:tcW w:type="dxa" w:w="2592"/>
            <w:shd w:fill="1F3864"/>
          </w:tcPr>
          <w:p>
            <w:r>
              <w:rPr>
                <w:b/>
                <w:color w:val="FFFFFF"/>
                <w:sz w:val="19"/>
              </w:rPr>
              <w:t>Clamp OFF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Identifiability (evac sensitive to CMC?)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No (saturated)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Best-fit quality (in-band total evac?)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No (~36% scaled, saturated)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Yes (26.5%, in band)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Zeigler timing differential emerges?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No (saturated timing)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Partial (uniform spike)</w:t>
            </w:r>
          </w:p>
        </w:tc>
      </w:tr>
    </w:tbl>
    <w:p>
      <w:pPr>
        <w:spacing w:after="120"/>
      </w:pPr>
      <w:r>
        <w:rPr>
          <w:b/>
          <w:i w:val="0"/>
          <w:sz w:val="21"/>
        </w:rPr>
        <w:t>Verdict: DISABLE the panic clamp for the information regime. The decision is regime-justified, not fit-chasing: the clamp encodes near-certain flight under a LOCALISED SPATIAL hazard spike (Fukushima's inner zone). TMI's threat is UNIFORM and information-driven, so a population-wide movechance floor is physically inappropriate and it fires everywhere. A threshold retune cannot help here: with no spatial conflict gradient to key off, any level-based threshold fires everywhere or nowhere. The misfit numbers (Section 4) confirm the physical argument.</w:t>
      </w:r>
    </w:p>
    <w:p>
      <w:pPr>
        <w:spacing w:after="120"/>
      </w:pPr>
      <w:r>
        <w:rPr>
          <w:b w:val="0"/>
          <w:i/>
          <w:color w:val="555555"/>
          <w:sz w:val="19"/>
        </w:rPr>
        <w:t>For the record (not implemented today): the cleaner long-term fix is a conflict-dependent CMC so flight-under-extreme-threat emerges from System-1 itself rather than from an override — flagged for the theory paper / future work.</w:t>
      </w:r>
    </w:p>
    <w:p>
      <w:pPr>
        <w:pStyle w:val="Heading1"/>
      </w:pPr>
      <w:r>
        <w:rPr>
          <w:color w:val="1F3864"/>
        </w:rPr>
        <w:t>6. Locked TMI CMC (Task 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F3864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320"/>
            <w:shd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TMI CMC (calibrated)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LOCKED (clamp OFF)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Fukushima CMC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reference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Ratio TMI / Fukushima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lower than Fukushima: YES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α (alpha)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1.6667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LOCKED (not retuned)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β (beta)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2.1667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LOCKED (not retuned)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κ (kappa)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18.407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LOCKED (not retuned)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Empirical cross-check: CMC ≈ 0 is consistent with TMI's observed voluntary / partial departure — mobilisation driven by official information and deliberation (System 2), not by an automatic conflict-triggered flight response (System 1). The lock is a lower-boundary solution and is reported as such.</w:t>
      </w:r>
    </w:p>
    <w:p>
      <w:pPr>
        <w:pStyle w:val="Heading1"/>
      </w:pPr>
      <w:r>
        <w:rPr>
          <w:color w:val="1F3864"/>
        </w:rPr>
        <w:t>7. Match at the Locked CMC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QoI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592"/>
            <w:shd w:fill="1F3864"/>
          </w:tcPr>
          <w:p>
            <w:r>
              <w:rPr>
                <w:b/>
                <w:color w:val="FFFFFF"/>
                <w:sz w:val="19"/>
              </w:rPr>
              <w:t>Empirical</w:t>
            </w:r>
          </w:p>
        </w:tc>
        <w:tc>
          <w:tcPr>
            <w:tcW w:type="dxa" w:w="2016"/>
            <w:shd w:fill="1F3864"/>
          </w:tcPr>
          <w:p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Total evac (20-mi pop)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26.5%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~21% (band 15–30%)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Evac inner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0.39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0.55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Evac middle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0.50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match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Evac outer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0.60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0.16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Inner departed by t=10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70%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&gt;77%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slightly below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Zeigler timing gap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-0.7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&gt;0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wrong sign</w:t>
            </w:r>
          </w:p>
        </w:tc>
      </w:tr>
    </w:tbl>
    <w:p>
      <w:pPr>
        <w:spacing w:after="120"/>
      </w:pPr>
      <w:r>
        <w:rPr>
          <w:b/>
          <w:i w:val="0"/>
          <w:color w:val="2E7D32"/>
          <w:sz w:val="21"/>
        </w:rPr>
        <w:t>HEADLINE: total evac is IN BAND — check 26 flips to PASS. Calibration succeeds on its primary driver.</w:t>
      </w:r>
    </w:p>
    <w:p>
      <w:pPr>
        <w:spacing w:after="120"/>
      </w:pPr>
      <w:r>
        <w:rPr>
          <w:b w:val="0"/>
          <w:i/>
          <w:color w:val="555555"/>
          <w:sz w:val="19"/>
        </w:rPr>
        <w:t>Honest caveat: the zone gradient is INVERTED (inner &lt; middle &lt; outer vs the empirical 0.55 &gt; 0.50 &gt; 0.16). The big outer towns (York, Lancaster) sit ~1 hop / ~2.5 km from a camp, so the System-2 gradient toward the adjacent zero-conflict camp pushes outer mobilisation toward 1. CMC cannot fix this (it is topology / System-2 driven, and α/β/κ are locked). The total-evac band check passes; the zone-level fit does not — flagged for the Day-15 topology fix and the theory paper (conflict-dependent CMC). The uniform spike likewise gives all zones near-identical timing, so the timing-based Zeigler gap does not emerge with the expected sign this round.</w:t>
      </w:r>
    </w:p>
    <w:p>
      <w:pPr>
        <w:pStyle w:val="Heading1"/>
      </w:pPr>
      <w:r>
        <w:rPr>
          <w:color w:val="1F3864"/>
        </w:rPr>
        <w:t>8. CMC Robustness (Task E)</w:t>
      </w:r>
    </w:p>
    <w:p>
      <w:pPr>
        <w:spacing w:after="120"/>
      </w:pPr>
      <w:r>
        <w:rPr>
          <w:b w:val="0"/>
          <w:i w:val="0"/>
          <w:sz w:val="21"/>
        </w:rPr>
        <w:t>At the locked CMC plus a one-sided neighbourhood [0.0, 0.025, 0.05], with α/β/κ locked and the clamp OFF, the primary QoI stability gives a verdict of MODERATE (same scheme as Fukushima Day 9, where CMC was MODERATE).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F3864"/>
          </w:tcPr>
          <w:p>
            <w:r>
              <w:rPr>
                <w:b/>
                <w:color w:val="FFFFFF"/>
                <w:sz w:val="19"/>
              </w:rPr>
              <w:t>QoI</w:t>
            </w:r>
          </w:p>
        </w:tc>
        <w:tc>
          <w:tcPr>
            <w:tcW w:type="dxa" w:w="4896"/>
            <w:shd w:fill="1F3864"/>
          </w:tcPr>
          <w:p>
            <w:r>
              <w:rPr>
                <w:b/>
                <w:color w:val="FFFFFF"/>
                <w:sz w:val="19"/>
              </w:rPr>
              <w:t>Max relative change over neighbourhood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Total evac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8.0%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Evac inner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10.0%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Evac middle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17.1%  (driver of the verdict)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Evac outer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9.5%</w:t>
            </w:r>
          </w:p>
        </w:tc>
      </w:tr>
    </w:tbl>
    <w:p>
      <w:pPr>
        <w:pStyle w:val="ListBullet"/>
      </w:pPr>
      <w:r>
        <w:rPr>
          <w:b/>
          <w:sz w:val="21"/>
        </w:rPr>
        <w:t xml:space="preserve">CMC: </w:t>
      </w:r>
      <w:r>
        <w:rPr>
          <w:sz w:val="21"/>
        </w:rPr>
        <w:t>verdict = MODERATE (max 17.1%; ROBUST&lt;15% MODERATE&lt;30% else FRAGILE).</w:t>
      </w:r>
    </w:p>
    <w:p>
      <w:pPr>
        <w:pStyle w:val="ListBullet"/>
      </w:pPr>
      <w:r>
        <w:rPr>
          <w:b/>
          <w:sz w:val="21"/>
        </w:rPr>
        <w:t xml:space="preserve">P_S2 dynamics: </w:t>
      </w:r>
      <w:r>
        <w:rPr>
          <w:sz w:val="21"/>
        </w:rPr>
        <w:t>P1 uniform P_S2 still holds (zone P_S2 spread 0.0018 &lt; 0.05); peak mean P_S2 = 0.42 (plausible).</w:t>
      </w:r>
    </w:p>
    <w:p>
      <w:pPr>
        <w:pStyle w:val="ListBullet"/>
      </w:pPr>
      <w:r>
        <w:rPr>
          <w:b/>
          <w:sz w:val="21"/>
        </w:rPr>
        <w:t xml:space="preserve">κ: </w:t>
      </w:r>
      <w:r>
        <w:rPr>
          <w:sz w:val="21"/>
        </w:rPr>
        <w:t>flat / irrelevant at TMI — total evac span 0.007 over κ∈[10.0, 18.407, 30.0] (consistent with Day-13 ST=0.01); not retuned.</w:t>
      </w:r>
    </w:p>
    <w:p>
      <w:pPr>
        <w:pStyle w:val="Heading1"/>
      </w:pPr>
      <w:r>
        <w:rPr>
          <w:color w:val="1F3864"/>
        </w:rPr>
        <w:t>9. Camp / Path-Metric Fix (Task F)</w:t>
      </w:r>
    </w:p>
    <w:p>
      <w:pPr>
        <w:spacing w:after="120"/>
      </w:pPr>
      <w:r>
        <w:rPr>
          <w:b w:val="0"/>
          <w:i w:val="0"/>
          <w:sz w:val="21"/>
        </w:rPr>
        <w:t>The distance-based Zeigler signature (close = shorter travel, far = longer travel) was unreadable because camp adjacency dominates path-length-at-arrival. The diagnosis and the applied fix: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1F3864"/>
          </w:tcPr>
          <w:p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1152"/>
            <w:shd w:fill="1F3864"/>
          </w:tcPr>
          <w:p>
            <w:r>
              <w:rPr>
                <w:b/>
                <w:color w:val="FFFFFF"/>
                <w:sz w:val="19"/>
              </w:rPr>
              <w:t>Arrivals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  <w:sz w:val="19"/>
              </w:rPr>
              <w:t>Nearest camp (km)</w:t>
            </w:r>
          </w:p>
        </w:tc>
        <w:tc>
          <w:tcPr>
            <w:tcW w:type="dxa" w:w="864"/>
            <w:shd w:fill="1F3864"/>
          </w:tcPr>
          <w:p>
            <w:r>
              <w:rPr>
                <w:b/>
                <w:color w:val="FFFFFF"/>
                <w:sz w:val="19"/>
              </w:rPr>
              <w:t>Hops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  <w:color w:val="FFFFFF"/>
                <w:sz w:val="19"/>
              </w:rPr>
              <w:t>Confounded path (km)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  <w:color w:val="FFFFFF"/>
                <w:sz w:val="19"/>
              </w:rPr>
              <w:t>FIXED dest–plant (mi)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inner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92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25.8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47.8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11.9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middle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1183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18.9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17.5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11.9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outer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2136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22.8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14.2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>Fix applied: Option A (metric). Path-length-at-arrival (network distance to the variably-adjacent camp) is replaced by the straight-line displacement of the FINAL destination from the PLANT (the fixed hazard source). The diagnosis showed the topology is unrepresentative — outer towns are ~1 hop / ~2.5 km from a camp while inner towns are 24–27 km — so a source-referenced metric is preferred over mutating the shared TMI network (Days 11–13 depend on it).</w:t>
      </w:r>
    </w:p>
    <w:p>
      <w:pPr>
        <w:spacing w:after="120"/>
      </w:pPr>
      <w:r>
        <w:rPr>
          <w:b/>
          <w:i w:val="0"/>
          <w:color w:val="2E7D32"/>
          <w:sz w:val="21"/>
        </w:rPr>
        <w:t>Result: the Zeigler distance signature inner &lt; outer now reads (inner 11.9 &lt; outer 14.2 mi); the confounded network path was inverted (inner 47.8 &gt; outer 2.5 km). This is a Day-15 validation precondition, not a calibration target, and does not change the Task-B/E evac results. A full Option-B topology fix (symmetric / distant camp placement matching the real 85–111 mi evacuation geography) is recommended for Day 15+ and would require re-running calibration.</w:t>
      </w:r>
    </w:p>
    <w:p>
      <w:pPr>
        <w:pStyle w:val="Heading1"/>
      </w:pPr>
      <w:r>
        <w:rPr>
          <w:color w:val="1F3864"/>
        </w:rPr>
        <w:t>10. Figure — CMC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01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calib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Left: CMC misfit curve, clamp ON vs OFF, with the locked TMI CMC and the Fukushima CMC=0.25 marked for contrast — clamp OFF is identifiable and far lower-misfit. Right: zone evacuation rates at the locked CMC vs the empirical targets; total evac (27%) is annotated IN BAND, while the zone gradient is visibly inverted (the camp-adjacency confound).</w:t>
      </w:r>
    </w:p>
    <w:p>
      <w:pPr>
        <w:pStyle w:val="Heading1"/>
      </w:pPr>
      <w:r>
        <w:rPr>
          <w:color w:val="1F3864"/>
        </w:rPr>
        <w:t>11. Diagnostics Gate</w:t>
      </w:r>
    </w:p>
    <w:p>
      <w:pPr>
        <w:spacing w:after="120"/>
      </w:pPr>
      <w:r>
        <w:rPr>
          <w:b/>
          <w:i w:val="0"/>
          <w:sz w:val="21"/>
        </w:rPr>
        <w:t>Verdict: 43/44 PASS.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fill="1F3864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008"/>
            <w:shd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shd w:fill="1F3864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38 alpha/beta/kappa unchanged (locked, not retuned)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locked=(1.6667, 2.1667, 18.407) expected=(1.6667, 2.1667, 18.407); status=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39 CMC calibrated &amp; locked (single TMI CMC value)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tmi_cmc_locked=0.0 clamp=OFF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40 clamp decision documented (verdict + justification)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decision='disable'; regime justification present=True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41 total evac in band [15,30]% at locked CMC+clamp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total_evac=0.265 in (0.15, 0.3) -- check 26 FLIPPED to PASS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42 robustness verdict computed (ROBUST/MODERATE/FRAGILE)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verdict=MODERATE (max_rel=0.171); P1 uniform P_S2 holds=True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43 path-metric fix applied &amp; documented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fix=Option A (plant-referenced dest distance); signature inner&lt;outer reads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44 calibration figure generated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day14_calibration.png</w:t>
            </w:r>
          </w:p>
        </w:tc>
      </w:tr>
    </w:tbl>
    <w:p>
      <w:pPr>
        <w:spacing w:after="120"/>
      </w:pPr>
      <w:r>
        <w:rPr>
          <w:b/>
          <w:i w:val="0"/>
          <w:color w:val="2E7D32"/>
          <w:sz w:val="20"/>
        </w:rPr>
        <w:t>Check-26 flip (headline): Headline re-test (check 41). It FLIPPED to PASS: total evac 0.265 is in [0.15,0.30] at the locked CMC + clamp OFF (Day-12 check 26 was FAIL at the frozen Fukushima CMC). See day14_clamp_decision.txt.</w:t>
      </w:r>
    </w:p>
    <w:p>
      <w:pPr>
        <w:spacing w:after="120"/>
      </w:pPr>
      <w:r>
        <w:rPr>
          <w:b w:val="0"/>
          <w:i/>
          <w:color w:val="555555"/>
          <w:sz w:val="19"/>
        </w:rPr>
        <w:t>Inherited expected failure (by design, unchanged today): 26 total evac in [15,30]: frozen Fukushima CMC over-mobilises TMI (model evac 37.7%); expected cross-domain finding, addressed in Day 14 recalibration / Day 16 comparison.</w:t>
      </w:r>
    </w:p>
    <w:p>
      <w:pPr>
        <w:pStyle w:val="Heading1"/>
      </w:pPr>
      <w:r>
        <w:rPr>
          <w:color w:val="1F3864"/>
        </w:rPr>
        <w:t>12. Implications for Days 15–16</w:t>
      </w:r>
    </w:p>
    <w:p>
      <w:pPr>
        <w:pStyle w:val="ListBullet"/>
      </w:pPr>
      <w:r>
        <w:rPr>
          <w:b/>
          <w:sz w:val="21"/>
        </w:rPr>
        <w:t xml:space="preserve">Day 15 (validation): </w:t>
      </w:r>
      <w:r>
        <w:rPr>
          <w:sz w:val="21"/>
        </w:rPr>
        <w:t>shadow-evac re-test, return-mechanism build, and the post-fix Zeigler distance read; the inverted zone gradient (camp adjacency) needs the Option-B topology fix before zone-level validation.</w:t>
      </w:r>
    </w:p>
    <w:p>
      <w:pPr>
        <w:pStyle w:val="ListBullet"/>
      </w:pPr>
      <w:r>
        <w:rPr>
          <w:b/>
          <w:sz w:val="21"/>
        </w:rPr>
        <w:t xml:space="preserve">Day 16 (cross-domain): </w:t>
      </w:r>
      <w:r>
        <w:rPr>
          <w:sz w:val="21"/>
        </w:rPr>
        <w:t>locked TMI CMC = 0.00 vs Fukushima 0.25 is the context-specific piece; α/β are to be compared as the transfer hypothesis (kept locked precisely so this test is valid).</w:t>
      </w:r>
    </w:p>
    <w:p>
      <w:pPr>
        <w:pStyle w:val="ListBullet"/>
      </w:pPr>
      <w:r>
        <w:rPr>
          <w:b/>
          <w:sz w:val="21"/>
        </w:rPr>
        <w:t xml:space="preserve">Theory paper / future work: </w:t>
      </w:r>
      <w:r>
        <w:rPr>
          <w:sz w:val="21"/>
        </w:rPr>
        <w:t>a conflict-dependent CMC so flight-under-extreme-threat emerges from System-1 rather than from a clamp override — would also address the inverted zone gradient at source.</w:t>
      </w:r>
    </w:p>
    <w:p>
      <w:pPr>
        <w:pStyle w:val="Heading2"/>
      </w:pPr>
      <w:r>
        <w:rPr>
          <w:color w:val="2E5FA3"/>
        </w:rPr>
        <w:t>Appendix — Artifact Manifest</w:t>
      </w:r>
    </w:p>
    <w:p>
      <w:pPr>
        <w:spacing w:after="20"/>
      </w:pPr>
      <w:r>
        <w:rPr>
          <w:b w:val="0"/>
          <w:i w:val="0"/>
          <w:sz w:val="18"/>
        </w:rPr>
        <w:t>scripts/run_tmi_day14_clamp_diagnostic.py</w:t>
      </w:r>
    </w:p>
    <w:p>
      <w:pPr>
        <w:spacing w:after="20"/>
      </w:pPr>
      <w:r>
        <w:rPr>
          <w:b w:val="0"/>
          <w:i w:val="0"/>
          <w:sz w:val="18"/>
        </w:rPr>
        <w:t>scripts/run_tmi_day14_calibration.py</w:t>
      </w:r>
    </w:p>
    <w:p>
      <w:pPr>
        <w:spacing w:after="20"/>
      </w:pPr>
      <w:r>
        <w:rPr>
          <w:b w:val="0"/>
          <w:i w:val="0"/>
          <w:sz w:val="18"/>
        </w:rPr>
        <w:t>scripts/decide_tmi_day14_clamp.py</w:t>
      </w:r>
    </w:p>
    <w:p>
      <w:pPr>
        <w:spacing w:after="20"/>
      </w:pPr>
      <w:r>
        <w:rPr>
          <w:b w:val="0"/>
          <w:i w:val="0"/>
          <w:sz w:val="18"/>
        </w:rPr>
        <w:t>scripts/run_tmi_day14_robustness.py</w:t>
      </w:r>
    </w:p>
    <w:p>
      <w:pPr>
        <w:spacing w:after="20"/>
      </w:pPr>
      <w:r>
        <w:rPr>
          <w:b w:val="0"/>
          <w:i w:val="0"/>
          <w:sz w:val="18"/>
        </w:rPr>
        <w:t>scripts/run_tmi_day14_pathfix.py</w:t>
      </w:r>
    </w:p>
    <w:p>
      <w:pPr>
        <w:spacing w:after="20"/>
      </w:pPr>
      <w:r>
        <w:rPr>
          <w:b w:val="0"/>
          <w:i w:val="0"/>
          <w:sz w:val="18"/>
        </w:rPr>
        <w:t>scripts/plot_tmi_day14_calibration.py</w:t>
      </w:r>
    </w:p>
    <w:p>
      <w:pPr>
        <w:spacing w:after="20"/>
      </w:pPr>
      <w:r>
        <w:rPr>
          <w:b w:val="0"/>
          <w:i w:val="0"/>
          <w:sz w:val="18"/>
        </w:rPr>
        <w:t>scripts/run_diagnostics_gate_day14.py</w:t>
      </w:r>
    </w:p>
    <w:p>
      <w:pPr>
        <w:spacing w:after="20"/>
      </w:pPr>
      <w:r>
        <w:rPr>
          <w:b w:val="0"/>
          <w:i w:val="0"/>
          <w:sz w:val="18"/>
        </w:rPr>
        <w:t>results/tmi/day14_preflight.txt</w:t>
      </w:r>
    </w:p>
    <w:p>
      <w:pPr>
        <w:spacing w:after="20"/>
      </w:pPr>
      <w:r>
        <w:rPr>
          <w:b w:val="0"/>
          <w:i w:val="0"/>
          <w:sz w:val="18"/>
        </w:rPr>
        <w:t>results/tmi/day14_clamp_diagnostic.csv</w:t>
      </w:r>
    </w:p>
    <w:p>
      <w:pPr>
        <w:spacing w:after="20"/>
      </w:pPr>
      <w:r>
        <w:rPr>
          <w:b w:val="0"/>
          <w:i w:val="0"/>
          <w:sz w:val="18"/>
        </w:rPr>
        <w:t>results/tmi/day14_calibration_grid.csv</w:t>
      </w:r>
    </w:p>
    <w:p>
      <w:pPr>
        <w:spacing w:after="20"/>
      </w:pPr>
      <w:r>
        <w:rPr>
          <w:b w:val="0"/>
          <w:i w:val="0"/>
          <w:sz w:val="18"/>
        </w:rPr>
        <w:t>results/tmi/day14_clamp_decision.txt</w:t>
      </w:r>
    </w:p>
    <w:p>
      <w:pPr>
        <w:spacing w:after="20"/>
      </w:pPr>
      <w:r>
        <w:rPr>
          <w:b w:val="0"/>
          <w:i w:val="0"/>
          <w:sz w:val="18"/>
        </w:rPr>
        <w:t>results/tmi/day14_locked_params.json</w:t>
      </w:r>
    </w:p>
    <w:p>
      <w:pPr>
        <w:spacing w:after="20"/>
      </w:pPr>
      <w:r>
        <w:rPr>
          <w:b w:val="0"/>
          <w:i w:val="0"/>
          <w:sz w:val="18"/>
        </w:rPr>
        <w:t>results/tmi/day14_robustness.csv</w:t>
      </w:r>
    </w:p>
    <w:p>
      <w:pPr>
        <w:spacing w:after="20"/>
      </w:pPr>
      <w:r>
        <w:rPr>
          <w:b w:val="0"/>
          <w:i w:val="0"/>
          <w:sz w:val="18"/>
        </w:rPr>
        <w:t>results/tmi/day14_robustness_verdict.json</w:t>
      </w:r>
    </w:p>
    <w:p>
      <w:pPr>
        <w:spacing w:after="20"/>
      </w:pPr>
      <w:r>
        <w:rPr>
          <w:b w:val="0"/>
          <w:i w:val="0"/>
          <w:sz w:val="18"/>
        </w:rPr>
        <w:t>results/tmi/day14_zeigler_pathfix.csv</w:t>
      </w:r>
    </w:p>
    <w:p>
      <w:pPr>
        <w:spacing w:after="20"/>
      </w:pPr>
      <w:r>
        <w:rPr>
          <w:b w:val="0"/>
          <w:i w:val="0"/>
          <w:sz w:val="18"/>
        </w:rPr>
        <w:t>results/tmi/diagnostics_gate_day14.json</w:t>
      </w:r>
    </w:p>
    <w:p>
      <w:pPr>
        <w:spacing w:after="20"/>
      </w:pPr>
      <w:r>
        <w:rPr>
          <w:b w:val="0"/>
          <w:i w:val="0"/>
          <w:sz w:val="18"/>
        </w:rPr>
        <w:t>figures/tmi/day14_calibration.png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