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3125D" w14:textId="77777777" w:rsidR="00C87369" w:rsidRPr="00E813B1" w:rsidRDefault="00C87369" w:rsidP="00C87369">
      <w:pPr>
        <w:rPr>
          <w:rFonts w:ascii="Times New Roman" w:hAnsi="Times New Roman" w:cs="Times New Roman"/>
          <w:b/>
        </w:rPr>
      </w:pPr>
      <w:r w:rsidRPr="00E813B1">
        <w:rPr>
          <w:rFonts w:ascii="Times New Roman" w:hAnsi="Times New Roman" w:cs="Times New Roman"/>
          <w:b/>
          <w:sz w:val="32"/>
        </w:rPr>
        <w:t xml:space="preserve">Manuscript </w:t>
      </w:r>
      <w:r>
        <w:rPr>
          <w:rFonts w:ascii="Times New Roman" w:hAnsi="Times New Roman" w:cs="Times New Roman"/>
          <w:b/>
          <w:sz w:val="32"/>
        </w:rPr>
        <w:t>1</w:t>
      </w:r>
      <w:r w:rsidRPr="00E813B1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 xml:space="preserve">Expert elicitation of salamanders </w:t>
      </w:r>
    </w:p>
    <w:p w14:paraId="24644218" w14:textId="77777777" w:rsidR="00C87369" w:rsidRDefault="00C87369" w:rsidP="00C87369">
      <w:pPr>
        <w:rPr>
          <w:rFonts w:ascii="Times New Roman" w:hAnsi="Times New Roman" w:cs="Times New Roman"/>
          <w:b/>
        </w:rPr>
      </w:pPr>
    </w:p>
    <w:p w14:paraId="3548510F" w14:textId="77777777" w:rsidR="00C87369" w:rsidRDefault="00C87369" w:rsidP="00C873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Title: </w:t>
      </w:r>
    </w:p>
    <w:p w14:paraId="325A8B16" w14:textId="77777777" w:rsidR="00C87369" w:rsidRPr="00E768E9" w:rsidRDefault="00C87369" w:rsidP="00C87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salamander occurrence when data is lacking using expert opinion</w:t>
      </w:r>
    </w:p>
    <w:p w14:paraId="56968E47" w14:textId="77777777" w:rsidR="00C87369" w:rsidRPr="00E813B1" w:rsidRDefault="00C87369" w:rsidP="00C87369">
      <w:pPr>
        <w:rPr>
          <w:rFonts w:ascii="Times New Roman" w:hAnsi="Times New Roman" w:cs="Times New Roman"/>
          <w:b/>
        </w:rPr>
      </w:pPr>
    </w:p>
    <w:p w14:paraId="68DD17FA" w14:textId="77777777" w:rsidR="00C87369" w:rsidRPr="00E813B1" w:rsidRDefault="00C87369" w:rsidP="00C87369">
      <w:pPr>
        <w:rPr>
          <w:rFonts w:ascii="Times New Roman" w:hAnsi="Times New Roman" w:cs="Times New Roman"/>
          <w:b/>
        </w:rPr>
      </w:pPr>
      <w:r w:rsidRPr="00E813B1">
        <w:rPr>
          <w:rFonts w:ascii="Times New Roman" w:hAnsi="Times New Roman" w:cs="Times New Roman"/>
          <w:b/>
        </w:rPr>
        <w:t>Journal:</w:t>
      </w:r>
    </w:p>
    <w:p w14:paraId="04EDB807" w14:textId="77777777" w:rsidR="00C87369" w:rsidRPr="00E813B1" w:rsidRDefault="00C87369" w:rsidP="00C87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3B1">
        <w:rPr>
          <w:rFonts w:ascii="Times New Roman" w:hAnsi="Times New Roman" w:cs="Times New Roman"/>
        </w:rPr>
        <w:t>Conservation evidence (Making amphibian conservation more effective; Meredith et al. 2016)</w:t>
      </w:r>
    </w:p>
    <w:p w14:paraId="2EB98EBB" w14:textId="77777777" w:rsidR="00C87369" w:rsidRPr="00E813B1" w:rsidRDefault="00C87369" w:rsidP="00C87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3B1">
        <w:rPr>
          <w:rFonts w:ascii="Times New Roman" w:hAnsi="Times New Roman" w:cs="Times New Roman"/>
        </w:rPr>
        <w:t>Conservation biology (martin et al. 2012, Addison et al. 2015)</w:t>
      </w:r>
    </w:p>
    <w:p w14:paraId="1FA55987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</w:p>
    <w:p w14:paraId="25684F5C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E813B1">
        <w:rPr>
          <w:rFonts w:ascii="Times New Roman" w:hAnsi="Times New Roman"/>
          <w:b/>
          <w:sz w:val="24"/>
          <w:szCs w:val="24"/>
        </w:rPr>
        <w:t>Introduction:</w:t>
      </w:r>
    </w:p>
    <w:p w14:paraId="2DB9428E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Expert knowledge is widely used in conservation b/c of the complexity of problems, relative lack of empirical data and imminent nature of decisions.</w:t>
      </w:r>
    </w:p>
    <w:p w14:paraId="373B1C06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This knowledge typically takes the form of mental models without explicit consideration of biases (i.e., experts are called on to express opinions in a qualitative and non-transparent way). In fields where there is extensive expert knowledge, yet little published data, the use of expert information as priors for ecological models is a cost-effective way of making more confident predictions about the effect of management on biodiversity.</w:t>
      </w:r>
    </w:p>
    <w:p w14:paraId="71AEF53B" w14:textId="77777777" w:rsidR="00C87369" w:rsidRPr="00E813B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6002DD94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Increasing use of expert elicitation methods to help inform conservation decisions (identify important hypothesis and parameter uncertainties to resolve). Probabilistic framework that accounts for uncertainty (confidence) of multiple experts.</w:t>
      </w:r>
    </w:p>
    <w:p w14:paraId="68FB6E6D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Examples of expert elicitation used to parameterize models that inform management decisions (from Martin et al. 2012):</w:t>
      </w:r>
    </w:p>
    <w:p w14:paraId="10C82883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Johnson et al. 2010 – use to parameterize Bayesian network to evaluate population viability of cheetahs (X experts)</w:t>
      </w:r>
    </w:p>
    <w:p w14:paraId="69C6E60E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Runge et al. 2011 – use to identify alternative hypotheses and uncertainties affecting mgt of whooping cranes (X experts)</w:t>
      </w:r>
    </w:p>
    <w:p w14:paraId="0E749755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O’Neill et al. 2008 – used to quantify trends and range of effects of climate change on polar bears (10 experts)</w:t>
      </w:r>
    </w:p>
    <w:p w14:paraId="29DE4F1A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Martin et al. 2005  and Kuhnert et al. 2005 – used to evaluate effects of livestock grazing intensity on austrialian woodland birds in Bayesian GLM (20 experts) </w:t>
      </w:r>
    </w:p>
    <w:p w14:paraId="508D6D43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Smith et al. 2011 – Bayesian networks</w:t>
      </w:r>
    </w:p>
    <w:p w14:paraId="5CA594DB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Examples from Charney 2012:</w:t>
      </w:r>
    </w:p>
    <w:p w14:paraId="574C7684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Expert opinion is increasingly used to parameterize models in the absence of data and as Bayesian priors to supplement sparse data (Yamada et al., 2003; Martin et al., 2005; Denham and Mengersen, 2007; Griffiths et al., 2007; Mac Nally, 2007; O’Neill et al., 2008; Low Choy et al., 2009; O’Leary et al., 2009; Murray et al., 2009; James et al., 2010). Yet, when lacking data, expert opin- ion does not necessarily offer an improvement (Cox, 2000; Pearce et al., 2001; Seoane et al., 2005).</w:t>
      </w:r>
    </w:p>
    <w:p w14:paraId="2B6B8171" w14:textId="77777777" w:rsidR="00C87369" w:rsidRPr="00E813B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6519D92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Canessa: Where empirical measures of the required parameters for a situation of interest are not available, expert judgment can help develop plausible estimates that most effectively inform decisions (Speirs-Bridge et al. 2010; Martin et al. 2012). Such methods </w:t>
      </w:r>
      <w:r w:rsidRPr="00E813B1">
        <w:rPr>
          <w:rFonts w:ascii="Times New Roman" w:hAnsi="Times New Roman"/>
          <w:sz w:val="24"/>
          <w:szCs w:val="24"/>
        </w:rPr>
        <w:lastRenderedPageBreak/>
        <w:t>can prove especially valuable in the management of threatened species, where the need to make urgent decisions leaves little time for the collection of further information.</w:t>
      </w:r>
    </w:p>
    <w:p w14:paraId="1416DBDC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An expert is someone who has substantial information on a particular topic that is not widely known by others and who is offered deferred to for their knowledge and interpretation.</w:t>
      </w:r>
    </w:p>
    <w:p w14:paraId="4BFD3707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Expert-elicitation (in general) is composed of 5 steps:</w:t>
      </w:r>
    </w:p>
    <w:p w14:paraId="4C34D28C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Deciding how information will be used</w:t>
      </w:r>
    </w:p>
    <w:p w14:paraId="217E17E2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Determining what to elicit</w:t>
      </w:r>
    </w:p>
    <w:p w14:paraId="7D66F677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Designing elicitation process</w:t>
      </w:r>
    </w:p>
    <w:p w14:paraId="720A2A5D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Performing elicitation</w:t>
      </w:r>
    </w:p>
    <w:p w14:paraId="0B082ACC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Translating elicited information into quantitative statements that be used in ecological models (to ultimately help make decisions).</w:t>
      </w:r>
    </w:p>
    <w:p w14:paraId="535E9512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Additional important steps:</w:t>
      </w:r>
    </w:p>
    <w:p w14:paraId="6E89BFE2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How to work with multiple experts</w:t>
      </w:r>
    </w:p>
    <w:p w14:paraId="359333F8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How to combine multiple judgements (treat as equal or weights, average or ranges)</w:t>
      </w:r>
    </w:p>
    <w:p w14:paraId="6B3D761A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Minimizing bias in elicited information</w:t>
      </w:r>
    </w:p>
    <w:p w14:paraId="2FE8A873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Verifying accuracy of expert information</w:t>
      </w:r>
    </w:p>
    <w:p w14:paraId="0B9317ED" w14:textId="77777777" w:rsidR="00C87369" w:rsidRPr="00E813B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250991E7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Limited information about amphibians (salamanders) region-wide and are in decline – call for experts to aid in identifying parameters to be used in both predictive and decision models to evaluate range of outcomes of conservation actions.</w:t>
      </w:r>
    </w:p>
    <w:p w14:paraId="7B2F043C" w14:textId="77777777" w:rsidR="00C87369" w:rsidRPr="00E813B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5C27046" w14:textId="77777777" w:rsidR="00C87369" w:rsidRPr="00E813B1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Objective:</w:t>
      </w:r>
    </w:p>
    <w:p w14:paraId="1F5A1EA6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Conduct expert elicitation for Plethedontide (stream obligate for at least some stage of life-history?): Desmognathus, Gyrinophilus, and Eurycea</w:t>
      </w:r>
    </w:p>
    <w:p w14:paraId="5F568B63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G. porphyriticus; spring salamander, D. fuscus; dusky salamander, and E. bislineata; two-lined salamanders</w:t>
      </w:r>
    </w:p>
    <w:p w14:paraId="162E40F0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These species also are known to co-occur in streams with fishes (brook trout), an important predictor/competitor affecting salamanders. </w:t>
      </w:r>
    </w:p>
    <w:p w14:paraId="077E0737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Use insights to build predictive co-occurrence models under climate change (Hocking et al prediction paper), and evaluate land-protections strategies (Kate et al. optimization paper).</w:t>
      </w:r>
    </w:p>
    <w:p w14:paraId="08E77C29" w14:textId="77777777" w:rsidR="00C87369" w:rsidRPr="00E813B1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Questions: </w:t>
      </w:r>
    </w:p>
    <w:p w14:paraId="3392E6B2" w14:textId="77777777" w:rsidR="00C87369" w:rsidRPr="00E813B1" w:rsidRDefault="00C87369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How much do expert opinions agree with field-observations (do we have any?)</w:t>
      </w:r>
    </w:p>
    <w:p w14:paraId="25A8FE2D" w14:textId="77777777" w:rsidR="00C87369" w:rsidRPr="00E813B1" w:rsidRDefault="00C87369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How variable are expert opinions (mean and confidence)</w:t>
      </w:r>
    </w:p>
    <w:p w14:paraId="5F2BD113" w14:textId="77777777" w:rsidR="00C87369" w:rsidRPr="00E813B1" w:rsidRDefault="00C87369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Which uncertainties are most important for predicting salamander occupancy (this or hocking prediction paper just for salamanders – model sensitivity based on expert uncertainty?)</w:t>
      </w:r>
    </w:p>
    <w:p w14:paraId="2F009FBE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45FD0DB2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E813B1">
        <w:rPr>
          <w:rFonts w:ascii="Times New Roman" w:hAnsi="Times New Roman"/>
          <w:b/>
          <w:sz w:val="24"/>
          <w:szCs w:val="24"/>
        </w:rPr>
        <w:t>Methods:</w:t>
      </w:r>
    </w:p>
    <w:p w14:paraId="18033F0E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i/>
          <w:sz w:val="24"/>
          <w:szCs w:val="24"/>
        </w:rPr>
      </w:pPr>
    </w:p>
    <w:p w14:paraId="4F96CA4F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i/>
          <w:sz w:val="24"/>
          <w:szCs w:val="24"/>
        </w:rPr>
        <w:t>What to elicit?</w:t>
      </w:r>
    </w:p>
    <w:p w14:paraId="66DC2AD0" w14:textId="77777777" w:rsidR="00C87369" w:rsidRPr="00E813B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Stats (mean and confidence): participants provide optimistic and pessimistic consequence estimates to represent 90% credible bounds (reflecting 3-point or 4-point elicitation approach (Speirs-Bridge et al. 2010)).</w:t>
      </w:r>
    </w:p>
    <w:p w14:paraId="27635FE8" w14:textId="77777777" w:rsidR="00C87369" w:rsidRPr="00E813B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Match scale of actions with scales for response (catchment-level actions = occupancy of salamanders)</w:t>
      </w:r>
      <w:r w:rsidR="00683AC5">
        <w:rPr>
          <w:rFonts w:ascii="Times New Roman" w:hAnsi="Times New Roman"/>
          <w:sz w:val="24"/>
          <w:szCs w:val="24"/>
        </w:rPr>
        <w:t>.</w:t>
      </w:r>
      <w:r w:rsidR="00683AC5"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sz w:val="24"/>
          <w:szCs w:val="24"/>
        </w:rPr>
        <w:t>Should we elicit multi-state occupancy (0, low, medium, some, lots)?</w:t>
      </w:r>
    </w:p>
    <w:p w14:paraId="2A6301CD" w14:textId="77777777" w:rsidR="00683AC5" w:rsidRDefault="00683AC5" w:rsidP="00683AC5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348E9FE" w14:textId="77777777" w:rsidR="00C87369" w:rsidRPr="00683AC5" w:rsidRDefault="00C87369" w:rsidP="00683AC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List of variables (Table 1)</w:t>
      </w:r>
      <w:r w:rsidR="00683AC5">
        <w:rPr>
          <w:rFonts w:ascii="Times New Roman" w:hAnsi="Times New Roman"/>
          <w:sz w:val="24"/>
          <w:szCs w:val="24"/>
        </w:rPr>
        <w:t>:</w:t>
      </w:r>
    </w:p>
    <w:p w14:paraId="0F458AEB" w14:textId="77777777" w:rsidR="00C87369" w:rsidRPr="00E813B1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Baseline states (intercepts)</w:t>
      </w:r>
    </w:p>
    <w:p w14:paraId="79EF2472" w14:textId="77777777" w:rsidR="00C87369" w:rsidRPr="00E813B1" w:rsidRDefault="00C87369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Catchment-level</w:t>
      </w:r>
      <w:r w:rsidR="00683AC5">
        <w:rPr>
          <w:rFonts w:ascii="Times New Roman" w:hAnsi="Times New Roman"/>
          <w:sz w:val="24"/>
          <w:szCs w:val="24"/>
        </w:rPr>
        <w:t xml:space="preserve"> effects</w:t>
      </w:r>
    </w:p>
    <w:p w14:paraId="665629C4" w14:textId="77777777" w:rsidR="00C87369" w:rsidRDefault="00C87369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Upstream-level</w:t>
      </w:r>
      <w:r w:rsidR="00683AC5">
        <w:rPr>
          <w:rFonts w:ascii="Times New Roman" w:hAnsi="Times New Roman"/>
          <w:sz w:val="24"/>
          <w:szCs w:val="24"/>
        </w:rPr>
        <w:t xml:space="preserve"> effects</w:t>
      </w:r>
    </w:p>
    <w:p w14:paraId="128D23E4" w14:textId="77777777" w:rsidR="00683AC5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Buffer-level effects</w:t>
      </w:r>
    </w:p>
    <w:p w14:paraId="4BA69395" w14:textId="77777777" w:rsidR="00683AC5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Upland-level effects</w:t>
      </w:r>
    </w:p>
    <w:p w14:paraId="507885FB" w14:textId="77777777" w:rsidR="00683AC5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Regional-differences</w:t>
      </w:r>
    </w:p>
    <w:p w14:paraId="3AB8D9A2" w14:textId="77777777" w:rsidR="00683AC5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Additional spatial autocorrelation?</w:t>
      </w:r>
    </w:p>
    <w:p w14:paraId="6081E175" w14:textId="77777777" w:rsidR="00683AC5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Climate-effects (temperature and flow)</w:t>
      </w:r>
    </w:p>
    <w:p w14:paraId="71B33BE3" w14:textId="77777777" w:rsidR="00683AC5" w:rsidRPr="00683AC5" w:rsidRDefault="00683AC5" w:rsidP="00683AC5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Interspecific effects (with trout)</w:t>
      </w:r>
    </w:p>
    <w:p w14:paraId="040D735F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130FB963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Table 1. List of variables to elicit (also see BBN).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C87369" w:rsidRPr="00E813B1" w14:paraId="3708863C" w14:textId="77777777" w:rsidTr="008F6258">
        <w:tc>
          <w:tcPr>
            <w:tcW w:w="2286" w:type="dxa"/>
          </w:tcPr>
          <w:p w14:paraId="5D47D571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Variable</w:t>
            </w:r>
          </w:p>
        </w:tc>
        <w:tc>
          <w:tcPr>
            <w:tcW w:w="2394" w:type="dxa"/>
          </w:tcPr>
          <w:p w14:paraId="27D43F0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14827D0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Unit</w:t>
            </w:r>
          </w:p>
        </w:tc>
        <w:tc>
          <w:tcPr>
            <w:tcW w:w="2394" w:type="dxa"/>
          </w:tcPr>
          <w:p w14:paraId="6D036A0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Interpretation</w:t>
            </w:r>
          </w:p>
        </w:tc>
      </w:tr>
      <w:tr w:rsidR="00C87369" w:rsidRPr="00E813B1" w14:paraId="0DAC4E8B" w14:textId="77777777" w:rsidTr="008F6258">
        <w:tc>
          <w:tcPr>
            <w:tcW w:w="2286" w:type="dxa"/>
          </w:tcPr>
          <w:p w14:paraId="5D127C0B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Baseline occupancy</w:t>
            </w:r>
          </w:p>
        </w:tc>
        <w:tc>
          <w:tcPr>
            <w:tcW w:w="2394" w:type="dxa"/>
          </w:tcPr>
          <w:p w14:paraId="292DA071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670DED9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Probability (0 to 1)</w:t>
            </w:r>
          </w:p>
        </w:tc>
        <w:tc>
          <w:tcPr>
            <w:tcW w:w="2394" w:type="dxa"/>
          </w:tcPr>
          <w:p w14:paraId="432215D4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Probability of any catchment, on average, being occupied (intercept)</w:t>
            </w:r>
          </w:p>
        </w:tc>
      </w:tr>
      <w:tr w:rsidR="00C87369" w:rsidRPr="00E813B1" w14:paraId="74DD2069" w14:textId="77777777" w:rsidTr="008F6258">
        <w:tc>
          <w:tcPr>
            <w:tcW w:w="2286" w:type="dxa"/>
          </w:tcPr>
          <w:p w14:paraId="264DECE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Local Catchment Forest cover</w:t>
            </w:r>
          </w:p>
        </w:tc>
        <w:tc>
          <w:tcPr>
            <w:tcW w:w="2394" w:type="dxa"/>
          </w:tcPr>
          <w:p w14:paraId="1685716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The percent forest cover with a catchment influence occupancy of salamanders</w:t>
            </w:r>
          </w:p>
        </w:tc>
        <w:tc>
          <w:tcPr>
            <w:tcW w:w="2394" w:type="dxa"/>
          </w:tcPr>
          <w:p w14:paraId="185BFA9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1 unit increase in forest cover (i.e., X acres randomly throughout the catchment)</w:t>
            </w:r>
          </w:p>
        </w:tc>
        <w:tc>
          <w:tcPr>
            <w:tcW w:w="2394" w:type="dxa"/>
          </w:tcPr>
          <w:p w14:paraId="1BAA71D1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768AD210" w14:textId="77777777" w:rsidTr="008F6258">
        <w:tc>
          <w:tcPr>
            <w:tcW w:w="2286" w:type="dxa"/>
          </w:tcPr>
          <w:p w14:paraId="623152E7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Upstream Catchment Forest Cover</w:t>
            </w:r>
          </w:p>
        </w:tc>
        <w:tc>
          <w:tcPr>
            <w:tcW w:w="2394" w:type="dxa"/>
          </w:tcPr>
          <w:p w14:paraId="19466460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C858566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95B81A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701AD63B" w14:textId="77777777" w:rsidTr="008F6258">
        <w:tc>
          <w:tcPr>
            <w:tcW w:w="2286" w:type="dxa"/>
          </w:tcPr>
          <w:p w14:paraId="46A9B88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 xml:space="preserve">Local Forest Buffer </w:t>
            </w:r>
          </w:p>
        </w:tc>
        <w:tc>
          <w:tcPr>
            <w:tcW w:w="2394" w:type="dxa"/>
          </w:tcPr>
          <w:p w14:paraId="781A0C74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A5CBB6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28EECA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077399A5" w14:textId="77777777" w:rsidTr="008F6258">
        <w:tc>
          <w:tcPr>
            <w:tcW w:w="2286" w:type="dxa"/>
          </w:tcPr>
          <w:p w14:paraId="50997B8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Upstream Catchment Forest Buffer</w:t>
            </w:r>
          </w:p>
        </w:tc>
        <w:tc>
          <w:tcPr>
            <w:tcW w:w="2394" w:type="dxa"/>
          </w:tcPr>
          <w:p w14:paraId="2B260CF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DCC4EC6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1F6E31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3D75CA6B" w14:textId="77777777" w:rsidTr="008F6258">
        <w:tc>
          <w:tcPr>
            <w:tcW w:w="2286" w:type="dxa"/>
          </w:tcPr>
          <w:p w14:paraId="78D9F4B4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Stream Temperature</w:t>
            </w:r>
          </w:p>
        </w:tc>
        <w:tc>
          <w:tcPr>
            <w:tcW w:w="2394" w:type="dxa"/>
          </w:tcPr>
          <w:p w14:paraId="5C8D8C3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D48BFF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2AF96A7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7710F6BC" w14:textId="77777777" w:rsidTr="008F6258">
        <w:tc>
          <w:tcPr>
            <w:tcW w:w="2286" w:type="dxa"/>
          </w:tcPr>
          <w:p w14:paraId="6AE3426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Fish Presence</w:t>
            </w:r>
          </w:p>
        </w:tc>
        <w:tc>
          <w:tcPr>
            <w:tcW w:w="2394" w:type="dxa"/>
          </w:tcPr>
          <w:p w14:paraId="2B76AFCD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03430B3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E12ECBD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3BD57237" w14:textId="77777777" w:rsidTr="008F6258">
        <w:tc>
          <w:tcPr>
            <w:tcW w:w="2286" w:type="dxa"/>
          </w:tcPr>
          <w:p w14:paraId="60D6869A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Network Position</w:t>
            </w:r>
          </w:p>
        </w:tc>
        <w:tc>
          <w:tcPr>
            <w:tcW w:w="2394" w:type="dxa"/>
          </w:tcPr>
          <w:p w14:paraId="20F6A8F9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1BD28E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0D80F7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7C535240" w14:textId="77777777" w:rsidTr="008F6258">
        <w:tc>
          <w:tcPr>
            <w:tcW w:w="2286" w:type="dxa"/>
          </w:tcPr>
          <w:p w14:paraId="068B6DB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Local Catchment Wetland Cover</w:t>
            </w:r>
          </w:p>
        </w:tc>
        <w:tc>
          <w:tcPr>
            <w:tcW w:w="2394" w:type="dxa"/>
          </w:tcPr>
          <w:p w14:paraId="2DFDC99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C2CAA0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884DE5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6555F935" w14:textId="77777777" w:rsidTr="008F6258">
        <w:tc>
          <w:tcPr>
            <w:tcW w:w="2286" w:type="dxa"/>
          </w:tcPr>
          <w:p w14:paraId="2387517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Upstream Catchment Wetland Cover</w:t>
            </w:r>
          </w:p>
        </w:tc>
        <w:tc>
          <w:tcPr>
            <w:tcW w:w="2394" w:type="dxa"/>
          </w:tcPr>
          <w:p w14:paraId="194E2C8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70E59FB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2C9EDB76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5EEA74A6" w14:textId="77777777" w:rsidTr="008F6258">
        <w:tc>
          <w:tcPr>
            <w:tcW w:w="2286" w:type="dxa"/>
          </w:tcPr>
          <w:p w14:paraId="2E466110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Conditional on region/province?</w:t>
            </w:r>
          </w:p>
        </w:tc>
        <w:tc>
          <w:tcPr>
            <w:tcW w:w="2394" w:type="dxa"/>
          </w:tcPr>
          <w:p w14:paraId="5D06717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 xml:space="preserve">Which responses are conditional on region </w:t>
            </w:r>
          </w:p>
        </w:tc>
        <w:tc>
          <w:tcPr>
            <w:tcW w:w="2394" w:type="dxa"/>
          </w:tcPr>
          <w:p w14:paraId="5B3C979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Appalachian Plateaus, Valley and Ridge Province, Blue Ridge Province, Piedmont Province, Coastal Plain, New England, Adirondack Province, Interior Low Plateaus</w:t>
            </w:r>
          </w:p>
        </w:tc>
        <w:tc>
          <w:tcPr>
            <w:tcW w:w="2394" w:type="dxa"/>
          </w:tcPr>
          <w:p w14:paraId="3E911549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The effects of another variable varies depending on which province your in (due to underlying geology, ground-water connectivity, and other unexplained factors)</w:t>
            </w:r>
          </w:p>
        </w:tc>
      </w:tr>
    </w:tbl>
    <w:p w14:paraId="6389EA0E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4382323A" w14:textId="41A829A5" w:rsidR="008F6258" w:rsidRDefault="008F6258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 BBN for elicitation of variables (see Ban et al. 2015)</w:t>
      </w:r>
    </w:p>
    <w:p w14:paraId="61A70B5F" w14:textId="77777777" w:rsidR="008F6258" w:rsidRPr="008F6258" w:rsidRDefault="008F6258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A6C0D8A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</w:p>
    <w:p w14:paraId="5E504A90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E813B1">
        <w:rPr>
          <w:rFonts w:ascii="Times New Roman" w:hAnsi="Times New Roman"/>
          <w:i/>
          <w:sz w:val="24"/>
          <w:szCs w:val="24"/>
        </w:rPr>
        <w:t>Elicitation process (to manage bias):</w:t>
      </w:r>
    </w:p>
    <w:p w14:paraId="49495193" w14:textId="77777777" w:rsidR="00C87369" w:rsidRPr="00E813B1" w:rsidRDefault="00C87369" w:rsidP="00C873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Method: email survey, telephone interview, face-to-face interview, group meeting?</w:t>
      </w:r>
    </w:p>
    <w:p w14:paraId="1CCB5763" w14:textId="77777777" w:rsidR="00C87369" w:rsidRPr="00E813B1" w:rsidRDefault="00C87369" w:rsidP="00C873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Experts Identified:</w:t>
      </w:r>
    </w:p>
    <w:p w14:paraId="3FE4226B" w14:textId="77777777" w:rsidR="00C87369" w:rsidRPr="00E813B1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Criteria – snowball method question? Aks: Who would you go to for expert judgments on salamander ecology for these three species? Why?</w:t>
      </w:r>
    </w:p>
    <w:p w14:paraId="2E093837" w14:textId="77777777" w:rsidR="00C87369" w:rsidRPr="00E813B1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Years of direct research on salamanders</w:t>
      </w:r>
    </w:p>
    <w:p w14:paraId="32BE6B8D" w14:textId="77777777" w:rsidR="00C87369" w:rsidRPr="00E813B1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Number of publications involving salamanders</w:t>
      </w:r>
    </w:p>
    <w:p w14:paraId="4E30C455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FE8CEFD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Table 2. List of salamander experts for consideration: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93"/>
        <w:gridCol w:w="1978"/>
        <w:gridCol w:w="1539"/>
        <w:gridCol w:w="1530"/>
        <w:gridCol w:w="2628"/>
      </w:tblGrid>
      <w:tr w:rsidR="00C87369" w:rsidRPr="00E813B1" w14:paraId="677B1D04" w14:textId="77777777" w:rsidTr="008F6258">
        <w:tc>
          <w:tcPr>
            <w:tcW w:w="1793" w:type="dxa"/>
          </w:tcPr>
          <w:p w14:paraId="61599F24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Last, First</w:t>
            </w:r>
          </w:p>
        </w:tc>
        <w:tc>
          <w:tcPr>
            <w:tcW w:w="1978" w:type="dxa"/>
          </w:tcPr>
          <w:p w14:paraId="463B231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Current Agency</w:t>
            </w:r>
          </w:p>
        </w:tc>
        <w:tc>
          <w:tcPr>
            <w:tcW w:w="1539" w:type="dxa"/>
          </w:tcPr>
          <w:p w14:paraId="65BECCC0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Contact</w:t>
            </w:r>
          </w:p>
        </w:tc>
        <w:tc>
          <w:tcPr>
            <w:tcW w:w="1530" w:type="dxa"/>
          </w:tcPr>
          <w:p w14:paraId="63C1CAF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Years (Sal)</w:t>
            </w:r>
          </w:p>
        </w:tc>
        <w:tc>
          <w:tcPr>
            <w:tcW w:w="2628" w:type="dxa"/>
          </w:tcPr>
          <w:p w14:paraId="1C93A70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No. Publications (Sal)</w:t>
            </w:r>
          </w:p>
        </w:tc>
      </w:tr>
      <w:tr w:rsidR="00C87369" w:rsidRPr="00E813B1" w14:paraId="240C2AF2" w14:textId="77777777" w:rsidTr="008F6258">
        <w:tc>
          <w:tcPr>
            <w:tcW w:w="1793" w:type="dxa"/>
          </w:tcPr>
          <w:p w14:paraId="7915171D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Grant, Evan</w:t>
            </w:r>
          </w:p>
        </w:tc>
        <w:tc>
          <w:tcPr>
            <w:tcW w:w="1978" w:type="dxa"/>
          </w:tcPr>
          <w:p w14:paraId="3924AC9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1539" w:type="dxa"/>
          </w:tcPr>
          <w:p w14:paraId="4EFF179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B39E9A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67C5A307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28E85F35" w14:textId="77777777" w:rsidTr="008F6258">
        <w:tc>
          <w:tcPr>
            <w:tcW w:w="1793" w:type="dxa"/>
          </w:tcPr>
          <w:p w14:paraId="01D852D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Fields, Will</w:t>
            </w:r>
          </w:p>
        </w:tc>
        <w:tc>
          <w:tcPr>
            <w:tcW w:w="1978" w:type="dxa"/>
          </w:tcPr>
          <w:p w14:paraId="62EFD707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1539" w:type="dxa"/>
          </w:tcPr>
          <w:p w14:paraId="2619133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B031680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3082E71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1CE82EE3" w14:textId="77777777" w:rsidTr="008F6258">
        <w:tc>
          <w:tcPr>
            <w:tcW w:w="1793" w:type="dxa"/>
          </w:tcPr>
          <w:p w14:paraId="759945C6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Hocking, Dan</w:t>
            </w:r>
          </w:p>
        </w:tc>
        <w:tc>
          <w:tcPr>
            <w:tcW w:w="1978" w:type="dxa"/>
          </w:tcPr>
          <w:p w14:paraId="1416AEC0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1539" w:type="dxa"/>
          </w:tcPr>
          <w:p w14:paraId="453AABE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E29B6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6E71C039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4A823223" w14:textId="77777777" w:rsidTr="008F6258">
        <w:tc>
          <w:tcPr>
            <w:tcW w:w="1793" w:type="dxa"/>
          </w:tcPr>
          <w:p w14:paraId="125B8EC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Lowe, Winsor</w:t>
            </w:r>
          </w:p>
        </w:tc>
        <w:tc>
          <w:tcPr>
            <w:tcW w:w="1978" w:type="dxa"/>
          </w:tcPr>
          <w:p w14:paraId="5D808F94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2810F83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0EE21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0C05831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1A3CCB8E" w14:textId="77777777" w:rsidTr="008F6258">
        <w:tc>
          <w:tcPr>
            <w:tcW w:w="1793" w:type="dxa"/>
          </w:tcPr>
          <w:p w14:paraId="7FCA586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Barrett, Kyle</w:t>
            </w:r>
          </w:p>
        </w:tc>
        <w:tc>
          <w:tcPr>
            <w:tcW w:w="1978" w:type="dxa"/>
          </w:tcPr>
          <w:p w14:paraId="10AF6D7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Clemson</w:t>
            </w:r>
          </w:p>
        </w:tc>
        <w:tc>
          <w:tcPr>
            <w:tcW w:w="1539" w:type="dxa"/>
          </w:tcPr>
          <w:p w14:paraId="35086C97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3AB35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29FE422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53F1DF5B" w14:textId="77777777" w:rsidTr="008F6258">
        <w:tc>
          <w:tcPr>
            <w:tcW w:w="1793" w:type="dxa"/>
          </w:tcPr>
          <w:p w14:paraId="2959C3F4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Maerz, John</w:t>
            </w:r>
          </w:p>
        </w:tc>
        <w:tc>
          <w:tcPr>
            <w:tcW w:w="1978" w:type="dxa"/>
          </w:tcPr>
          <w:p w14:paraId="73BF3869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UGA</w:t>
            </w:r>
          </w:p>
        </w:tc>
        <w:tc>
          <w:tcPr>
            <w:tcW w:w="1539" w:type="dxa"/>
          </w:tcPr>
          <w:p w14:paraId="09E40D0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D3B8C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31639257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2872049D" w14:textId="77777777" w:rsidTr="008F6258">
        <w:tc>
          <w:tcPr>
            <w:tcW w:w="1793" w:type="dxa"/>
          </w:tcPr>
          <w:p w14:paraId="01129867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Stuart, X</w:t>
            </w:r>
          </w:p>
        </w:tc>
        <w:tc>
          <w:tcPr>
            <w:tcW w:w="1978" w:type="dxa"/>
          </w:tcPr>
          <w:p w14:paraId="416D61F0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1C5308B6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881E8DD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6ACF295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2FE97D39" w14:textId="77777777" w:rsidTr="008F6258">
        <w:tc>
          <w:tcPr>
            <w:tcW w:w="1793" w:type="dxa"/>
          </w:tcPr>
          <w:p w14:paraId="3927C76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Mendelson, Joe</w:t>
            </w:r>
          </w:p>
        </w:tc>
        <w:tc>
          <w:tcPr>
            <w:tcW w:w="1978" w:type="dxa"/>
          </w:tcPr>
          <w:p w14:paraId="4618FE5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47E19C6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53AFF7A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3367CB2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31B6CA5C" w14:textId="77777777" w:rsidTr="008F6258">
        <w:tc>
          <w:tcPr>
            <w:tcW w:w="1793" w:type="dxa"/>
          </w:tcPr>
          <w:p w14:paraId="2B75B65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Steen, David</w:t>
            </w:r>
          </w:p>
        </w:tc>
        <w:tc>
          <w:tcPr>
            <w:tcW w:w="1978" w:type="dxa"/>
          </w:tcPr>
          <w:p w14:paraId="5DE02D9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Auburn</w:t>
            </w:r>
          </w:p>
        </w:tc>
        <w:tc>
          <w:tcPr>
            <w:tcW w:w="1539" w:type="dxa"/>
          </w:tcPr>
          <w:p w14:paraId="7C4311B0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40A807A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11EFA5C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7E138E13" w14:textId="77777777" w:rsidTr="008F6258">
        <w:tc>
          <w:tcPr>
            <w:tcW w:w="1793" w:type="dxa"/>
          </w:tcPr>
          <w:p w14:paraId="4C7DFED1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Miller, David</w:t>
            </w:r>
          </w:p>
        </w:tc>
        <w:tc>
          <w:tcPr>
            <w:tcW w:w="1978" w:type="dxa"/>
          </w:tcPr>
          <w:p w14:paraId="18A5782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Penn State</w:t>
            </w:r>
          </w:p>
        </w:tc>
        <w:tc>
          <w:tcPr>
            <w:tcW w:w="1539" w:type="dxa"/>
          </w:tcPr>
          <w:p w14:paraId="1EFE92E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755BC79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1F2C35AA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3689651E" w14:textId="77777777" w:rsidTr="008F6258">
        <w:tc>
          <w:tcPr>
            <w:tcW w:w="1793" w:type="dxa"/>
          </w:tcPr>
          <w:p w14:paraId="4F3E6E81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Cecala, Kristen</w:t>
            </w:r>
          </w:p>
        </w:tc>
        <w:tc>
          <w:tcPr>
            <w:tcW w:w="1978" w:type="dxa"/>
          </w:tcPr>
          <w:p w14:paraId="29223197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1FD548D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457676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382675FE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71DB01B8" w14:textId="77777777" w:rsidTr="008F6258">
        <w:tc>
          <w:tcPr>
            <w:tcW w:w="1793" w:type="dxa"/>
          </w:tcPr>
          <w:p w14:paraId="4FF9138D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Sutton, Bill</w:t>
            </w:r>
          </w:p>
        </w:tc>
        <w:tc>
          <w:tcPr>
            <w:tcW w:w="1978" w:type="dxa"/>
          </w:tcPr>
          <w:p w14:paraId="216FF864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5F98EAF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7A1ED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4FFE8256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15AE1F6F" w14:textId="77777777" w:rsidTr="008F6258">
        <w:tc>
          <w:tcPr>
            <w:tcW w:w="1793" w:type="dxa"/>
          </w:tcPr>
          <w:p w14:paraId="79DDDFE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Milanovich, Joe</w:t>
            </w:r>
          </w:p>
        </w:tc>
        <w:tc>
          <w:tcPr>
            <w:tcW w:w="1978" w:type="dxa"/>
          </w:tcPr>
          <w:p w14:paraId="4FE4C9D6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171FF3E2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DBD01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6ECBA60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0C7D6A5A" w14:textId="77777777" w:rsidTr="008F6258">
        <w:tc>
          <w:tcPr>
            <w:tcW w:w="1793" w:type="dxa"/>
          </w:tcPr>
          <w:p w14:paraId="53F8AF94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Baily, Larissa</w:t>
            </w:r>
          </w:p>
        </w:tc>
        <w:tc>
          <w:tcPr>
            <w:tcW w:w="1978" w:type="dxa"/>
          </w:tcPr>
          <w:p w14:paraId="06749AD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Colorado State</w:t>
            </w:r>
          </w:p>
        </w:tc>
        <w:tc>
          <w:tcPr>
            <w:tcW w:w="1539" w:type="dxa"/>
          </w:tcPr>
          <w:p w14:paraId="42649D9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FE9D3F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4AE3493C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3FD9E06E" w14:textId="77777777" w:rsidTr="008F6258">
        <w:tc>
          <w:tcPr>
            <w:tcW w:w="1793" w:type="dxa"/>
          </w:tcPr>
          <w:p w14:paraId="4265B33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Muths, Erin</w:t>
            </w:r>
          </w:p>
        </w:tc>
        <w:tc>
          <w:tcPr>
            <w:tcW w:w="1978" w:type="dxa"/>
          </w:tcPr>
          <w:p w14:paraId="529951D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1539" w:type="dxa"/>
          </w:tcPr>
          <w:p w14:paraId="5EE5B7E3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DCC794D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18563FCA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E813B1" w14:paraId="3640740B" w14:textId="77777777" w:rsidTr="008F6258">
        <w:tc>
          <w:tcPr>
            <w:tcW w:w="1793" w:type="dxa"/>
          </w:tcPr>
          <w:p w14:paraId="2483B0B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Adams, Mike</w:t>
            </w:r>
          </w:p>
        </w:tc>
        <w:tc>
          <w:tcPr>
            <w:tcW w:w="1978" w:type="dxa"/>
          </w:tcPr>
          <w:p w14:paraId="6B1ED3F0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1539" w:type="dxa"/>
          </w:tcPr>
          <w:p w14:paraId="18B5834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679A2E5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14:paraId="036AE0D8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B09EF7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4FCF42D2" w14:textId="77777777" w:rsidR="00C87369" w:rsidRPr="00E813B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Expert will draw on their own expertise, scientific publications and management agency reports (we created a list of relevant documents and provided to experts; Table 1). </w:t>
      </w:r>
    </w:p>
    <w:p w14:paraId="5D434B01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9A14199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Table 3. List of relevant literature provide to experts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53"/>
        <w:gridCol w:w="2779"/>
        <w:gridCol w:w="3936"/>
      </w:tblGrid>
      <w:tr w:rsidR="00C87369" w:rsidRPr="00E813B1" w14:paraId="5E8E93BD" w14:textId="77777777" w:rsidTr="00683AC5">
        <w:tc>
          <w:tcPr>
            <w:tcW w:w="2753" w:type="dxa"/>
          </w:tcPr>
          <w:p w14:paraId="3A5E7B6D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Paper</w:t>
            </w:r>
          </w:p>
        </w:tc>
        <w:tc>
          <w:tcPr>
            <w:tcW w:w="2779" w:type="dxa"/>
          </w:tcPr>
          <w:p w14:paraId="55B1CD5A" w14:textId="77777777" w:rsidR="00C87369" w:rsidRPr="00E813B1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Species</w:t>
            </w:r>
          </w:p>
        </w:tc>
        <w:tc>
          <w:tcPr>
            <w:tcW w:w="3936" w:type="dxa"/>
          </w:tcPr>
          <w:p w14:paraId="211FDDD9" w14:textId="77777777" w:rsidR="00C87369" w:rsidRPr="00E813B1" w:rsidRDefault="00C87369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E813B1">
              <w:rPr>
                <w:rFonts w:ascii="Times New Roman" w:hAnsi="Times New Roman"/>
                <w:sz w:val="24"/>
                <w:szCs w:val="24"/>
              </w:rPr>
              <w:t>Variables</w:t>
            </w:r>
          </w:p>
        </w:tc>
      </w:tr>
      <w:tr w:rsidR="00683AC5" w:rsidRPr="00E813B1" w14:paraId="40A19DF8" w14:textId="77777777" w:rsidTr="00683AC5">
        <w:tc>
          <w:tcPr>
            <w:tcW w:w="2753" w:type="dxa"/>
          </w:tcPr>
          <w:p w14:paraId="1EC6A58F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45CA2801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776D8C05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Baseline states (intercepts)</w:t>
            </w:r>
          </w:p>
        </w:tc>
      </w:tr>
      <w:tr w:rsidR="00683AC5" w:rsidRPr="00E813B1" w14:paraId="14CCE194" w14:textId="77777777" w:rsidTr="00683AC5">
        <w:tc>
          <w:tcPr>
            <w:tcW w:w="2753" w:type="dxa"/>
          </w:tcPr>
          <w:p w14:paraId="1335FA34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18CC5ED5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735EBEDC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Catchment-level effects</w:t>
            </w:r>
          </w:p>
        </w:tc>
      </w:tr>
      <w:tr w:rsidR="00683AC5" w:rsidRPr="00E813B1" w14:paraId="1326BFA5" w14:textId="77777777" w:rsidTr="00683AC5">
        <w:tc>
          <w:tcPr>
            <w:tcW w:w="2753" w:type="dxa"/>
          </w:tcPr>
          <w:p w14:paraId="12F6B4B9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1D7FDB66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4D10A8C1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Upstream-level effects</w:t>
            </w:r>
          </w:p>
        </w:tc>
      </w:tr>
      <w:tr w:rsidR="00683AC5" w:rsidRPr="00E813B1" w14:paraId="065EEF6D" w14:textId="77777777" w:rsidTr="00683AC5">
        <w:tc>
          <w:tcPr>
            <w:tcW w:w="2753" w:type="dxa"/>
          </w:tcPr>
          <w:p w14:paraId="5092D403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2BDC6456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41020AA3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Buffer-level effects</w:t>
            </w:r>
          </w:p>
        </w:tc>
      </w:tr>
      <w:tr w:rsidR="00683AC5" w:rsidRPr="00E813B1" w14:paraId="2FBCCE7F" w14:textId="77777777" w:rsidTr="00683AC5">
        <w:tc>
          <w:tcPr>
            <w:tcW w:w="2753" w:type="dxa"/>
          </w:tcPr>
          <w:p w14:paraId="0313E4C5" w14:textId="77777777" w:rsidR="00683AC5" w:rsidRPr="00713122" w:rsidRDefault="00683AC5" w:rsidP="00683AC5">
            <w:pPr>
              <w:pStyle w:val="NormalWeb"/>
              <w:rPr>
                <w:rFonts w:ascii="Times New Roman" w:hAnsi="Times New Roman"/>
              </w:rPr>
            </w:pPr>
          </w:p>
        </w:tc>
        <w:tc>
          <w:tcPr>
            <w:tcW w:w="2779" w:type="dxa"/>
          </w:tcPr>
          <w:p w14:paraId="2D3C0793" w14:textId="77777777" w:rsidR="00683AC5" w:rsidRPr="00713122" w:rsidRDefault="00683AC5" w:rsidP="00683AC5">
            <w:pPr>
              <w:pStyle w:val="NormalWeb"/>
              <w:rPr>
                <w:rFonts w:ascii="Times New Roman" w:hAnsi="Times New Roman"/>
              </w:rPr>
            </w:pPr>
          </w:p>
        </w:tc>
        <w:tc>
          <w:tcPr>
            <w:tcW w:w="3936" w:type="dxa"/>
          </w:tcPr>
          <w:p w14:paraId="72FB5A1C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Upland-level effects</w:t>
            </w:r>
          </w:p>
        </w:tc>
      </w:tr>
      <w:tr w:rsidR="00683AC5" w:rsidRPr="00E813B1" w14:paraId="4949C945" w14:textId="77777777" w:rsidTr="00683AC5">
        <w:tc>
          <w:tcPr>
            <w:tcW w:w="2753" w:type="dxa"/>
          </w:tcPr>
          <w:p w14:paraId="794AAE62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4110D40C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3DA3A04F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Regional-differences</w:t>
            </w:r>
          </w:p>
        </w:tc>
      </w:tr>
      <w:tr w:rsidR="00683AC5" w:rsidRPr="00E813B1" w14:paraId="6BCD7A91" w14:textId="77777777" w:rsidTr="00683AC5">
        <w:tc>
          <w:tcPr>
            <w:tcW w:w="2753" w:type="dxa"/>
          </w:tcPr>
          <w:p w14:paraId="2EBB3C5A" w14:textId="77777777" w:rsidR="00683AC5" w:rsidRPr="00713122" w:rsidRDefault="00683AC5" w:rsidP="00683AC5">
            <w:pPr>
              <w:pStyle w:val="NormalWeb"/>
              <w:rPr>
                <w:rFonts w:ascii="Times New Roman" w:hAnsi="Times New Roman"/>
              </w:rPr>
            </w:pPr>
          </w:p>
        </w:tc>
        <w:tc>
          <w:tcPr>
            <w:tcW w:w="2779" w:type="dxa"/>
          </w:tcPr>
          <w:p w14:paraId="60070BD4" w14:textId="77777777" w:rsidR="00683AC5" w:rsidRPr="00713122" w:rsidRDefault="00683AC5" w:rsidP="00683AC5">
            <w:pPr>
              <w:pStyle w:val="NormalWeb"/>
              <w:rPr>
                <w:rFonts w:ascii="Times New Roman" w:hAnsi="Times New Roman"/>
              </w:rPr>
            </w:pPr>
          </w:p>
        </w:tc>
        <w:tc>
          <w:tcPr>
            <w:tcW w:w="3936" w:type="dxa"/>
          </w:tcPr>
          <w:p w14:paraId="095DBAA1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Additional spatial autocorrelation?</w:t>
            </w:r>
          </w:p>
        </w:tc>
      </w:tr>
      <w:tr w:rsidR="00683AC5" w:rsidRPr="00E813B1" w14:paraId="3678B2B7" w14:textId="77777777" w:rsidTr="00683AC5">
        <w:tc>
          <w:tcPr>
            <w:tcW w:w="2753" w:type="dxa"/>
          </w:tcPr>
          <w:p w14:paraId="44E402D6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7A4DB6D0" w14:textId="77777777" w:rsidR="00683AC5" w:rsidRPr="00E813B1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126B390F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Climate-effects (temperature and flow)</w:t>
            </w:r>
          </w:p>
        </w:tc>
      </w:tr>
      <w:tr w:rsidR="00683AC5" w:rsidRPr="00E813B1" w14:paraId="0AFEE753" w14:textId="77777777" w:rsidTr="00683AC5">
        <w:tc>
          <w:tcPr>
            <w:tcW w:w="2753" w:type="dxa"/>
          </w:tcPr>
          <w:p w14:paraId="4F6CEE25" w14:textId="77777777" w:rsidR="00683AC5" w:rsidRPr="00713122" w:rsidRDefault="00683AC5" w:rsidP="00683AC5">
            <w:pPr>
              <w:pStyle w:val="NormalWeb"/>
              <w:rPr>
                <w:rFonts w:ascii="Times New Roman" w:hAnsi="Times New Roman"/>
              </w:rPr>
            </w:pPr>
          </w:p>
        </w:tc>
        <w:tc>
          <w:tcPr>
            <w:tcW w:w="2779" w:type="dxa"/>
          </w:tcPr>
          <w:p w14:paraId="20F8EF37" w14:textId="77777777" w:rsidR="00683AC5" w:rsidRPr="00713122" w:rsidRDefault="00683AC5" w:rsidP="00683AC5">
            <w:pPr>
              <w:pStyle w:val="NormalWeb"/>
              <w:rPr>
                <w:rFonts w:ascii="Times New Roman" w:hAnsi="Times New Roman"/>
              </w:rPr>
            </w:pPr>
          </w:p>
        </w:tc>
        <w:tc>
          <w:tcPr>
            <w:tcW w:w="3936" w:type="dxa"/>
          </w:tcPr>
          <w:p w14:paraId="08FDC86E" w14:textId="77777777" w:rsidR="00683AC5" w:rsidRPr="009F7907" w:rsidRDefault="00683AC5" w:rsidP="00683AC5">
            <w:pPr>
              <w:pStyle w:val="NormalWeb"/>
              <w:rPr>
                <w:rFonts w:ascii="Times New Roman" w:hAnsi="Times New Roman"/>
              </w:rPr>
            </w:pPr>
            <w:r w:rsidRPr="009F7907">
              <w:rPr>
                <w:rFonts w:ascii="Times New Roman" w:hAnsi="Times New Roman"/>
                <w:sz w:val="24"/>
                <w:szCs w:val="24"/>
              </w:rPr>
              <w:t>Interspecific effects (with trout)</w:t>
            </w:r>
          </w:p>
        </w:tc>
      </w:tr>
    </w:tbl>
    <w:p w14:paraId="6FFD19F1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</w:p>
    <w:p w14:paraId="5BD914A1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E813B1">
        <w:rPr>
          <w:rFonts w:ascii="Times New Roman" w:hAnsi="Times New Roman"/>
          <w:i/>
          <w:sz w:val="24"/>
          <w:szCs w:val="24"/>
        </w:rPr>
        <w:t>Analysis</w:t>
      </w:r>
    </w:p>
    <w:p w14:paraId="31F95BDA" w14:textId="77777777" w:rsidR="00C87369" w:rsidRPr="00E813B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Comparisons </w:t>
      </w:r>
      <w:r w:rsidR="00683AC5">
        <w:rPr>
          <w:rFonts w:ascii="Times New Roman" w:hAnsi="Times New Roman"/>
          <w:sz w:val="24"/>
          <w:szCs w:val="24"/>
        </w:rPr>
        <w:t xml:space="preserve">of means and confidence </w:t>
      </w:r>
      <w:r w:rsidRPr="00E813B1">
        <w:rPr>
          <w:rFonts w:ascii="Times New Roman" w:hAnsi="Times New Roman"/>
          <w:sz w:val="24"/>
          <w:szCs w:val="24"/>
        </w:rPr>
        <w:t>across experts</w:t>
      </w:r>
    </w:p>
    <w:p w14:paraId="46457B3C" w14:textId="77777777" w:rsidR="00C87369" w:rsidRPr="00E813B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Weig</w:t>
      </w:r>
      <w:r w:rsidR="00683AC5">
        <w:rPr>
          <w:rFonts w:ascii="Times New Roman" w:hAnsi="Times New Roman"/>
          <w:sz w:val="24"/>
          <w:szCs w:val="24"/>
        </w:rPr>
        <w:t>h</w:t>
      </w:r>
      <w:r w:rsidRPr="00E813B1">
        <w:rPr>
          <w:rFonts w:ascii="Times New Roman" w:hAnsi="Times New Roman"/>
          <w:sz w:val="24"/>
          <w:szCs w:val="24"/>
        </w:rPr>
        <w:t>ted averages (various methods for combining experts?)</w:t>
      </w:r>
    </w:p>
    <w:p w14:paraId="729579BF" w14:textId="77777777" w:rsidR="00C87369" w:rsidRPr="00E813B1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Use to make </w:t>
      </w:r>
      <w:r w:rsidR="00683AC5">
        <w:rPr>
          <w:rFonts w:ascii="Times New Roman" w:hAnsi="Times New Roman"/>
          <w:sz w:val="24"/>
          <w:szCs w:val="24"/>
        </w:rPr>
        <w:t>simple salamander only-</w:t>
      </w:r>
      <w:r w:rsidRPr="00E813B1">
        <w:rPr>
          <w:rFonts w:ascii="Times New Roman" w:hAnsi="Times New Roman"/>
          <w:sz w:val="24"/>
          <w:szCs w:val="24"/>
        </w:rPr>
        <w:t>predictions (which uncertainties matter most?)</w:t>
      </w:r>
    </w:p>
    <w:p w14:paraId="6B6C8321" w14:textId="77777777" w:rsidR="00C87369" w:rsidRPr="00E813B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i/>
          <w:sz w:val="24"/>
          <w:szCs w:val="24"/>
        </w:rPr>
      </w:pPr>
    </w:p>
    <w:p w14:paraId="3CEF74D0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  <w:r w:rsidRPr="00E813B1">
        <w:rPr>
          <w:rFonts w:ascii="Times New Roman" w:hAnsi="Times New Roman"/>
          <w:b/>
          <w:sz w:val="24"/>
          <w:szCs w:val="24"/>
        </w:rPr>
        <w:t>Results</w:t>
      </w:r>
    </w:p>
    <w:p w14:paraId="496111B9" w14:textId="77777777" w:rsidR="00C87369" w:rsidRPr="00E813B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Number of experts</w:t>
      </w:r>
    </w:p>
    <w:p w14:paraId="2BF1CEF5" w14:textId="77777777" w:rsidR="00C87369" w:rsidRPr="00E813B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Comparisons across experts (what was consistent and what wasn’t)</w:t>
      </w:r>
    </w:p>
    <w:p w14:paraId="769D644B" w14:textId="77777777" w:rsidR="00C87369" w:rsidRPr="00E813B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Weighted averages across experts</w:t>
      </w:r>
    </w:p>
    <w:p w14:paraId="0F1D828A" w14:textId="77777777" w:rsidR="00C87369" w:rsidRPr="00E813B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Which uncertainties influenced occupancy predictions the most?</w:t>
      </w:r>
    </w:p>
    <w:p w14:paraId="7A25B42F" w14:textId="77777777" w:rsidR="00C87369" w:rsidRPr="00E813B1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>New hypothesis/insights from experts</w:t>
      </w:r>
    </w:p>
    <w:p w14:paraId="137E56EE" w14:textId="77777777" w:rsidR="00C87369" w:rsidRPr="00E813B1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70D992A5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  <w:r w:rsidRPr="00E813B1">
        <w:rPr>
          <w:rFonts w:ascii="Times New Roman" w:hAnsi="Times New Roman"/>
          <w:b/>
          <w:sz w:val="24"/>
          <w:szCs w:val="24"/>
        </w:rPr>
        <w:t>Discussion</w:t>
      </w:r>
    </w:p>
    <w:p w14:paraId="65DBA7E5" w14:textId="77777777" w:rsidR="00C87369" w:rsidRPr="00E813B1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6C4E205" w14:textId="77777777" w:rsidR="00C87369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</w:p>
    <w:p w14:paraId="3A1FADE3" w14:textId="77777777" w:rsidR="00C87369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</w:p>
    <w:p w14:paraId="6C5EAFA9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E813B1">
        <w:rPr>
          <w:rFonts w:ascii="Times New Roman" w:hAnsi="Times New Roman"/>
          <w:b/>
          <w:sz w:val="24"/>
          <w:szCs w:val="24"/>
        </w:rPr>
        <w:t>Literature</w:t>
      </w:r>
    </w:p>
    <w:p w14:paraId="0785CA34" w14:textId="77777777" w:rsidR="00C87369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32AADE45" w14:textId="77777777" w:rsidR="00C87369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Ban, S. S., Pressey, R. L. &amp; Graham, N. A. J. Assessing the Effectiveness of Local Management of Coral Reefs Using Expert Opinion and Spatial Bayesian Modeling. </w:t>
      </w:r>
      <w:r w:rsidRPr="00E813B1">
        <w:rPr>
          <w:rFonts w:ascii="Times New Roman" w:hAnsi="Times New Roman"/>
          <w:i/>
          <w:iCs/>
          <w:sz w:val="24"/>
          <w:szCs w:val="24"/>
        </w:rPr>
        <w:t>PLoS One</w:t>
      </w:r>
      <w:r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b/>
          <w:bCs/>
          <w:sz w:val="24"/>
          <w:szCs w:val="24"/>
        </w:rPr>
        <w:t>10,</w:t>
      </w:r>
      <w:r w:rsidRPr="00E813B1">
        <w:rPr>
          <w:rFonts w:ascii="Times New Roman" w:hAnsi="Times New Roman"/>
          <w:sz w:val="24"/>
          <w:szCs w:val="24"/>
        </w:rPr>
        <w:t xml:space="preserve"> e0135465 (2015)</w:t>
      </w:r>
      <w:r>
        <w:rPr>
          <w:rFonts w:ascii="Times New Roman" w:hAnsi="Times New Roman"/>
          <w:sz w:val="24"/>
          <w:szCs w:val="24"/>
        </w:rPr>
        <w:t>.</w:t>
      </w:r>
    </w:p>
    <w:p w14:paraId="601DCB71" w14:textId="77777777" w:rsidR="00C87369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Charney, N. D. Evaluating expert opinion and spatial scale in an amphibian model. </w:t>
      </w:r>
      <w:r w:rsidRPr="00E813B1">
        <w:rPr>
          <w:rFonts w:ascii="Times New Roman" w:hAnsi="Times New Roman"/>
          <w:i/>
          <w:iCs/>
          <w:sz w:val="24"/>
          <w:szCs w:val="24"/>
        </w:rPr>
        <w:t>Ecol. Modell.</w:t>
      </w:r>
      <w:r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b/>
          <w:bCs/>
          <w:sz w:val="24"/>
          <w:szCs w:val="24"/>
        </w:rPr>
        <w:t>242,</w:t>
      </w:r>
      <w:r w:rsidRPr="00E813B1">
        <w:rPr>
          <w:rFonts w:ascii="Times New Roman" w:hAnsi="Times New Roman"/>
          <w:sz w:val="24"/>
          <w:szCs w:val="24"/>
        </w:rPr>
        <w:t xml:space="preserve"> 37–45 (2012).</w:t>
      </w:r>
    </w:p>
    <w:p w14:paraId="721287BD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Kuhnert, P. M., Martin, T. G. &amp; Griffiths, S. P. A guide to eliciting and using expert knowledge in Bayesian ecological models. </w:t>
      </w:r>
      <w:r w:rsidRPr="00E813B1">
        <w:rPr>
          <w:rFonts w:ascii="Times New Roman" w:hAnsi="Times New Roman"/>
          <w:iCs/>
          <w:sz w:val="24"/>
          <w:szCs w:val="24"/>
        </w:rPr>
        <w:t>Ecol. Lett.</w:t>
      </w:r>
      <w:r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b/>
          <w:bCs/>
          <w:sz w:val="24"/>
          <w:szCs w:val="24"/>
        </w:rPr>
        <w:t>13,</w:t>
      </w:r>
      <w:r w:rsidRPr="00E813B1">
        <w:rPr>
          <w:rFonts w:ascii="Times New Roman" w:hAnsi="Times New Roman"/>
          <w:sz w:val="24"/>
          <w:szCs w:val="24"/>
        </w:rPr>
        <w:t xml:space="preserve"> 900–14 (2010).</w:t>
      </w:r>
    </w:p>
    <w:p w14:paraId="4BEE47C2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Martin, T. G., Kuhnert, P. M., Mengersen, K. &amp; Possingham, H. P. Power of Expert Opinion in Ecological Models Using Bayesian Methods : Impact of Grazing on Birds. </w:t>
      </w:r>
      <w:r w:rsidRPr="00E813B1">
        <w:rPr>
          <w:rFonts w:ascii="Times New Roman" w:hAnsi="Times New Roman"/>
          <w:iCs/>
          <w:sz w:val="24"/>
          <w:szCs w:val="24"/>
        </w:rPr>
        <w:t>Ecol. Appl.</w:t>
      </w:r>
      <w:r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bCs/>
          <w:sz w:val="24"/>
          <w:szCs w:val="24"/>
        </w:rPr>
        <w:t>15,</w:t>
      </w:r>
      <w:r w:rsidRPr="00E813B1">
        <w:rPr>
          <w:rFonts w:ascii="Times New Roman" w:hAnsi="Times New Roman"/>
          <w:sz w:val="24"/>
          <w:szCs w:val="24"/>
        </w:rPr>
        <w:t xml:space="preserve"> 266–280 (2005).</w:t>
      </w:r>
    </w:p>
    <w:p w14:paraId="0F43BF1D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Martin, T. G. </w:t>
      </w:r>
      <w:r w:rsidRPr="00E813B1">
        <w:rPr>
          <w:rFonts w:ascii="Times New Roman" w:hAnsi="Times New Roman"/>
          <w:iCs/>
          <w:sz w:val="24"/>
          <w:szCs w:val="24"/>
        </w:rPr>
        <w:t>et al.</w:t>
      </w:r>
      <w:r w:rsidRPr="00E813B1">
        <w:rPr>
          <w:rFonts w:ascii="Times New Roman" w:hAnsi="Times New Roman"/>
          <w:sz w:val="24"/>
          <w:szCs w:val="24"/>
        </w:rPr>
        <w:t xml:space="preserve"> Eliciting Expert Knowledge in Conservation Science. </w:t>
      </w:r>
      <w:r w:rsidRPr="00E813B1">
        <w:rPr>
          <w:rFonts w:ascii="Times New Roman" w:hAnsi="Times New Roman"/>
          <w:iCs/>
          <w:sz w:val="24"/>
          <w:szCs w:val="24"/>
        </w:rPr>
        <w:t>Conserv. Biol.</w:t>
      </w:r>
      <w:r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b/>
          <w:bCs/>
          <w:sz w:val="24"/>
          <w:szCs w:val="24"/>
        </w:rPr>
        <w:t>26,</w:t>
      </w:r>
      <w:r w:rsidRPr="00E813B1">
        <w:rPr>
          <w:rFonts w:ascii="Times New Roman" w:hAnsi="Times New Roman"/>
          <w:sz w:val="24"/>
          <w:szCs w:val="24"/>
        </w:rPr>
        <w:t xml:space="preserve"> 29–38 (2012).</w:t>
      </w:r>
    </w:p>
    <w:p w14:paraId="350762A6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Kuhnert, P. M., Martin, T. G. &amp; Griffiths, S. P. A guide to eliciting and using expert knowledge in Bayesian ecological models. </w:t>
      </w:r>
      <w:r w:rsidRPr="00E813B1">
        <w:rPr>
          <w:rFonts w:ascii="Times New Roman" w:hAnsi="Times New Roman"/>
          <w:iCs/>
          <w:sz w:val="24"/>
          <w:szCs w:val="24"/>
        </w:rPr>
        <w:t>Ecol. Lett.</w:t>
      </w:r>
      <w:r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b/>
          <w:bCs/>
          <w:sz w:val="24"/>
          <w:szCs w:val="24"/>
        </w:rPr>
        <w:t>13,</w:t>
      </w:r>
      <w:r w:rsidRPr="00E813B1">
        <w:rPr>
          <w:rFonts w:ascii="Times New Roman" w:hAnsi="Times New Roman"/>
          <w:sz w:val="24"/>
          <w:szCs w:val="24"/>
        </w:rPr>
        <w:t xml:space="preserve"> 900–14 (2010).</w:t>
      </w:r>
    </w:p>
    <w:p w14:paraId="77604D19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Speirs-Bridge, A. </w:t>
      </w:r>
      <w:r w:rsidRPr="00E813B1">
        <w:rPr>
          <w:rFonts w:ascii="Times New Roman" w:hAnsi="Times New Roman"/>
          <w:iCs/>
          <w:sz w:val="24"/>
          <w:szCs w:val="24"/>
        </w:rPr>
        <w:t>et al.</w:t>
      </w:r>
      <w:r w:rsidRPr="00E813B1">
        <w:rPr>
          <w:rFonts w:ascii="Times New Roman" w:hAnsi="Times New Roman"/>
          <w:sz w:val="24"/>
          <w:szCs w:val="24"/>
        </w:rPr>
        <w:t xml:space="preserve"> Reducing overconfidence in the interval judgments of experts. </w:t>
      </w:r>
      <w:r w:rsidRPr="00E813B1">
        <w:rPr>
          <w:rFonts w:ascii="Times New Roman" w:hAnsi="Times New Roman"/>
          <w:iCs/>
          <w:sz w:val="24"/>
          <w:szCs w:val="24"/>
        </w:rPr>
        <w:t>Risk Anal.</w:t>
      </w:r>
      <w:r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b/>
          <w:bCs/>
          <w:sz w:val="24"/>
          <w:szCs w:val="24"/>
        </w:rPr>
        <w:t>30,</w:t>
      </w:r>
      <w:r w:rsidRPr="00E813B1">
        <w:rPr>
          <w:rFonts w:ascii="Times New Roman" w:hAnsi="Times New Roman"/>
          <w:sz w:val="24"/>
          <w:szCs w:val="24"/>
        </w:rPr>
        <w:t xml:space="preserve"> 512–23 (2010).</w:t>
      </w:r>
    </w:p>
    <w:p w14:paraId="447AAD45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E813B1">
        <w:rPr>
          <w:rFonts w:ascii="Times New Roman" w:hAnsi="Times New Roman"/>
          <w:sz w:val="24"/>
          <w:szCs w:val="24"/>
        </w:rPr>
        <w:t xml:space="preserve">Runge, M. C., Converse, S. J. &amp; Lyons, J. E. Which uncertainty? Using expert elicitation and expected value of information to design an adaptive program. </w:t>
      </w:r>
      <w:r w:rsidRPr="00E813B1">
        <w:rPr>
          <w:rFonts w:ascii="Times New Roman" w:hAnsi="Times New Roman"/>
          <w:iCs/>
          <w:sz w:val="24"/>
          <w:szCs w:val="24"/>
        </w:rPr>
        <w:t>Biol. Conserv.</w:t>
      </w:r>
      <w:r w:rsidRPr="00E813B1">
        <w:rPr>
          <w:rFonts w:ascii="Times New Roman" w:hAnsi="Times New Roman"/>
          <w:sz w:val="24"/>
          <w:szCs w:val="24"/>
        </w:rPr>
        <w:t xml:space="preserve"> </w:t>
      </w:r>
      <w:r w:rsidRPr="00E813B1">
        <w:rPr>
          <w:rFonts w:ascii="Times New Roman" w:hAnsi="Times New Roman"/>
          <w:b/>
          <w:bCs/>
          <w:sz w:val="24"/>
          <w:szCs w:val="24"/>
        </w:rPr>
        <w:t>144,</w:t>
      </w:r>
      <w:r w:rsidRPr="00E813B1">
        <w:rPr>
          <w:rFonts w:ascii="Times New Roman" w:hAnsi="Times New Roman"/>
          <w:sz w:val="24"/>
          <w:szCs w:val="24"/>
        </w:rPr>
        <w:t xml:space="preserve"> 1214–1223 (2011).</w:t>
      </w:r>
    </w:p>
    <w:p w14:paraId="31560D34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4D455543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77E4CF37" w14:textId="77777777" w:rsidR="00C87369" w:rsidRPr="00E813B1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1FEE760E" w14:textId="77777777" w:rsidR="00C87369" w:rsidRPr="00E813B1" w:rsidRDefault="00C87369" w:rsidP="00C87369">
      <w:pPr>
        <w:rPr>
          <w:rFonts w:ascii="Times New Roman" w:hAnsi="Times New Roman" w:cs="Times New Roman"/>
          <w:b/>
        </w:rPr>
      </w:pPr>
    </w:p>
    <w:p w14:paraId="1A33C158" w14:textId="77777777" w:rsidR="0016740F" w:rsidRDefault="0016740F"/>
    <w:sectPr w:rsidR="0016740F" w:rsidSect="008F625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E705F" w14:textId="77777777" w:rsidR="008F6258" w:rsidRDefault="008F6258">
      <w:r>
        <w:separator/>
      </w:r>
    </w:p>
  </w:endnote>
  <w:endnote w:type="continuationSeparator" w:id="0">
    <w:p w14:paraId="05100073" w14:textId="77777777" w:rsidR="008F6258" w:rsidRDefault="008F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D00AB" w14:textId="77777777" w:rsidR="008F6258" w:rsidRDefault="008F6258" w:rsidP="008F6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5F86B3" w14:textId="77777777" w:rsidR="008F6258" w:rsidRDefault="008F6258" w:rsidP="008F62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3E6F" w14:textId="77777777" w:rsidR="008F6258" w:rsidRDefault="008F6258" w:rsidP="008F6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55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C20FF4" w14:textId="77777777" w:rsidR="008F6258" w:rsidRDefault="008F6258" w:rsidP="008F62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A67A9" w14:textId="77777777" w:rsidR="008F6258" w:rsidRDefault="008F6258">
      <w:r>
        <w:separator/>
      </w:r>
    </w:p>
  </w:footnote>
  <w:footnote w:type="continuationSeparator" w:id="0">
    <w:p w14:paraId="2DCD2DD3" w14:textId="77777777" w:rsidR="008F6258" w:rsidRDefault="008F6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5835"/>
    <w:multiLevelType w:val="hybridMultilevel"/>
    <w:tmpl w:val="A93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D6043"/>
    <w:multiLevelType w:val="hybridMultilevel"/>
    <w:tmpl w:val="645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91DC2"/>
    <w:multiLevelType w:val="hybridMultilevel"/>
    <w:tmpl w:val="A74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B5F44"/>
    <w:multiLevelType w:val="hybridMultilevel"/>
    <w:tmpl w:val="EB32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E52BB"/>
    <w:multiLevelType w:val="hybridMultilevel"/>
    <w:tmpl w:val="1722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B4B73"/>
    <w:multiLevelType w:val="hybridMultilevel"/>
    <w:tmpl w:val="7EB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A4873"/>
    <w:multiLevelType w:val="hybridMultilevel"/>
    <w:tmpl w:val="2B6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69"/>
    <w:rsid w:val="0016740F"/>
    <w:rsid w:val="00515532"/>
    <w:rsid w:val="00683AC5"/>
    <w:rsid w:val="008F6258"/>
    <w:rsid w:val="00C8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71C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7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C87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73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69"/>
  </w:style>
  <w:style w:type="character" w:styleId="PageNumber">
    <w:name w:val="page number"/>
    <w:basedOn w:val="DefaultParagraphFont"/>
    <w:uiPriority w:val="99"/>
    <w:semiHidden/>
    <w:unhideWhenUsed/>
    <w:rsid w:val="00C873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7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C87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73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69"/>
  </w:style>
  <w:style w:type="character" w:styleId="PageNumber">
    <w:name w:val="page number"/>
    <w:basedOn w:val="DefaultParagraphFont"/>
    <w:uiPriority w:val="99"/>
    <w:semiHidden/>
    <w:unhideWhenUsed/>
    <w:rsid w:val="00C8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1414</Words>
  <Characters>8063</Characters>
  <Application>Microsoft Macintosh Word</Application>
  <DocSecurity>0</DocSecurity>
  <Lines>67</Lines>
  <Paragraphs>18</Paragraphs>
  <ScaleCrop>false</ScaleCrop>
  <Company>University of Massachusetts-Amherst</Company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Katz</dc:creator>
  <cp:keywords/>
  <dc:description/>
  <cp:lastModifiedBy>Rachel Katz</cp:lastModifiedBy>
  <cp:revision>3</cp:revision>
  <dcterms:created xsi:type="dcterms:W3CDTF">2016-01-26T21:10:00Z</dcterms:created>
  <dcterms:modified xsi:type="dcterms:W3CDTF">2016-01-26T22:28:00Z</dcterms:modified>
</cp:coreProperties>
</file>