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6233"/>
          <w:sz w:val="72"/>
          <w:szCs w:val="72"/>
        </w:rPr>
        <w:t xml:space="preserve">KANDJOU FINTECH</w:t>
      </w:r>
    </w:p>
    <w:p>
      <w:pPr>
        <w:jc w:val="center"/>
      </w:pPr>
      <w:r>
        <w:rPr>
          <w:color w:val="1A2B4B"/>
          <w:sz w:val="28"/>
          <w:szCs w:val="28"/>
        </w:rPr>
        <w:t xml:space="preserve">L'intelligence financière au service de la Guinée</w:t>
      </w:r>
    </w:p>
    <w:p>
      <w:pPr>
        <w:spacing w:before="1000"/>
      </w:pPr>
    </w:p>
    <w:p>
      <w:pPr>
        <w:jc w:val="center"/>
      </w:pPr>
      <w:r>
        <w:rPr>
          <w:b/>
          <w:bCs/>
          <w:sz w:val="32"/>
          <w:szCs w:val="32"/>
        </w:rPr>
        <w:t xml:space="preserve">Dossier de Spécifications Fonctionnelles &amp; Techniques</w:t>
      </w:r>
    </w:p>
    <w:p>
      <w:pPr>
        <w:spacing w:before="4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bottom w:val="single" w:color="E2E8F0" w:sz="1"/>
            </w:tcBorders>
          </w:tcPr>
          <w:p>
            <w:r>
              <w:rPr>
                <w:b/>
                <w:bCs/>
              </w:rPr>
              <w:t xml:space="preserve">Version: 2.0 (Kandjou Rebrand)</w:t>
            </w:r>
          </w:p>
        </w:tc>
        <w:tc>
          <w:tcPr>
            <w:tcBorders>
              <w:bottom w:val="single" w:color="E2E8F0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Date: 28 Avril 2026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Table des Matières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Introduction et Vision</w:t>
      </w:r>
    </w:p>
    <w:p>
      <w:r>
        <w:t xml:space="preserve">Kandjou est une plateforme fintech innovante conçue pour l'écosystème guinéen. </w:t>
      </w:r>
      <w:r>
        <w:t xml:space="preserve">Elle agit en tant qu'Account Information Service Provider (AISP) en agrégeant les comptes Mobile Money (Orange Money et MTN) </w:t>
      </w:r>
      <w:r>
        <w:t xml:space="preserve">dans une interface unique, sécurisée et intelligente.</w:t>
      </w:r>
    </w:p>
    <w:p>
      <w:pPr>
        <w:spacing w:before="200"/>
      </w:pPr>
      <w:r>
        <w:t xml:space="preserve">L'objectif est de permettre aux utilisateurs (particuliers et commerçants) de consolider leur patrimoine financier </w:t>
      </w:r>
      <w:r>
        <w:t xml:space="preserve">numérique et de générer un score de solvabilité fiable pour faciliter l'accès au crédit auprès des institutions de microfinance.</w:t>
      </w:r>
    </w:p>
    <w:p>
      <w:pPr>
        <w:pStyle w:val="Heading1"/>
      </w:pPr>
      <w:r>
        <w:t xml:space="preserve">2. Spécifications Fonctionnelles</w:t>
      </w:r>
    </w:p>
    <w:p>
      <w:r>
        <w:t xml:space="preserve">La plateforme s'articule autour de 10 interfaces clés, assurant une expérience utilisateur premium et conforme aux standards de la BCRG.</w:t>
      </w:r>
    </w:p>
    <w:p>
      <w:pPr>
        <w:pStyle w:val="Heading2"/>
      </w:pPr>
      <w:r>
        <w:t xml:space="preserve">2.1. Tableau de Bord Client (Consolidé)</w:t>
      </w:r>
    </w:p>
    <w:p>
      <w:r>
        <w:t xml:space="preserve">L'interface principale affiche le </w:t>
      </w:r>
      <w:r>
        <w:rPr>
          <w:b/>
          <w:bCs/>
        </w:rPr>
        <w:t xml:space="preserve">Solde Total Consolidé</w:t>
      </w:r>
      <w:r>
        <w:t xml:space="preserve"> (ex: 12 847 500 GNF) fusionnant les avoirs Orange et MTN. </w:t>
      </w:r>
      <w:r>
        <w:t xml:space="preserve">Elle propose également une analyse graphique des flux (entrées/sorties) sur les 30 derniers jours.</w:t>
      </w:r>
    </w:p>
    <w:p>
      <w:pPr>
        <w:pStyle w:val="Heading2"/>
      </w:pPr>
      <w:r>
        <w:t xml:space="preserve">2.2. Score de Solvabilité (Credit Scoring)</w:t>
      </w:r>
    </w:p>
    <w:p>
      <w:r>
        <w:t xml:space="preserve">Kandjou calcule en temps réel un score de 0 à 100 basé sur les habitudes transactionnelles. </w:t>
      </w:r>
      <w:r>
        <w:t xml:space="preserve">Le score est certifié et peut être partagé avec des partenaires financiers pour des demandes de micro-crédit.</w:t>
      </w:r>
    </w:p>
    <w:p>
      <w:pPr>
        <w:pStyle w:val="Heading2"/>
      </w:pPr>
      <w:r>
        <w:t xml:space="preserve">2.3. Portails Acteurs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Rôle et Droits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Consultation soldes, historique, score personnel, transferts inter-réseaux.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de Crédit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Analyse des dossiers clients, consultation des scores (avec consentement), gestion des dossiers.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Administrateur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Supervision système, monitoring des API, gestion des utilisateurs et logs.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Régulateur (BCRG)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Consultation des logs d'audit, surveillance de la conformité, rapports statistiques.</w:t>
            </w:r>
          </w:p>
        </w:tc>
      </w:tr>
    </w:tbl>
    <w:p>
      <w:pPr>
        <w:pStyle w:val="Heading1"/>
      </w:pPr>
      <w:r>
        <w:t xml:space="preserve">3. Architecture Technique</w:t>
      </w:r>
    </w:p>
    <w:p>
      <w:r>
        <w:t xml:space="preserve">Kandjou repose sur une architecture micro-services modulaire garantissant scalabilité et sécurité.</w:t>
      </w:r>
    </w:p>
    <w:p>
      <w:pPr>
        <w:pStyle w:val="Heading2"/>
      </w:pPr>
      <w:r>
        <w:t xml:space="preserve">3.1. Agrégation via API REST</w:t>
      </w:r>
    </w:p>
    <w:p>
      <w:r>
        <w:t xml:space="preserve">Le système se connecte via des adaptateurs sécurisés aux API d'Orange et MTN. </w:t>
      </w:r>
      <w:r>
        <w:t xml:space="preserve">Les données sont normalisées au format JSON standardisé conforme aux directives Open Banking de la BCRG.</w:t>
      </w:r>
    </w:p>
    <w:p>
      <w:pPr>
        <w:pStyle w:val="Heading2"/>
      </w:pPr>
      <w:r>
        <w:t xml:space="preserve">3.2. Sécurité et Conformité</w:t>
      </w:r>
    </w:p>
    <w:p>
      <w:pPr>
        <w:ind w:left="720" w:hanging="360"/>
      </w:pPr>
      <w:r>
        <w:rPr>
          <w:b/>
          <w:bCs/>
        </w:rPr>
        <w:t xml:space="preserve">• </w:t>
      </w:r>
      <w:r>
        <w:t xml:space="preserve">Chiffrement des données de bout en bout (TLS 1.3).</w:t>
      </w:r>
    </w:p>
    <w:p>
      <w:pPr>
        <w:ind w:left="720" w:hanging="360"/>
      </w:pPr>
      <w:r>
        <w:rPr>
          <w:b/>
          <w:bCs/>
        </w:rPr>
        <w:t xml:space="preserve">• </w:t>
      </w:r>
      <w:r>
        <w:t xml:space="preserve">Double authentification (2FA) via OTP pour chaque connexion.</w:t>
      </w:r>
    </w:p>
    <w:p>
      <w:pPr>
        <w:ind w:left="720" w:hanging="360"/>
      </w:pPr>
      <w:r>
        <w:rPr>
          <w:b/>
          <w:bCs/>
        </w:rPr>
        <w:t xml:space="preserve">• </w:t>
      </w:r>
      <w:r>
        <w:t xml:space="preserve">Traçabilité complète des accès via un registre d'audit immuable.</w:t>
      </w:r>
    </w:p>
    <w:p>
      <w:pPr>
        <w:ind w:left="720" w:hanging="360"/>
      </w:pPr>
      <w:r>
        <w:rPr>
          <w:b/>
          <w:bCs/>
        </w:rPr>
        <w:t xml:space="preserve">• </w:t>
      </w:r>
      <w:r>
        <w:t xml:space="preserve">Conformité stricte au règlement BCRG n°001/2019 sur les paiements électroniques.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</w:pPr>
  </w:p>
  <w:p>
    <w:pPr>
      <w:jc w:val="center"/>
    </w:pPr>
    <w:r>
      <w:rPr>
        <w:sz w:val="16"/>
        <w:szCs w:val="16"/>
      </w:rPr>
      <w:t xml:space="preserve">© 2026 Kandjou Fintech • Tous droits réservés •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006233"/>
        <w:sz w:val="18"/>
        <w:szCs w:val="18"/>
      </w:rPr>
      <w:t xml:space="preserve">KANDJOU FINTECH | Dossier de Spécifications</w:t>
    </w:r>
    <w:r>
      <w:rPr>
        <w:sz w:val="14"/>
        <w:szCs w:val="14"/>
      </w:rPr>
      <w:t xml:space="preserve">	Confidentiel</w:t>
    </w:r>
  </w:p>
  <w:p>
    <w:pPr>
      <w:pBdr>
        <w:bottom w:val="single" w:color="006233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400"/>
      <w:outlineLvl w:val="0"/>
    </w:pPr>
    <w:rPr>
      <w:rFonts w:ascii="Arial" w:cs="Arial" w:eastAsia="Arial" w:hAnsi="Arial"/>
      <w:b/>
      <w:bCs/>
      <w:color w:val="0062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1A2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Kandjou Fintech - Spécifications</dc:title>
  <dc:creator>Un-named</dc:creator>
  <cp:lastModifiedBy>Un-named</cp:lastModifiedBy>
  <cp:revision>1</cp:revision>
  <dcterms:created xsi:type="dcterms:W3CDTF">2026-04-28T20:58:34.868Z</dcterms:created>
  <dcterms:modified xsi:type="dcterms:W3CDTF">2026-04-28T20:58:34.868Z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