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FaceAttend - Annexes Techniques (Diagrammes)</w:t>
      </w:r>
    </w:p>
    <w:p>
      <w:pPr>
        <w:pStyle w:val="Heading1"/>
      </w:pPr>
      <w:r>
        <w:t>I. Diagrammes de Cas d'Utilisation</w:t>
      </w:r>
    </w:p>
    <w:p>
      <w:pPr>
        <w:pStyle w:val="Heading2"/>
      </w:pPr>
      <w:r>
        <w:t>Cas d'utilisation : Administration des Utilisateurs (Auth + CRUD)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admin_utilisateu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Cas d'utilisation : Administration des Utilisateurs (Auth + CRUD)</w:t>
      </w:r>
    </w:p>
    <w:p>
      <w:pPr>
        <w:pStyle w:val="Heading2"/>
      </w:pPr>
      <w:r>
        <w:t>Cas d'utilisation : Opérations Critiques du Système (IA, Séances, Rapports)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admin_entites_oper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Cas d'utilisation : Opérations Critiques du Système (IA, Séances, Rapports)</w:t>
      </w:r>
    </w:p>
    <w:p>
      <w:pPr>
        <w:pStyle w:val="Heading2"/>
      </w:pPr>
      <w:r>
        <w:t>Cas d'utilisation : Espace Enseignant (Suivi et Terminal Caméra)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enseignant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Cas d'utilisation : Espace Enseignant (Suivi et Terminal Caméra)</w:t>
      </w:r>
    </w:p>
    <w:p>
      <w:pPr>
        <w:pStyle w:val="Heading2"/>
      </w:pPr>
      <w:r>
        <w:t>Cas d'utilisation : Espace Étudiant (Portail et Mobile)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etudiant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Cas d'utilisation : Espace Étudiant (Portail et Mobile)</w:t>
      </w:r>
    </w:p>
    <w:p>
      <w:pPr>
        <w:pStyle w:val="Heading2"/>
      </w:pPr>
      <w:r>
        <w:t>Cas d'utilisation : Système de Reconnaissance Faciale (Cœur IA)</w:t>
      </w:r>
    </w:p>
    <w:p>
      <w:r>
        <w:drawing>
          <wp:inline xmlns:a="http://schemas.openxmlformats.org/drawingml/2006/main" xmlns:pic="http://schemas.openxmlformats.org/drawingml/2006/picture">
            <wp:extent cx="5486400" cy="38961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camera_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Cas d'utilisation : Système de Reconnaissance Faciale (Cœur IA)</w:t>
      </w:r>
    </w:p>
    <w:p>
      <w:pPr>
        <w:pStyle w:val="Heading1"/>
      </w:pPr>
      <w:r>
        <w:t>II. Diagrammes de Séquence Détaillés</w:t>
      </w:r>
    </w:p>
    <w:p>
      <w:pPr>
        <w:pStyle w:val="Heading2"/>
      </w:pPr>
      <w:r>
        <w:t>Séquence : Ajout d'un nouvel utilisateur (Enregistrement Empreinte)</w:t>
      </w:r>
    </w:p>
    <w:p>
      <w:r>
        <w:drawing>
          <wp:inline xmlns:a="http://schemas.openxmlformats.org/drawingml/2006/main" xmlns:pic="http://schemas.openxmlformats.org/drawingml/2006/picture">
            <wp:extent cx="5486400" cy="45496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jou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Séquence : Ajout d'un nouvel utilisateur (Enregistrement Empreinte)</w:t>
      </w:r>
    </w:p>
    <w:p>
      <w:pPr>
        <w:pStyle w:val="Heading2"/>
      </w:pPr>
      <w:r>
        <w:t>Séquence : Modification des données utilisateur</w:t>
      </w:r>
    </w:p>
    <w:p>
      <w:r>
        <w:drawing>
          <wp:inline xmlns:a="http://schemas.openxmlformats.org/drawingml/2006/main" xmlns:pic="http://schemas.openxmlformats.org/drawingml/2006/picture">
            <wp:extent cx="5486400" cy="44158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modifi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Séquence : Modification des données utilisateur</w:t>
      </w:r>
    </w:p>
    <w:p>
      <w:pPr>
        <w:pStyle w:val="Heading2"/>
      </w:pPr>
      <w:r>
        <w:t>Séquence : Recherche multicritère</w:t>
      </w:r>
    </w:p>
    <w:p>
      <w:r>
        <w:drawing>
          <wp:inline xmlns:a="http://schemas.openxmlformats.org/drawingml/2006/main" xmlns:pic="http://schemas.openxmlformats.org/drawingml/2006/picture">
            <wp:extent cx="5486400" cy="3746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echerc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Séquence : Recherche multicritère</w:t>
      </w:r>
    </w:p>
    <w:p>
      <w:pPr>
        <w:pStyle w:val="Heading2"/>
      </w:pPr>
      <w:r>
        <w:t>Séquence : Suppression sécurisée</w:t>
      </w:r>
    </w:p>
    <w:p>
      <w:r>
        <w:drawing>
          <wp:inline xmlns:a="http://schemas.openxmlformats.org/drawingml/2006/main" xmlns:pic="http://schemas.openxmlformats.org/drawingml/2006/picture">
            <wp:extent cx="5486400" cy="39475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upprim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Séquence : Suppression sécurisée</w:t>
      </w:r>
    </w:p>
    <w:p>
      <w:pPr>
        <w:pStyle w:val="Heading2"/>
      </w:pPr>
      <w:r>
        <w:t>Séquence : Initialisation et Ouverture d'une séance d'émargement</w:t>
      </w:r>
    </w:p>
    <w:p>
      <w:r>
        <w:drawing>
          <wp:inline xmlns:a="http://schemas.openxmlformats.org/drawingml/2006/main" xmlns:pic="http://schemas.openxmlformats.org/drawingml/2006/picture">
            <wp:extent cx="5486400" cy="48173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reer_se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Séquence : Initialisation et Ouverture d'une séance d'émargement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