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r>
        <w:rPr>
          <w:rFonts w:ascii="Calibri" w:cs="Calibri" w:eastAsia="Calibri" w:hAnsi="Calibri"/>
          <w:b/>
          <w:bCs/>
          <w:color w:val="8AA4BD"/>
          <w:spacing w:val="120"/>
          <w:sz w:val="22"/>
          <w:szCs w:val="22"/>
        </w:rPr>
        <w:t xml:space="preserve">CAHIER DES CHARGES</w:t>
      </w:r>
    </w:p>
    <w:p>
      <w:pPr>
        <w:spacing w:after="80" w:before="120"/>
      </w:pPr>
      <w:r>
        <w:rPr>
          <w:rFonts w:ascii="Georgia" w:cs="Georgia" w:eastAsia="Georgia" w:hAnsi="Georgia"/>
          <w:color w:val="0C2646"/>
          <w:sz w:val="84"/>
          <w:szCs w:val="84"/>
        </w:rPr>
        <w:t xml:space="preserve">TS EXCLUSIVE</w:t>
      </w:r>
    </w:p>
    <w:p>
      <w:pPr>
        <w:pBdr>
          <w:bottom w:val="single" w:color="8AA4BD" w:sz="12" w:space="10"/>
        </w:pBdr>
        <w:spacing w:after="60"/>
      </w:pPr>
      <w:r>
        <w:rPr>
          <w:rFonts w:ascii="Georgia" w:cs="Georgia" w:eastAsia="Georgia" w:hAnsi="Georgia"/>
          <w:i/>
          <w:iCs/>
          <w:color w:val="0C2646"/>
          <w:sz w:val="36"/>
          <w:szCs w:val="36"/>
        </w:rPr>
        <w:t xml:space="preserve">Site web vitrine et espace de gestion</w:t>
      </w:r>
    </w:p>
    <w:p>
      <w:pPr>
        <w:spacing w:before="200"/>
      </w:pPr>
      <w:r>
        <w:rPr>
          <w:rFonts w:ascii="Calibri" w:cs="Calibri" w:eastAsia="Calibri" w:hAnsi="Calibri"/>
          <w:color w:val="5B6B7D"/>
          <w:sz w:val="24"/>
          <w:szCs w:val="24"/>
        </w:rPr>
        <w:t xml:space="preserve">Executive &amp; Private Mobility, Madagascar</w:t>
      </w:r>
    </w:p>
    <w:p>
      <w:pPr>
        <w:spacing w:before="2600"/>
      </w:pPr>
      <w:r>
        <w:rPr>
          <w:rFonts w:ascii="Calibri" w:cs="Calibri" w:eastAsia="Calibri" w:hAnsi="Calibri"/>
          <w:b/>
          <w:bCs/>
          <w:color w:val="222B36"/>
          <w:sz w:val="21"/>
          <w:szCs w:val="21"/>
        </w:rPr>
        <w:t xml:space="preserve">Version 2.3</w:t>
      </w:r>
    </w:p>
    <w:p>
      <w:r>
        <w:rPr>
          <w:rFonts w:ascii="Calibri" w:cs="Calibri" w:eastAsia="Calibri" w:hAnsi="Calibri"/>
          <w:color w:val="222B36"/>
          <w:sz w:val="21"/>
          <w:szCs w:val="21"/>
        </w:rPr>
        <w:t xml:space="preserve">Date : 13 octobre 2026</w:t>
      </w:r>
    </w:p>
    <w:p>
      <w:r>
        <w:rPr>
          <w:rFonts w:ascii="Calibri" w:cs="Calibri" w:eastAsia="Calibri" w:hAnsi="Calibri"/>
          <w:color w:val="222B36"/>
          <w:sz w:val="21"/>
          <w:szCs w:val="21"/>
        </w:rPr>
        <w:t xml:space="preserve">Site en ligne : https://ts-exclusive.vercel.app</w:t>
      </w:r>
    </w:p>
    <w:p>
      <w:r>
        <w:rPr>
          <w:rFonts w:ascii="Calibri" w:cs="Calibri" w:eastAsia="Calibri" w:hAnsi="Calibri"/>
          <w:color w:val="222B36"/>
          <w:sz w:val="21"/>
          <w:szCs w:val="21"/>
        </w:rPr>
        <w:t xml:space="preserve">Code source : https://github.com/djibril-mamitiana/ts-exclusive</w:t>
      </w:r>
    </w:p>
    <w:p>
      <w:r>
        <w:br w:type="page"/>
      </w:r>
    </w:p>
    <w:p>
      <w:pPr>
        <w:pStyle w:val="Heading1"/>
        <w:keepNext/>
        <w:pBdr>
          <w:bottom w:val="single" w:color="8AA4BD" w:sz="6" w:space="4"/>
        </w:pBdr>
        <w:spacing w:after="160" w:before="420"/>
      </w:pPr>
      <w:r>
        <w:rPr>
          <w:rFonts w:ascii="Georgia" w:cs="Georgia" w:eastAsia="Georgia" w:hAnsi="Georgia"/>
          <w:color w:val="0C2646"/>
          <w:sz w:val="34"/>
          <w:szCs w:val="34"/>
        </w:rPr>
        <w:t xml:space="preserve">Sommaire</w:t>
      </w:r>
    </w:p>
    <w:p>
      <w:pPr>
        <w:pStyle w:val="ListParagraph"/>
        <w:numPr>
          <w:ilvl w:val="0"/>
          <w:numId w:val="2"/>
        </w:numPr>
        <w:spacing w:after="70" w:line="280"/>
      </w:pPr>
      <w:r>
        <w:rPr>
          <w:rFonts w:ascii="Calibri" w:cs="Calibri" w:eastAsia="Calibri" w:hAnsi="Calibri"/>
          <w:color w:val="222B36"/>
          <w:sz w:val="21"/>
          <w:szCs w:val="21"/>
        </w:rPr>
        <w:t xml:space="preserve">1. Présentation du projet</w:t>
      </w:r>
    </w:p>
    <w:p>
      <w:pPr>
        <w:pStyle w:val="ListParagraph"/>
        <w:numPr>
          <w:ilvl w:val="0"/>
          <w:numId w:val="2"/>
        </w:numPr>
        <w:spacing w:after="70" w:line="280"/>
      </w:pPr>
      <w:r>
        <w:rPr>
          <w:rFonts w:ascii="Calibri" w:cs="Calibri" w:eastAsia="Calibri" w:hAnsi="Calibri"/>
          <w:color w:val="222B36"/>
          <w:sz w:val="21"/>
          <w:szCs w:val="21"/>
        </w:rPr>
        <w:t xml:space="preserve">2. Objectifs et indicateurs de réussite</w:t>
      </w:r>
    </w:p>
    <w:p>
      <w:pPr>
        <w:pStyle w:val="ListParagraph"/>
        <w:numPr>
          <w:ilvl w:val="0"/>
          <w:numId w:val="2"/>
        </w:numPr>
        <w:spacing w:after="70" w:line="280"/>
      </w:pPr>
      <w:r>
        <w:rPr>
          <w:rFonts w:ascii="Calibri" w:cs="Calibri" w:eastAsia="Calibri" w:hAnsi="Calibri"/>
          <w:color w:val="222B36"/>
          <w:sz w:val="21"/>
          <w:szCs w:val="21"/>
        </w:rPr>
        <w:t xml:space="preserve">3. Cibles et parcours utilisateurs</w:t>
      </w:r>
    </w:p>
    <w:p>
      <w:pPr>
        <w:pStyle w:val="ListParagraph"/>
        <w:numPr>
          <w:ilvl w:val="0"/>
          <w:numId w:val="2"/>
        </w:numPr>
        <w:spacing w:after="70" w:line="280"/>
      </w:pPr>
      <w:r>
        <w:rPr>
          <w:rFonts w:ascii="Calibri" w:cs="Calibri" w:eastAsia="Calibri" w:hAnsi="Calibri"/>
          <w:color w:val="222B36"/>
          <w:sz w:val="21"/>
          <w:szCs w:val="21"/>
        </w:rPr>
        <w:t xml:space="preserve">4. Périmètre</w:t>
      </w:r>
    </w:p>
    <w:p>
      <w:pPr>
        <w:pStyle w:val="ListParagraph"/>
        <w:numPr>
          <w:ilvl w:val="0"/>
          <w:numId w:val="2"/>
        </w:numPr>
        <w:spacing w:after="70" w:line="280"/>
      </w:pPr>
      <w:r>
        <w:rPr>
          <w:rFonts w:ascii="Calibri" w:cs="Calibri" w:eastAsia="Calibri" w:hAnsi="Calibri"/>
          <w:color w:val="222B36"/>
          <w:sz w:val="21"/>
          <w:szCs w:val="21"/>
        </w:rPr>
        <w:t xml:space="preserve">5. Arborescence et pages</w:t>
      </w:r>
    </w:p>
    <w:p>
      <w:pPr>
        <w:pStyle w:val="ListParagraph"/>
        <w:numPr>
          <w:ilvl w:val="0"/>
          <w:numId w:val="2"/>
        </w:numPr>
        <w:spacing w:after="70" w:line="280"/>
      </w:pPr>
      <w:r>
        <w:rPr>
          <w:rFonts w:ascii="Calibri" w:cs="Calibri" w:eastAsia="Calibri" w:hAnsi="Calibri"/>
          <w:color w:val="222B36"/>
          <w:sz w:val="21"/>
          <w:szCs w:val="21"/>
        </w:rPr>
        <w:t xml:space="preserve">6. Exigences fonctionnelles : site public</w:t>
      </w:r>
    </w:p>
    <w:p>
      <w:pPr>
        <w:pStyle w:val="ListParagraph"/>
        <w:numPr>
          <w:ilvl w:val="0"/>
          <w:numId w:val="2"/>
        </w:numPr>
        <w:spacing w:after="70" w:line="280"/>
      </w:pPr>
      <w:r>
        <w:rPr>
          <w:rFonts w:ascii="Calibri" w:cs="Calibri" w:eastAsia="Calibri" w:hAnsi="Calibri"/>
          <w:color w:val="222B36"/>
          <w:sz w:val="21"/>
          <w:szCs w:val="21"/>
        </w:rPr>
        <w:t xml:space="preserve">7. Exigences fonctionnelles : espace d'administration</w:t>
      </w:r>
    </w:p>
    <w:p>
      <w:pPr>
        <w:pStyle w:val="ListParagraph"/>
        <w:numPr>
          <w:ilvl w:val="0"/>
          <w:numId w:val="2"/>
        </w:numPr>
        <w:spacing w:after="70" w:line="280"/>
      </w:pPr>
      <w:r>
        <w:rPr>
          <w:rFonts w:ascii="Calibri" w:cs="Calibri" w:eastAsia="Calibri" w:hAnsi="Calibri"/>
          <w:color w:val="222B36"/>
          <w:sz w:val="21"/>
          <w:szCs w:val="21"/>
        </w:rPr>
        <w:t xml:space="preserve">8. Direction artistique et design</w:t>
      </w:r>
    </w:p>
    <w:p>
      <w:pPr>
        <w:pStyle w:val="ListParagraph"/>
        <w:numPr>
          <w:ilvl w:val="0"/>
          <w:numId w:val="2"/>
        </w:numPr>
        <w:spacing w:after="70" w:line="280"/>
      </w:pPr>
      <w:r>
        <w:rPr>
          <w:rFonts w:ascii="Calibri" w:cs="Calibri" w:eastAsia="Calibri" w:hAnsi="Calibri"/>
          <w:color w:val="222B36"/>
          <w:sz w:val="21"/>
          <w:szCs w:val="21"/>
        </w:rPr>
        <w:t xml:space="preserve">9. Contenus</w:t>
      </w:r>
    </w:p>
    <w:p>
      <w:pPr>
        <w:pStyle w:val="ListParagraph"/>
        <w:numPr>
          <w:ilvl w:val="0"/>
          <w:numId w:val="2"/>
        </w:numPr>
        <w:spacing w:after="70" w:line="280"/>
      </w:pPr>
      <w:r>
        <w:rPr>
          <w:rFonts w:ascii="Calibri" w:cs="Calibri" w:eastAsia="Calibri" w:hAnsi="Calibri"/>
          <w:color w:val="222B36"/>
          <w:sz w:val="21"/>
          <w:szCs w:val="21"/>
        </w:rPr>
        <w:t xml:space="preserve">10. Exigences techniques</w:t>
      </w:r>
    </w:p>
    <w:p>
      <w:pPr>
        <w:pStyle w:val="ListParagraph"/>
        <w:numPr>
          <w:ilvl w:val="0"/>
          <w:numId w:val="2"/>
        </w:numPr>
        <w:spacing w:after="70" w:line="280"/>
      </w:pPr>
      <w:r>
        <w:rPr>
          <w:rFonts w:ascii="Calibri" w:cs="Calibri" w:eastAsia="Calibri" w:hAnsi="Calibri"/>
          <w:color w:val="222B36"/>
          <w:sz w:val="21"/>
          <w:szCs w:val="21"/>
        </w:rPr>
        <w:t xml:space="preserve">11. Sécurité, confidentialité et conformité</w:t>
      </w:r>
    </w:p>
    <w:p>
      <w:pPr>
        <w:pStyle w:val="ListParagraph"/>
        <w:numPr>
          <w:ilvl w:val="0"/>
          <w:numId w:val="2"/>
        </w:numPr>
        <w:spacing w:after="70" w:line="280"/>
      </w:pPr>
      <w:r>
        <w:rPr>
          <w:rFonts w:ascii="Calibri" w:cs="Calibri" w:eastAsia="Calibri" w:hAnsi="Calibri"/>
          <w:color w:val="222B36"/>
          <w:sz w:val="21"/>
          <w:szCs w:val="21"/>
        </w:rPr>
        <w:t xml:space="preserve">12. Performance, SEO et accessibilité</w:t>
      </w:r>
    </w:p>
    <w:p>
      <w:pPr>
        <w:pStyle w:val="ListParagraph"/>
        <w:numPr>
          <w:ilvl w:val="0"/>
          <w:numId w:val="2"/>
        </w:numPr>
        <w:spacing w:after="70" w:line="280"/>
      </w:pPr>
      <w:r>
        <w:rPr>
          <w:rFonts w:ascii="Calibri" w:cs="Calibri" w:eastAsia="Calibri" w:hAnsi="Calibri"/>
          <w:color w:val="222B36"/>
          <w:sz w:val="21"/>
          <w:szCs w:val="21"/>
        </w:rPr>
        <w:t xml:space="preserve">13. Modèle de données</w:t>
      </w:r>
    </w:p>
    <w:p>
      <w:pPr>
        <w:pStyle w:val="ListParagraph"/>
        <w:numPr>
          <w:ilvl w:val="0"/>
          <w:numId w:val="2"/>
        </w:numPr>
        <w:spacing w:after="70" w:line="280"/>
      </w:pPr>
      <w:r>
        <w:rPr>
          <w:rFonts w:ascii="Calibri" w:cs="Calibri" w:eastAsia="Calibri" w:hAnsi="Calibri"/>
          <w:color w:val="222B36"/>
          <w:sz w:val="21"/>
          <w:szCs w:val="21"/>
        </w:rPr>
        <w:t xml:space="preserve">14. Planning et estimation</w:t>
      </w:r>
    </w:p>
    <w:p>
      <w:pPr>
        <w:pStyle w:val="ListParagraph"/>
        <w:numPr>
          <w:ilvl w:val="0"/>
          <w:numId w:val="2"/>
        </w:numPr>
        <w:spacing w:after="70" w:line="280"/>
      </w:pPr>
      <w:r>
        <w:rPr>
          <w:rFonts w:ascii="Calibri" w:cs="Calibri" w:eastAsia="Calibri" w:hAnsi="Calibri"/>
          <w:color w:val="222B36"/>
          <w:sz w:val="21"/>
          <w:szCs w:val="21"/>
        </w:rPr>
        <w:t xml:space="preserve">15. Livrables</w:t>
      </w:r>
    </w:p>
    <w:p>
      <w:pPr>
        <w:pStyle w:val="ListParagraph"/>
        <w:numPr>
          <w:ilvl w:val="0"/>
          <w:numId w:val="2"/>
        </w:numPr>
        <w:spacing w:after="70" w:line="280"/>
      </w:pPr>
      <w:r>
        <w:rPr>
          <w:rFonts w:ascii="Calibri" w:cs="Calibri" w:eastAsia="Calibri" w:hAnsi="Calibri"/>
          <w:color w:val="222B36"/>
          <w:sz w:val="21"/>
          <w:szCs w:val="21"/>
        </w:rPr>
        <w:t xml:space="preserve">16. Recette et critères d'acceptation</w:t>
      </w:r>
    </w:p>
    <w:p>
      <w:pPr>
        <w:pStyle w:val="ListParagraph"/>
        <w:numPr>
          <w:ilvl w:val="0"/>
          <w:numId w:val="2"/>
        </w:numPr>
        <w:spacing w:after="70" w:line="280"/>
      </w:pPr>
      <w:r>
        <w:rPr>
          <w:rFonts w:ascii="Calibri" w:cs="Calibri" w:eastAsia="Calibri" w:hAnsi="Calibri"/>
          <w:color w:val="222B36"/>
          <w:sz w:val="21"/>
          <w:szCs w:val="21"/>
        </w:rPr>
        <w:t xml:space="preserve">17. Évolutions possibles</w:t>
      </w:r>
    </w:p>
    <w:p>
      <w:pPr>
        <w:pStyle w:val="ListParagraph"/>
        <w:numPr>
          <w:ilvl w:val="0"/>
          <w:numId w:val="2"/>
        </w:numPr>
        <w:spacing w:after="70" w:line="280"/>
      </w:pPr>
      <w:r>
        <w:rPr>
          <w:rFonts w:ascii="Calibri" w:cs="Calibri" w:eastAsia="Calibri" w:hAnsi="Calibri"/>
          <w:color w:val="222B36"/>
          <w:sz w:val="21"/>
          <w:szCs w:val="21"/>
        </w:rPr>
        <w:t xml:space="preserve">18. Risques et hypothèses</w:t>
      </w:r>
    </w:p>
    <w:p>
      <w:pPr>
        <w:pStyle w:val="ListParagraph"/>
        <w:numPr>
          <w:ilvl w:val="0"/>
          <w:numId w:val="2"/>
        </w:numPr>
        <w:spacing w:after="70" w:line="280"/>
      </w:pPr>
      <w:r>
        <w:rPr>
          <w:rFonts w:ascii="Calibri" w:cs="Calibri" w:eastAsia="Calibri" w:hAnsi="Calibri"/>
          <w:color w:val="222B36"/>
          <w:sz w:val="21"/>
          <w:szCs w:val="21"/>
        </w:rPr>
        <w:t xml:space="preserve">19. Glossaire</w:t>
      </w:r>
    </w:p>
    <w:p>
      <w:pPr>
        <w:pStyle w:val="Heading2"/>
        <w:keepNext/>
        <w:spacing w:after="100" w:before="280"/>
      </w:pPr>
      <w:r>
        <w:rPr>
          <w:rFonts w:ascii="Georgia" w:cs="Georgia" w:eastAsia="Georgia" w:hAnsi="Georgia"/>
          <w:b/>
          <w:bCs/>
          <w:color w:val="0C2646"/>
          <w:sz w:val="26"/>
          <w:szCs w:val="26"/>
        </w:rPr>
        <w:t xml:space="preserve">Historique du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6360"/>
      </w:tblGrid>
      <w:tr>
        <w:trPr>
          <w:tblHeader/>
        </w:trPr>
        <w:tc>
          <w:tcPr>
            <w:tcW w:type="dxa" w:w="1100"/>
            <w:tcBorders>
              <w:top w:val="single" w:color="C9D4E0" w:sz="4"/>
              <w:left w:val="single" w:color="C9D4E0" w:sz="4"/>
              <w:bottom w:val="single" w:color="C9D4E0" w:sz="4"/>
              <w:right w:val="single" w:color="C9D4E0" w:sz="4"/>
            </w:tcBorders>
            <w:shd w:fill="0C2646" w:color="auto" w:val="clear"/>
            <w:tcMar>
              <w:top w:type="dxa" w:w="70"/>
              <w:left w:type="dxa" w:w="110"/>
              <w:bottom w:type="dxa" w:w="70"/>
              <w:right w:type="dxa" w:w="110"/>
            </w:tcMar>
          </w:tcPr>
          <w:p>
            <w:pPr>
              <w:spacing w:after="30"/>
            </w:pPr>
            <w:r>
              <w:rPr>
                <w:rFonts w:ascii="Calibri" w:cs="Calibri" w:eastAsia="Calibri" w:hAnsi="Calibri"/>
                <w:b/>
                <w:bCs/>
                <w:color w:val="FFFFFF"/>
                <w:sz w:val="19"/>
                <w:szCs w:val="19"/>
              </w:rPr>
              <w:t xml:space="preserve">Version</w:t>
            </w:r>
          </w:p>
        </w:tc>
        <w:tc>
          <w:tcPr>
            <w:tcW w:type="dxa" w:w="1900"/>
            <w:tcBorders>
              <w:top w:val="single" w:color="C9D4E0" w:sz="4"/>
              <w:left w:val="single" w:color="C9D4E0" w:sz="4"/>
              <w:bottom w:val="single" w:color="C9D4E0" w:sz="4"/>
              <w:right w:val="single" w:color="C9D4E0" w:sz="4"/>
            </w:tcBorders>
            <w:shd w:fill="0C2646" w:color="auto" w:val="clear"/>
            <w:tcMar>
              <w:top w:type="dxa" w:w="70"/>
              <w:left w:type="dxa" w:w="110"/>
              <w:bottom w:type="dxa" w:w="70"/>
              <w:right w:type="dxa" w:w="110"/>
            </w:tcMar>
          </w:tcPr>
          <w:p>
            <w:pPr>
              <w:spacing w:after="30"/>
            </w:pPr>
            <w:r>
              <w:rPr>
                <w:rFonts w:ascii="Calibri" w:cs="Calibri" w:eastAsia="Calibri" w:hAnsi="Calibri"/>
                <w:b/>
                <w:bCs/>
                <w:color w:val="FFFFFF"/>
                <w:sz w:val="19"/>
                <w:szCs w:val="19"/>
              </w:rPr>
              <w:t xml:space="preserve">Date</w:t>
            </w:r>
          </w:p>
        </w:tc>
        <w:tc>
          <w:tcPr>
            <w:tcW w:type="dxa" w:w="6360"/>
            <w:tcBorders>
              <w:top w:val="single" w:color="C9D4E0" w:sz="4"/>
              <w:left w:val="single" w:color="C9D4E0" w:sz="4"/>
              <w:bottom w:val="single" w:color="C9D4E0" w:sz="4"/>
              <w:right w:val="single" w:color="C9D4E0" w:sz="4"/>
            </w:tcBorders>
            <w:shd w:fill="0C2646" w:color="auto" w:val="clear"/>
            <w:tcMar>
              <w:top w:type="dxa" w:w="70"/>
              <w:left w:type="dxa" w:w="110"/>
              <w:bottom w:type="dxa" w:w="70"/>
              <w:right w:type="dxa" w:w="110"/>
            </w:tcMar>
          </w:tcPr>
          <w:p>
            <w:pPr>
              <w:spacing w:after="30"/>
            </w:pPr>
            <w:r>
              <w:rPr>
                <w:rFonts w:ascii="Calibri" w:cs="Calibri" w:eastAsia="Calibri" w:hAnsi="Calibri"/>
                <w:b/>
                <w:bCs/>
                <w:color w:val="FFFFFF"/>
                <w:sz w:val="19"/>
                <w:szCs w:val="19"/>
              </w:rPr>
              <w:t xml:space="preserve">Évolutions</w:t>
            </w:r>
          </w:p>
        </w:tc>
      </w:tr>
      <w:tr>
        <w:trPr>
          <w:cantSplit/>
        </w:trPr>
        <w:tc>
          <w:tcPr>
            <w:tcW w:type="dxa" w:w="11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1.0</w:t>
            </w:r>
          </w:p>
        </w:tc>
        <w:tc>
          <w:tcPr>
            <w:tcW w:type="dxa" w:w="19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8 octobre 2026</w:t>
            </w:r>
          </w:p>
        </w:tc>
        <w:tc>
          <w:tcPr>
            <w:tcW w:type="dxa" w:w="636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Version initiale : périmètre, pages, exigences, charte, planning, recette</w:t>
            </w:r>
          </w:p>
        </w:tc>
      </w:tr>
      <w:tr>
        <w:trPr>
          <w:cantSplit/>
        </w:trPr>
        <w:tc>
          <w:tcPr>
            <w:tcW w:type="dxa" w:w="11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2.3</w:t>
            </w:r>
          </w:p>
        </w:tc>
        <w:tc>
          <w:tcPr>
            <w:tcW w:type="dxa" w:w="19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13 octobre 2026</w:t>
            </w:r>
          </w:p>
        </w:tc>
        <w:tc>
          <w:tcPr>
            <w:tcW w:type="dxa" w:w="636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Carte de Madagascar fidèle (contour géographique réel, villes placées par leurs coordonnées) ; bloc de droite de la section Destinations décalé vers la gauche et jamais coupé (grands écrans et mobile) ; ronds du parcours « L'expérience TS » qui se colorent quand la ligne les atteint.</w:t>
            </w:r>
          </w:p>
        </w:tc>
      </w:tr>
      <w:tr>
        <w:trPr>
          <w:cantSplit/>
        </w:trPr>
        <w:tc>
          <w:tcPr>
            <w:tcW w:type="dxa" w:w="11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2.2</w:t>
            </w:r>
          </w:p>
        </w:tc>
        <w:tc>
          <w:tcPr>
            <w:tcW w:type="dxa" w:w="19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13 octobre 2026</w:t>
            </w:r>
          </w:p>
        </w:tc>
        <w:tc>
          <w:tcPr>
            <w:tcW w:type="dxa" w:w="636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Touche dorée discrète (filets, numéros, boutons d'action) et bouton « Voir les offres » en onglet doré bien visible ; accroches de services plus percutantes ; contenu et bouton d'action sur chaque service (accueil, page Services, page de service) ; conciergerie privée VIP en service à part, sans numéro ; numérotation réservée aux services ; trois valeurs seulement ; français et anglais strictement séparés.</w:t>
            </w:r>
          </w:p>
        </w:tc>
      </w:tr>
      <w:tr>
        <w:trPr>
          <w:cantSplit/>
        </w:trPr>
        <w:tc>
          <w:tcPr>
            <w:tcW w:type="dxa" w:w="11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2.1</w:t>
            </w:r>
          </w:p>
        </w:tc>
        <w:tc>
          <w:tcPr>
            <w:tcW w:type="dxa" w:w="19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12 octobre 2026</w:t>
            </w:r>
          </w:p>
        </w:tc>
        <w:tc>
          <w:tcPr>
            <w:tcW w:type="dxa" w:w="636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Flotte finale du client : quatre véhicules (Toyota Prado TLX, Jeep Wrangler Rubicon, Toyota Hilux Double Cab Executive, Nissan Terra) avec textes corrigés et photos détourées ; accroche et description affichées sur la page Flotte.</w:t>
            </w:r>
          </w:p>
        </w:tc>
      </w:tr>
      <w:tr>
        <w:trPr>
          <w:cantSplit/>
        </w:trPr>
        <w:tc>
          <w:tcPr>
            <w:tcW w:type="dxa" w:w="11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2.0</w:t>
            </w:r>
          </w:p>
        </w:tc>
        <w:tc>
          <w:tcPr>
            <w:tcW w:type="dxa" w:w="19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12 octobre 2026</w:t>
            </w:r>
          </w:p>
        </w:tc>
        <w:tc>
          <w:tcPr>
            <w:tcW w:type="dxa" w:w="636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Nouveau design d'après le modèle validé par le client (hero sombre, mosaïque de services numérotés, bloc clair, pied de page clair, accent bleu acier sans doré). Contenus finaux du client : slogan « Beyond Transportation », accroche, trois valeurs, sept services avec leurs boutons, page À propos. Nouveaux champs de service dans l'administration.</w:t>
            </w:r>
          </w:p>
        </w:tc>
      </w:tr>
    </w:tbl>
    <w:p>
      <w:r>
        <w:br w:type="page"/>
      </w:r>
    </w:p>
    <w:p>
      <w:pPr>
        <w:pStyle w:val="Heading1"/>
        <w:keepNext/>
        <w:pBdr>
          <w:bottom w:val="single" w:color="8AA4BD" w:sz="6" w:space="4"/>
        </w:pBdr>
        <w:spacing w:after="160" w:before="420"/>
      </w:pPr>
      <w:r>
        <w:rPr>
          <w:rFonts w:ascii="Georgia" w:cs="Georgia" w:eastAsia="Georgia" w:hAnsi="Georgia"/>
          <w:color w:val="0C2646"/>
          <w:sz w:val="34"/>
          <w:szCs w:val="34"/>
        </w:rPr>
        <w:t xml:space="preserve">1. Présentation du projet</w:t>
      </w:r>
    </w:p>
    <w:p>
      <w:pPr>
        <w:pStyle w:val="Heading2"/>
        <w:keepNext/>
        <w:spacing w:after="100" w:before="280"/>
      </w:pPr>
      <w:r>
        <w:rPr>
          <w:rFonts w:ascii="Georgia" w:cs="Georgia" w:eastAsia="Georgia" w:hAnsi="Georgia"/>
          <w:b/>
          <w:bCs/>
          <w:color w:val="0C2646"/>
          <w:sz w:val="26"/>
          <w:szCs w:val="26"/>
        </w:rPr>
        <w:t xml:space="preserve">1.1 Contexte</w:t>
      </w:r>
    </w:p>
    <w:p>
      <w:pPr>
        <w:spacing w:after="120" w:line="300"/>
      </w:pPr>
      <w:r>
        <w:rPr>
          <w:rFonts w:ascii="Calibri" w:cs="Calibri" w:eastAsia="Calibri" w:hAnsi="Calibri"/>
          <w:color w:val="222B36"/>
          <w:sz w:val="21"/>
          <w:szCs w:val="21"/>
        </w:rPr>
        <w:t xml:space="preserve">TS EXCLUSIVE est une entreprise de mobilité privée et professionnelle avec chauffeur, basée à Antananarivo (Madagascar). Elle accompagne des dirigeants, des entreprises, des organisations internationales, des hôtels et des voyageurs exigeants dans leurs déplacements : transferts aéroportuaires, mobilité exécutive, solutions pour entreprises, mobilité événementielle et protocole, mise à disposition de véhicules avec chauffeur, voyage privé et conciergerie privée VIP.</w:t>
      </w:r>
    </w:p>
    <w:p>
      <w:pPr>
        <w:spacing w:after="120" w:line="300"/>
      </w:pPr>
      <w:r>
        <w:rPr>
          <w:rFonts w:ascii="Calibri" w:cs="Calibri" w:eastAsia="Calibri" w:hAnsi="Calibri"/>
          <w:color w:val="222B36"/>
          <w:sz w:val="21"/>
          <w:szCs w:val="21"/>
        </w:rPr>
        <w:t xml:space="preserve">Aujourd'hui, l'entreprise s'appuie sur une plaquette PDF et des échanges WhatsApp. Elle a besoin d'une présence en ligne qui inspire confiance dès la première seconde, qui présente clairement ses services et sa flotte, et qui transforme les visiteurs en demandes de devis.</w:t>
      </w:r>
    </w:p>
    <w:p>
      <w:pPr>
        <w:pStyle w:val="Heading2"/>
        <w:keepNext/>
        <w:spacing w:after="100" w:before="280"/>
      </w:pPr>
      <w:r>
        <w:rPr>
          <w:rFonts w:ascii="Georgia" w:cs="Georgia" w:eastAsia="Georgia" w:hAnsi="Georgia"/>
          <w:b/>
          <w:bCs/>
          <w:color w:val="0C2646"/>
          <w:sz w:val="26"/>
          <w:szCs w:val="26"/>
        </w:rPr>
        <w:t xml:space="preserve">1.2 Identité de l'entreprise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D4E0" w:sz="4"/>
              <w:left w:val="single" w:color="C9D4E0" w:sz="4"/>
              <w:bottom w:val="single" w:color="C9D4E0" w:sz="4"/>
              <w:right w:val="single" w:color="C9D4E0" w:sz="4"/>
            </w:tcBorders>
            <w:shd w:fill="0C2646" w:color="auto" w:val="clear"/>
            <w:tcMar>
              <w:top w:type="dxa" w:w="70"/>
              <w:left w:type="dxa" w:w="110"/>
              <w:bottom w:type="dxa" w:w="70"/>
              <w:right w:type="dxa" w:w="110"/>
            </w:tcMar>
          </w:tcPr>
          <w:p>
            <w:pPr>
              <w:spacing w:after="30"/>
            </w:pPr>
            <w:r>
              <w:rPr>
                <w:rFonts w:ascii="Calibri" w:cs="Calibri" w:eastAsia="Calibri" w:hAnsi="Calibri"/>
                <w:b/>
                <w:bCs/>
                <w:color w:val="FFFFFF"/>
                <w:sz w:val="19"/>
                <w:szCs w:val="19"/>
              </w:rPr>
              <w:t xml:space="preserve">Élément</w:t>
            </w:r>
          </w:p>
        </w:tc>
        <w:tc>
          <w:tcPr>
            <w:tcW w:type="dxa" w:w="6760"/>
            <w:tcBorders>
              <w:top w:val="single" w:color="C9D4E0" w:sz="4"/>
              <w:left w:val="single" w:color="C9D4E0" w:sz="4"/>
              <w:bottom w:val="single" w:color="C9D4E0" w:sz="4"/>
              <w:right w:val="single" w:color="C9D4E0" w:sz="4"/>
            </w:tcBorders>
            <w:shd w:fill="0C2646" w:color="auto" w:val="clear"/>
            <w:tcMar>
              <w:top w:type="dxa" w:w="70"/>
              <w:left w:type="dxa" w:w="110"/>
              <w:bottom w:type="dxa" w:w="70"/>
              <w:right w:type="dxa" w:w="110"/>
            </w:tcMar>
          </w:tcPr>
          <w:p>
            <w:pPr>
              <w:spacing w:after="30"/>
            </w:pPr>
            <w:r>
              <w:rPr>
                <w:rFonts w:ascii="Calibri" w:cs="Calibri" w:eastAsia="Calibri" w:hAnsi="Calibri"/>
                <w:b/>
                <w:bCs/>
                <w:color w:val="FFFFFF"/>
                <w:sz w:val="19"/>
                <w:szCs w:val="19"/>
              </w:rPr>
              <w:t xml:space="preserve">Valeur</w:t>
            </w:r>
          </w:p>
        </w:tc>
      </w:tr>
      <w:tr>
        <w:trPr>
          <w:cantSplit/>
        </w:trPr>
        <w:tc>
          <w:tcPr>
            <w:tcW w:type="dxa" w:w="26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Nom commercial</w:t>
            </w:r>
          </w:p>
        </w:tc>
        <w:tc>
          <w:tcPr>
            <w:tcW w:type="dxa" w:w="676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TS EXCLUSIVE, « Executive &amp; Private Mobility »</w:t>
            </w:r>
          </w:p>
        </w:tc>
      </w:tr>
      <w:tr>
        <w:trPr>
          <w:cantSplit/>
        </w:trPr>
        <w:tc>
          <w:tcPr>
            <w:tcW w:type="dxa" w:w="26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Slogan</w:t>
            </w:r>
          </w:p>
        </w:tc>
        <w:tc>
          <w:tcPr>
            <w:tcW w:type="dxa" w:w="676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 Au-delà du transport » en français · « Beyond Transportation » en anglais</w:t>
            </w:r>
          </w:p>
        </w:tc>
      </w:tr>
      <w:tr>
        <w:trPr>
          <w:cantSplit/>
        </w:trPr>
        <w:tc>
          <w:tcPr>
            <w:tcW w:type="dxa" w:w="26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Téléphone et WhatsApp</w:t>
            </w:r>
          </w:p>
        </w:tc>
        <w:tc>
          <w:tcPr>
            <w:tcW w:type="dxa" w:w="676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+261 34 90 706 65</w:t>
            </w:r>
          </w:p>
        </w:tc>
      </w:tr>
      <w:tr>
        <w:trPr>
          <w:cantSplit/>
        </w:trPr>
        <w:tc>
          <w:tcPr>
            <w:tcW w:type="dxa" w:w="26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Email</w:t>
            </w:r>
          </w:p>
        </w:tc>
        <w:tc>
          <w:tcPr>
            <w:tcW w:type="dxa" w:w="676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antlyg@gmail.com</w:t>
            </w:r>
          </w:p>
        </w:tc>
      </w:tr>
      <w:tr>
        <w:trPr>
          <w:cantSplit/>
        </w:trPr>
        <w:tc>
          <w:tcPr>
            <w:tcW w:type="dxa" w:w="26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Adresse</w:t>
            </w:r>
          </w:p>
        </w:tc>
        <w:tc>
          <w:tcPr>
            <w:tcW w:type="dxa" w:w="676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Mandrosoa Ambohijatovo, Antananarivo 101, Lot II C 114 H</w:t>
            </w:r>
          </w:p>
        </w:tc>
      </w:tr>
      <w:tr>
        <w:trPr>
          <w:cantSplit/>
        </w:trPr>
        <w:tc>
          <w:tcPr>
            <w:tcW w:type="dxa" w:w="26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Zone d'activité</w:t>
            </w:r>
          </w:p>
        </w:tc>
        <w:tc>
          <w:tcPr>
            <w:tcW w:type="dxa" w:w="676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Madagascar (Antananarivo, Nosy Be, Morondava, Antsirabe et toute l'île)</w:t>
            </w:r>
          </w:p>
        </w:tc>
      </w:tr>
    </w:tbl>
    <w:p>
      <w:pPr>
        <w:pStyle w:val="Heading2"/>
        <w:keepNext/>
        <w:spacing w:after="100" w:before="280"/>
      </w:pPr>
      <w:r>
        <w:rPr>
          <w:rFonts w:ascii="Georgia" w:cs="Georgia" w:eastAsia="Georgia" w:hAnsi="Georgia"/>
          <w:b/>
          <w:bCs/>
          <w:color w:val="0C2646"/>
          <w:sz w:val="26"/>
          <w:szCs w:val="26"/>
        </w:rPr>
        <w:t xml:space="preserve">1.3 Offre commerciale (source : plaquette TS V3)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260"/>
        <w:gridCol w:w="1900"/>
        <w:gridCol w:w="1500"/>
      </w:tblGrid>
      <w:tr>
        <w:trPr>
          <w:tblHeader/>
        </w:trPr>
        <w:tc>
          <w:tcPr>
            <w:tcW w:type="dxa" w:w="1700"/>
            <w:tcBorders>
              <w:top w:val="single" w:color="C9D4E0" w:sz="4"/>
              <w:left w:val="single" w:color="C9D4E0" w:sz="4"/>
              <w:bottom w:val="single" w:color="C9D4E0" w:sz="4"/>
              <w:right w:val="single" w:color="C9D4E0" w:sz="4"/>
            </w:tcBorders>
            <w:shd w:fill="0C2646" w:color="auto" w:val="clear"/>
            <w:tcMar>
              <w:top w:type="dxa" w:w="70"/>
              <w:left w:type="dxa" w:w="110"/>
              <w:bottom w:type="dxa" w:w="70"/>
              <w:right w:type="dxa" w:w="110"/>
            </w:tcMar>
          </w:tcPr>
          <w:p>
            <w:pPr>
              <w:spacing w:after="30"/>
            </w:pPr>
            <w:r>
              <w:rPr>
                <w:rFonts w:ascii="Calibri" w:cs="Calibri" w:eastAsia="Calibri" w:hAnsi="Calibri"/>
                <w:b/>
                <w:bCs/>
                <w:color w:val="FFFFFF"/>
                <w:sz w:val="19"/>
                <w:szCs w:val="19"/>
              </w:rPr>
              <w:t xml:space="preserve">Offre</w:t>
            </w:r>
          </w:p>
        </w:tc>
        <w:tc>
          <w:tcPr>
            <w:tcW w:type="dxa" w:w="4260"/>
            <w:tcBorders>
              <w:top w:val="single" w:color="C9D4E0" w:sz="4"/>
              <w:left w:val="single" w:color="C9D4E0" w:sz="4"/>
              <w:bottom w:val="single" w:color="C9D4E0" w:sz="4"/>
              <w:right w:val="single" w:color="C9D4E0" w:sz="4"/>
            </w:tcBorders>
            <w:shd w:fill="0C2646" w:color="auto" w:val="clear"/>
            <w:tcMar>
              <w:top w:type="dxa" w:w="70"/>
              <w:left w:type="dxa" w:w="110"/>
              <w:bottom w:type="dxa" w:w="70"/>
              <w:right w:type="dxa" w:w="110"/>
            </w:tcMar>
          </w:tcPr>
          <w:p>
            <w:pPr>
              <w:spacing w:after="30"/>
            </w:pPr>
            <w:r>
              <w:rPr>
                <w:rFonts w:ascii="Calibri" w:cs="Calibri" w:eastAsia="Calibri" w:hAnsi="Calibri"/>
                <w:b/>
                <w:bCs/>
                <w:color w:val="FFFFFF"/>
                <w:sz w:val="19"/>
                <w:szCs w:val="19"/>
              </w:rPr>
              <w:t xml:space="preserve">Cibles</w:t>
            </w:r>
          </w:p>
        </w:tc>
        <w:tc>
          <w:tcPr>
            <w:tcW w:type="dxa" w:w="1900"/>
            <w:tcBorders>
              <w:top w:val="single" w:color="C9D4E0" w:sz="4"/>
              <w:left w:val="single" w:color="C9D4E0" w:sz="4"/>
              <w:bottom w:val="single" w:color="C9D4E0" w:sz="4"/>
              <w:right w:val="single" w:color="C9D4E0" w:sz="4"/>
            </w:tcBorders>
            <w:shd w:fill="0C2646" w:color="auto" w:val="clear"/>
            <w:tcMar>
              <w:top w:type="dxa" w:w="70"/>
              <w:left w:type="dxa" w:w="110"/>
              <w:bottom w:type="dxa" w:w="70"/>
              <w:right w:type="dxa" w:w="110"/>
            </w:tcMar>
          </w:tcPr>
          <w:p>
            <w:pPr>
              <w:spacing w:after="30"/>
            </w:pPr>
            <w:r>
              <w:rPr>
                <w:rFonts w:ascii="Calibri" w:cs="Calibri" w:eastAsia="Calibri" w:hAnsi="Calibri"/>
                <w:b/>
                <w:bCs/>
                <w:color w:val="FFFFFF"/>
                <w:sz w:val="19"/>
                <w:szCs w:val="19"/>
              </w:rPr>
              <w:t xml:space="preserve">Durée</w:t>
            </w:r>
          </w:p>
        </w:tc>
        <w:tc>
          <w:tcPr>
            <w:tcW w:type="dxa" w:w="1500"/>
            <w:tcBorders>
              <w:top w:val="single" w:color="C9D4E0" w:sz="4"/>
              <w:left w:val="single" w:color="C9D4E0" w:sz="4"/>
              <w:bottom w:val="single" w:color="C9D4E0" w:sz="4"/>
              <w:right w:val="single" w:color="C9D4E0" w:sz="4"/>
            </w:tcBorders>
            <w:shd w:fill="0C2646" w:color="auto" w:val="clear"/>
            <w:tcMar>
              <w:top w:type="dxa" w:w="70"/>
              <w:left w:type="dxa" w:w="110"/>
              <w:bottom w:type="dxa" w:w="70"/>
              <w:right w:type="dxa" w:w="110"/>
            </w:tcMar>
          </w:tcPr>
          <w:p>
            <w:pPr>
              <w:spacing w:after="30"/>
            </w:pPr>
            <w:r>
              <w:rPr>
                <w:rFonts w:ascii="Calibri" w:cs="Calibri" w:eastAsia="Calibri" w:hAnsi="Calibri"/>
                <w:b/>
                <w:bCs/>
                <w:color w:val="FFFFFF"/>
                <w:sz w:val="19"/>
                <w:szCs w:val="19"/>
              </w:rPr>
              <w:t xml:space="preserve">Prix de départ</w:t>
            </w:r>
          </w:p>
        </w:tc>
      </w:tr>
      <w:tr>
        <w:trPr>
          <w:cantSplit/>
        </w:trPr>
        <w:tc>
          <w:tcPr>
            <w:tcW w:type="dxa" w:w="17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Longue route</w:t>
            </w:r>
          </w:p>
        </w:tc>
        <w:tc>
          <w:tcPr>
            <w:tcW w:type="dxa" w:w="426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Entreprises, expatriés, grands projets routiers, organismes internationaux, ONG, projets de développement, particuliers</w:t>
            </w:r>
          </w:p>
        </w:tc>
        <w:tc>
          <w:tcPr>
            <w:tcW w:type="dxa" w:w="19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Plusieurs mois</w:t>
            </w:r>
          </w:p>
        </w:tc>
        <w:tc>
          <w:tcPr>
            <w:tcW w:type="dxa" w:w="15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250 000 Ar / jour</w:t>
            </w:r>
          </w:p>
        </w:tc>
      </w:tr>
      <w:tr>
        <w:trPr>
          <w:cantSplit/>
        </w:trPr>
        <w:tc>
          <w:tcPr>
            <w:tcW w:type="dxa" w:w="17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Mobilité</w:t>
            </w:r>
          </w:p>
        </w:tc>
        <w:tc>
          <w:tcPr>
            <w:tcW w:type="dxa" w:w="426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Touristes nationaux et internationaux, ONG sur le terrain, projets de terrain, particuliers</w:t>
            </w:r>
          </w:p>
        </w:tc>
        <w:tc>
          <w:tcPr>
            <w:tcW w:type="dxa" w:w="19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Courte durée (jour, week-end, semaine)</w:t>
            </w:r>
          </w:p>
        </w:tc>
        <w:tc>
          <w:tcPr>
            <w:tcW w:type="dxa" w:w="15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300 000 Ar / jour</w:t>
            </w:r>
          </w:p>
        </w:tc>
      </w:tr>
      <w:tr>
        <w:trPr>
          <w:cantSplit/>
        </w:trPr>
        <w:tc>
          <w:tcPr>
            <w:tcW w:type="dxa" w:w="17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Prestige</w:t>
            </w:r>
          </w:p>
        </w:tc>
        <w:tc>
          <w:tcPr>
            <w:tcW w:type="dxa" w:w="426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VIP, particuliers</w:t>
            </w:r>
          </w:p>
        </w:tc>
        <w:tc>
          <w:tcPr>
            <w:tcW w:type="dxa" w:w="19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Pack sur mesure</w:t>
            </w:r>
          </w:p>
        </w:tc>
        <w:tc>
          <w:tcPr>
            <w:tcW w:type="dxa" w:w="15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400 000 Ar / jour</w:t>
            </w:r>
          </w:p>
        </w:tc>
      </w:tr>
    </w:tbl>
    <w:p>
      <w:pPr>
        <w:spacing w:after="160"/>
      </w:pPr>
    </w:p>
    <w:p>
      <w:pPr>
        <w:spacing w:after="120" w:line="300"/>
      </w:pPr>
      <w:r>
        <w:rPr>
          <w:rFonts w:ascii="Calibri" w:cs="Calibri" w:eastAsia="Calibri" w:hAnsi="Calibri"/>
          <w:b/>
          <w:bCs/>
          <w:color w:val="222B36"/>
          <w:sz w:val="21"/>
          <w:szCs w:val="21"/>
        </w:rPr>
        <w:t xml:space="preserve">Options communes : </w:t>
      </w:r>
      <w:r>
        <w:rPr>
          <w:rFonts w:ascii="Calibri" w:cs="Calibri" w:eastAsia="Calibri" w:hAnsi="Calibri"/>
          <w:color w:val="222B36"/>
          <w:sz w:val="21"/>
          <w:szCs w:val="21"/>
        </w:rPr>
        <w:t xml:space="preserve">assistance 24/7, GPS, assurance (complète ou de base), chauffeur expérimenté, livraison à l'hôtel ou à l'aéroport, kilométrage selon accord.</w:t>
      </w:r>
    </w:p>
    <w:p>
      <w:pPr>
        <w:spacing w:after="120" w:line="300"/>
      </w:pPr>
      <w:r>
        <w:rPr>
          <w:rFonts w:ascii="Calibri" w:cs="Calibri" w:eastAsia="Calibri" w:hAnsi="Calibri"/>
          <w:b/>
          <w:bCs/>
          <w:color w:val="222B36"/>
          <w:sz w:val="21"/>
          <w:szCs w:val="21"/>
        </w:rPr>
        <w:t xml:space="preserve">Conditions de location : </w:t>
      </w:r>
      <w:r>
        <w:rPr>
          <w:rFonts w:ascii="Calibri" w:cs="Calibri" w:eastAsia="Calibri" w:hAnsi="Calibri"/>
          <w:color w:val="222B36"/>
          <w:sz w:val="21"/>
          <w:szCs w:val="21"/>
        </w:rPr>
        <w:t xml:space="preserve">passeport ou carte d'identité, paiement au départ avec caution remboursable, restitution avec le même niveau de carburant, véhicule propre et en bon état, interdiction d'usage abusif ou hors zones autorisées.</w:t>
      </w:r>
    </w:p>
    <w:p>
      <w:pPr>
        <w:pStyle w:val="Heading2"/>
        <w:keepNext/>
        <w:spacing w:after="100" w:before="280"/>
      </w:pPr>
      <w:r>
        <w:rPr>
          <w:rFonts w:ascii="Georgia" w:cs="Georgia" w:eastAsia="Georgia" w:hAnsi="Georgia"/>
          <w:b/>
          <w:bCs/>
          <w:color w:val="0C2646"/>
          <w:sz w:val="26"/>
          <w:szCs w:val="26"/>
        </w:rPr>
        <w:t xml:space="preserve">1.4 Flotte (version finale du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1000"/>
        <w:gridCol w:w="900"/>
        <w:gridCol w:w="2660"/>
      </w:tblGrid>
      <w:tr>
        <w:trPr>
          <w:tblHeader/>
        </w:trPr>
        <w:tc>
          <w:tcPr>
            <w:tcW w:type="dxa" w:w="2900"/>
            <w:tcBorders>
              <w:top w:val="single" w:color="C9D4E0" w:sz="4"/>
              <w:left w:val="single" w:color="C9D4E0" w:sz="4"/>
              <w:bottom w:val="single" w:color="C9D4E0" w:sz="4"/>
              <w:right w:val="single" w:color="C9D4E0" w:sz="4"/>
            </w:tcBorders>
            <w:shd w:fill="0C2646" w:color="auto" w:val="clear"/>
            <w:tcMar>
              <w:top w:type="dxa" w:w="70"/>
              <w:left w:type="dxa" w:w="110"/>
              <w:bottom w:type="dxa" w:w="70"/>
              <w:right w:type="dxa" w:w="110"/>
            </w:tcMar>
          </w:tcPr>
          <w:p>
            <w:pPr>
              <w:spacing w:after="30"/>
            </w:pPr>
            <w:r>
              <w:rPr>
                <w:rFonts w:ascii="Calibri" w:cs="Calibri" w:eastAsia="Calibri" w:hAnsi="Calibri"/>
                <w:b/>
                <w:bCs/>
                <w:color w:val="FFFFFF"/>
                <w:sz w:val="19"/>
                <w:szCs w:val="19"/>
              </w:rPr>
              <w:t xml:space="preserve">Véhicule</w:t>
            </w:r>
          </w:p>
        </w:tc>
        <w:tc>
          <w:tcPr>
            <w:tcW w:type="dxa" w:w="1900"/>
            <w:tcBorders>
              <w:top w:val="single" w:color="C9D4E0" w:sz="4"/>
              <w:left w:val="single" w:color="C9D4E0" w:sz="4"/>
              <w:bottom w:val="single" w:color="C9D4E0" w:sz="4"/>
              <w:right w:val="single" w:color="C9D4E0" w:sz="4"/>
            </w:tcBorders>
            <w:shd w:fill="0C2646" w:color="auto" w:val="clear"/>
            <w:tcMar>
              <w:top w:type="dxa" w:w="70"/>
              <w:left w:type="dxa" w:w="110"/>
              <w:bottom w:type="dxa" w:w="70"/>
              <w:right w:type="dxa" w:w="110"/>
            </w:tcMar>
          </w:tcPr>
          <w:p>
            <w:pPr>
              <w:spacing w:after="30"/>
            </w:pPr>
            <w:r>
              <w:rPr>
                <w:rFonts w:ascii="Calibri" w:cs="Calibri" w:eastAsia="Calibri" w:hAnsi="Calibri"/>
                <w:b/>
                <w:bCs/>
                <w:color w:val="FFFFFF"/>
                <w:sz w:val="19"/>
                <w:szCs w:val="19"/>
              </w:rPr>
              <w:t xml:space="preserve">Catégorie</w:t>
            </w:r>
          </w:p>
        </w:tc>
        <w:tc>
          <w:tcPr>
            <w:tcW w:type="dxa" w:w="1000"/>
            <w:tcBorders>
              <w:top w:val="single" w:color="C9D4E0" w:sz="4"/>
              <w:left w:val="single" w:color="C9D4E0" w:sz="4"/>
              <w:bottom w:val="single" w:color="C9D4E0" w:sz="4"/>
              <w:right w:val="single" w:color="C9D4E0" w:sz="4"/>
            </w:tcBorders>
            <w:shd w:fill="0C2646" w:color="auto" w:val="clear"/>
            <w:tcMar>
              <w:top w:type="dxa" w:w="70"/>
              <w:left w:type="dxa" w:w="110"/>
              <w:bottom w:type="dxa" w:w="70"/>
              <w:right w:type="dxa" w:w="110"/>
            </w:tcMar>
          </w:tcPr>
          <w:p>
            <w:pPr>
              <w:spacing w:after="30"/>
            </w:pPr>
            <w:r>
              <w:rPr>
                <w:rFonts w:ascii="Calibri" w:cs="Calibri" w:eastAsia="Calibri" w:hAnsi="Calibri"/>
                <w:b/>
                <w:bCs/>
                <w:color w:val="FFFFFF"/>
                <w:sz w:val="19"/>
                <w:szCs w:val="19"/>
              </w:rPr>
              <w:t xml:space="preserve">Passagers</w:t>
            </w:r>
          </w:p>
        </w:tc>
        <w:tc>
          <w:tcPr>
            <w:tcW w:type="dxa" w:w="900"/>
            <w:tcBorders>
              <w:top w:val="single" w:color="C9D4E0" w:sz="4"/>
              <w:left w:val="single" w:color="C9D4E0" w:sz="4"/>
              <w:bottom w:val="single" w:color="C9D4E0" w:sz="4"/>
              <w:right w:val="single" w:color="C9D4E0" w:sz="4"/>
            </w:tcBorders>
            <w:shd w:fill="0C2646" w:color="auto" w:val="clear"/>
            <w:tcMar>
              <w:top w:type="dxa" w:w="70"/>
              <w:left w:type="dxa" w:w="110"/>
              <w:bottom w:type="dxa" w:w="70"/>
              <w:right w:type="dxa" w:w="110"/>
            </w:tcMar>
          </w:tcPr>
          <w:p>
            <w:pPr>
              <w:spacing w:after="30"/>
            </w:pPr>
            <w:r>
              <w:rPr>
                <w:rFonts w:ascii="Calibri" w:cs="Calibri" w:eastAsia="Calibri" w:hAnsi="Calibri"/>
                <w:b/>
                <w:bCs/>
                <w:color w:val="FFFFFF"/>
                <w:sz w:val="19"/>
                <w:szCs w:val="19"/>
              </w:rPr>
              <w:t xml:space="preserve">Bagages</w:t>
            </w:r>
          </w:p>
        </w:tc>
        <w:tc>
          <w:tcPr>
            <w:tcW w:type="dxa" w:w="2660"/>
            <w:tcBorders>
              <w:top w:val="single" w:color="C9D4E0" w:sz="4"/>
              <w:left w:val="single" w:color="C9D4E0" w:sz="4"/>
              <w:bottom w:val="single" w:color="C9D4E0" w:sz="4"/>
              <w:right w:val="single" w:color="C9D4E0" w:sz="4"/>
            </w:tcBorders>
            <w:shd w:fill="0C2646" w:color="auto" w:val="clear"/>
            <w:tcMar>
              <w:top w:type="dxa" w:w="70"/>
              <w:left w:type="dxa" w:w="110"/>
              <w:bottom w:type="dxa" w:w="70"/>
              <w:right w:type="dxa" w:w="110"/>
            </w:tcMar>
          </w:tcPr>
          <w:p>
            <w:pPr>
              <w:spacing w:after="30"/>
            </w:pPr>
            <w:r>
              <w:rPr>
                <w:rFonts w:ascii="Calibri" w:cs="Calibri" w:eastAsia="Calibri" w:hAnsi="Calibri"/>
                <w:b/>
                <w:bCs/>
                <w:color w:val="FFFFFF"/>
                <w:sz w:val="19"/>
                <w:szCs w:val="19"/>
              </w:rPr>
              <w:t xml:space="preserve">Accroche</w:t>
            </w:r>
          </w:p>
        </w:tc>
      </w:tr>
      <w:tr>
        <w:trPr>
          <w:cantSplit/>
        </w:trPr>
        <w:tc>
          <w:tcPr>
            <w:tcW w:type="dxa" w:w="29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Toyota Prado TLX</w:t>
            </w:r>
          </w:p>
        </w:tc>
        <w:tc>
          <w:tcPr>
            <w:tcW w:type="dxa" w:w="19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SUV haut de gamme</w:t>
            </w:r>
          </w:p>
        </w:tc>
        <w:tc>
          <w:tcPr>
            <w:tcW w:type="dxa" w:w="10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7</w:t>
            </w:r>
          </w:p>
        </w:tc>
        <w:tc>
          <w:tcPr>
            <w:tcW w:type="dxa" w:w="9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4</w:t>
            </w:r>
          </w:p>
        </w:tc>
        <w:tc>
          <w:tcPr>
            <w:tcW w:type="dxa" w:w="266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Puissance. Élégance. Confiance absolue.</w:t>
            </w:r>
          </w:p>
        </w:tc>
      </w:tr>
      <w:tr>
        <w:trPr>
          <w:cantSplit/>
        </w:trPr>
        <w:tc>
          <w:tcPr>
            <w:tcW w:type="dxa" w:w="29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Jeep Wrangler Rubicon</w:t>
            </w:r>
          </w:p>
        </w:tc>
        <w:tc>
          <w:tcPr>
            <w:tcW w:type="dxa" w:w="19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4×4 / Mobilité tout-terrain</w:t>
            </w:r>
          </w:p>
        </w:tc>
        <w:tc>
          <w:tcPr>
            <w:tcW w:type="dxa" w:w="10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4</w:t>
            </w:r>
          </w:p>
        </w:tc>
        <w:tc>
          <w:tcPr>
            <w:tcW w:type="dxa" w:w="9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2</w:t>
            </w:r>
          </w:p>
        </w:tc>
        <w:tc>
          <w:tcPr>
            <w:tcW w:type="dxa" w:w="266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Dominateur des routes • Roi des sentiers</w:t>
            </w:r>
          </w:p>
        </w:tc>
      </w:tr>
      <w:tr>
        <w:trPr>
          <w:cantSplit/>
        </w:trPr>
        <w:tc>
          <w:tcPr>
            <w:tcW w:type="dxa" w:w="29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Toyota Hilux Double Cab Executive</w:t>
            </w:r>
          </w:p>
        </w:tc>
        <w:tc>
          <w:tcPr>
            <w:tcW w:type="dxa" w:w="19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4×4 / Mobilité tout-terrain</w:t>
            </w:r>
          </w:p>
        </w:tc>
        <w:tc>
          <w:tcPr>
            <w:tcW w:type="dxa" w:w="10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5</w:t>
            </w:r>
          </w:p>
        </w:tc>
        <w:tc>
          <w:tcPr>
            <w:tcW w:type="dxa" w:w="9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3</w:t>
            </w:r>
          </w:p>
        </w:tc>
        <w:tc>
          <w:tcPr>
            <w:tcW w:type="dxa" w:w="266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Robuste par nature • Fiable par excellence</w:t>
            </w:r>
          </w:p>
        </w:tc>
      </w:tr>
      <w:tr>
        <w:trPr>
          <w:cantSplit/>
        </w:trPr>
        <w:tc>
          <w:tcPr>
            <w:tcW w:type="dxa" w:w="29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Nissan Terra</w:t>
            </w:r>
          </w:p>
        </w:tc>
        <w:tc>
          <w:tcPr>
            <w:tcW w:type="dxa" w:w="19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SUV haut de gamme</w:t>
            </w:r>
          </w:p>
        </w:tc>
        <w:tc>
          <w:tcPr>
            <w:tcW w:type="dxa" w:w="10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7</w:t>
            </w:r>
          </w:p>
        </w:tc>
        <w:tc>
          <w:tcPr>
            <w:tcW w:type="dxa" w:w="9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3</w:t>
            </w:r>
          </w:p>
        </w:tc>
        <w:tc>
          <w:tcPr>
            <w:tcW w:type="dxa" w:w="266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Caractère. Raffinement. Assurance.</w:t>
            </w:r>
          </w:p>
        </w:tc>
      </w:tr>
    </w:tbl>
    <w:p>
      <w:pPr>
        <w:spacing w:after="120" w:before="100"/>
      </w:pPr>
      <w:r>
        <w:rPr>
          <w:rFonts w:ascii="Calibri" w:cs="Calibri" w:eastAsia="Calibri" w:hAnsi="Calibri"/>
          <w:color w:val="222B36"/>
          <w:sz w:val="21"/>
          <w:szCs w:val="21"/>
        </w:rPr>
        <w:t xml:space="preserve">Les textes (accroche et description) sont ceux fournis par le client. Les capacités en passagers et en bagages sont des valeurs de départ à confirmer par l'entreprise, notamment pour le Nissan Terra ; elles sont modifiables à tout moment dans l'espace d'administration. Les anciens véhicules (Ford Everest XLT, Toyota Land Cruiser 76, Toyota Hilux 2.7L Standard) sont masqués du site mais conservés dans l'administration, où ils peuvent être réactivés.</w:t>
      </w:r>
    </w:p>
    <w:p>
      <w:pPr>
        <w:pStyle w:val="Heading2"/>
        <w:keepNext/>
        <w:spacing w:after="100" w:before="280"/>
      </w:pPr>
      <w:r>
        <w:rPr>
          <w:rFonts w:ascii="Georgia" w:cs="Georgia" w:eastAsia="Georgia" w:hAnsi="Georgia"/>
          <w:b/>
          <w:bCs/>
          <w:color w:val="0C2646"/>
          <w:sz w:val="26"/>
          <w:szCs w:val="26"/>
        </w:rPr>
        <w:t xml:space="preserve">1.5 Services (contenus du client, accroches renforcées)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3700"/>
        <w:gridCol w:w="2360"/>
      </w:tblGrid>
      <w:tr>
        <w:trPr>
          <w:tblHeader/>
        </w:trPr>
        <w:tc>
          <w:tcPr>
            <w:tcW w:type="dxa" w:w="3300"/>
            <w:tcBorders>
              <w:top w:val="single" w:color="C9D4E0" w:sz="4"/>
              <w:left w:val="single" w:color="C9D4E0" w:sz="4"/>
              <w:bottom w:val="single" w:color="C9D4E0" w:sz="4"/>
              <w:right w:val="single" w:color="C9D4E0" w:sz="4"/>
            </w:tcBorders>
            <w:shd w:fill="0C2646" w:color="auto" w:val="clear"/>
            <w:tcMar>
              <w:top w:type="dxa" w:w="70"/>
              <w:left w:type="dxa" w:w="110"/>
              <w:bottom w:type="dxa" w:w="70"/>
              <w:right w:type="dxa" w:w="110"/>
            </w:tcMar>
          </w:tcPr>
          <w:p>
            <w:pPr>
              <w:spacing w:after="30"/>
            </w:pPr>
            <w:r>
              <w:rPr>
                <w:rFonts w:ascii="Calibri" w:cs="Calibri" w:eastAsia="Calibri" w:hAnsi="Calibri"/>
                <w:b/>
                <w:bCs/>
                <w:color w:val="FFFFFF"/>
                <w:sz w:val="19"/>
                <w:szCs w:val="19"/>
              </w:rPr>
              <w:t xml:space="preserve">Service</w:t>
            </w:r>
          </w:p>
        </w:tc>
        <w:tc>
          <w:tcPr>
            <w:tcW w:type="dxa" w:w="3700"/>
            <w:tcBorders>
              <w:top w:val="single" w:color="C9D4E0" w:sz="4"/>
              <w:left w:val="single" w:color="C9D4E0" w:sz="4"/>
              <w:bottom w:val="single" w:color="C9D4E0" w:sz="4"/>
              <w:right w:val="single" w:color="C9D4E0" w:sz="4"/>
            </w:tcBorders>
            <w:shd w:fill="0C2646" w:color="auto" w:val="clear"/>
            <w:tcMar>
              <w:top w:type="dxa" w:w="70"/>
              <w:left w:type="dxa" w:w="110"/>
              <w:bottom w:type="dxa" w:w="70"/>
              <w:right w:type="dxa" w:w="110"/>
            </w:tcMar>
          </w:tcPr>
          <w:p>
            <w:pPr>
              <w:spacing w:after="30"/>
            </w:pPr>
            <w:r>
              <w:rPr>
                <w:rFonts w:ascii="Calibri" w:cs="Calibri" w:eastAsia="Calibri" w:hAnsi="Calibri"/>
                <w:b/>
                <w:bCs/>
                <w:color w:val="FFFFFF"/>
                <w:sz w:val="19"/>
                <w:szCs w:val="19"/>
              </w:rPr>
              <w:t xml:space="preserve">Accroche</w:t>
            </w:r>
          </w:p>
        </w:tc>
        <w:tc>
          <w:tcPr>
            <w:tcW w:type="dxa" w:w="2360"/>
            <w:tcBorders>
              <w:top w:val="single" w:color="C9D4E0" w:sz="4"/>
              <w:left w:val="single" w:color="C9D4E0" w:sz="4"/>
              <w:bottom w:val="single" w:color="C9D4E0" w:sz="4"/>
              <w:right w:val="single" w:color="C9D4E0" w:sz="4"/>
            </w:tcBorders>
            <w:shd w:fill="0C2646" w:color="auto" w:val="clear"/>
            <w:tcMar>
              <w:top w:type="dxa" w:w="70"/>
              <w:left w:type="dxa" w:w="110"/>
              <w:bottom w:type="dxa" w:w="70"/>
              <w:right w:type="dxa" w:w="110"/>
            </w:tcMar>
          </w:tcPr>
          <w:p>
            <w:pPr>
              <w:spacing w:after="30"/>
            </w:pPr>
            <w:r>
              <w:rPr>
                <w:rFonts w:ascii="Calibri" w:cs="Calibri" w:eastAsia="Calibri" w:hAnsi="Calibri"/>
                <w:b/>
                <w:bCs/>
                <w:color w:val="FFFFFF"/>
                <w:sz w:val="19"/>
                <w:szCs w:val="19"/>
              </w:rPr>
              <w:t xml:space="preserve">Bouton d'action</w:t>
            </w:r>
          </w:p>
        </w:tc>
      </w:tr>
      <w:tr>
        <w:trPr>
          <w:cantSplit/>
        </w:trPr>
        <w:tc>
          <w:tcPr>
            <w:tcW w:type="dxa" w:w="33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01 Transferts Aéroportuaires</w:t>
            </w:r>
          </w:p>
        </w:tc>
        <w:tc>
          <w:tcPr>
            <w:tcW w:type="dxa" w:w="37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Vous atterrissez. Tout est déjà réglé.</w:t>
            </w:r>
          </w:p>
        </w:tc>
        <w:tc>
          <w:tcPr>
            <w:tcW w:type="dxa" w:w="236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Organiser mon transfert</w:t>
            </w:r>
          </w:p>
        </w:tc>
      </w:tr>
      <w:tr>
        <w:trPr>
          <w:cantSplit/>
        </w:trPr>
        <w:tc>
          <w:tcPr>
            <w:tcW w:type="dxa" w:w="33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02 Mobilité Exécutive</w:t>
            </w:r>
          </w:p>
        </w:tc>
        <w:tc>
          <w:tcPr>
            <w:tcW w:type="dxa" w:w="37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Votre temps vaut plus que le trajet.</w:t>
            </w:r>
          </w:p>
        </w:tc>
        <w:tc>
          <w:tcPr>
            <w:tcW w:type="dxa" w:w="236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Organiser mon arrivée / mes déplacements</w:t>
            </w:r>
          </w:p>
        </w:tc>
      </w:tr>
      <w:tr>
        <w:trPr>
          <w:cantSplit/>
        </w:trPr>
        <w:tc>
          <w:tcPr>
            <w:tcW w:type="dxa" w:w="33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03 Solutions de Mobilité pour Entreprises</w:t>
            </w:r>
          </w:p>
        </w:tc>
        <w:tc>
          <w:tcPr>
            <w:tcW w:type="dxa" w:w="37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Vos équipes arrivent à l'heure. Sans friction.</w:t>
            </w:r>
          </w:p>
        </w:tc>
        <w:tc>
          <w:tcPr>
            <w:tcW w:type="dxa" w:w="236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Demander une offre entreprise</w:t>
            </w:r>
          </w:p>
        </w:tc>
      </w:tr>
      <w:tr>
        <w:trPr>
          <w:cantSplit/>
        </w:trPr>
        <w:tc>
          <w:tcPr>
            <w:tcW w:type="dxa" w:w="33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04 Mobilité Événementielle &amp; Protocole</w:t>
            </w:r>
          </w:p>
        </w:tc>
        <w:tc>
          <w:tcPr>
            <w:tcW w:type="dxa" w:w="37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Un événement réussi commence sur la route.</w:t>
            </w:r>
          </w:p>
        </w:tc>
        <w:tc>
          <w:tcPr>
            <w:tcW w:type="dxa" w:w="236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Préparer la mobilité de mon événement</w:t>
            </w:r>
          </w:p>
        </w:tc>
      </w:tr>
      <w:tr>
        <w:trPr>
          <w:cantSplit/>
        </w:trPr>
        <w:tc>
          <w:tcPr>
            <w:tcW w:type="dxa" w:w="33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05 Mise à disposition de véhicule</w:t>
            </w:r>
          </w:p>
        </w:tc>
        <w:tc>
          <w:tcPr>
            <w:tcW w:type="dxa" w:w="37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Un chauffeur. Votre programme. Zéro contrainte.</w:t>
            </w:r>
          </w:p>
        </w:tc>
        <w:tc>
          <w:tcPr>
            <w:tcW w:type="dxa" w:w="236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Choisir ma formule</w:t>
            </w:r>
          </w:p>
        </w:tc>
      </w:tr>
      <w:tr>
        <w:trPr>
          <w:cantSplit/>
        </w:trPr>
        <w:tc>
          <w:tcPr>
            <w:tcW w:type="dxa" w:w="33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06 Voyage Privé</w:t>
            </w:r>
          </w:p>
        </w:tc>
        <w:tc>
          <w:tcPr>
            <w:tcW w:type="dxa" w:w="37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Madagascar sans mode d'emploi.</w:t>
            </w:r>
          </w:p>
        </w:tc>
        <w:tc>
          <w:tcPr>
            <w:tcW w:type="dxa" w:w="236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Créer mon expérience sur mesure</w:t>
            </w:r>
          </w:p>
        </w:tc>
      </w:tr>
      <w:tr>
        <w:trPr>
          <w:cantSplit/>
        </w:trPr>
        <w:tc>
          <w:tcPr>
            <w:tcW w:type="dxa" w:w="33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Service à part : Conciergerie Privée VIP (sans numéro)</w:t>
            </w:r>
          </w:p>
        </w:tc>
        <w:tc>
          <w:tcPr>
            <w:tcW w:type="dxa" w:w="37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Dites-le. Nous nous en occupons.</w:t>
            </w:r>
          </w:p>
        </w:tc>
        <w:tc>
          <w:tcPr>
            <w:tcW w:type="dxa" w:w="236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Répondre à mes besoins</w:t>
            </w:r>
          </w:p>
        </w:tc>
      </w:tr>
    </w:tbl>
    <w:p>
      <w:pPr>
        <w:spacing w:after="120" w:before="100"/>
      </w:pPr>
      <w:r>
        <w:rPr>
          <w:rFonts w:ascii="Calibri" w:cs="Calibri" w:eastAsia="Calibri" w:hAnsi="Calibri"/>
          <w:color w:val="222B36"/>
          <w:sz w:val="21"/>
          <w:szCs w:val="21"/>
        </w:rPr>
        <w:t xml:space="preserve">Les textes de fond (paragraphes) sont ceux du document « contenus Site final » du client ; les accroches ont été réécrites pour être plus percutantes, à faire valider. Chaque service a son bloc de contenu, sa page et un bouton d'action qui ouvre le devis avec le service coché. Tout se modifie dans l'administration.</w:t>
      </w:r>
    </w:p>
    <w:p>
      <w:pPr>
        <w:pStyle w:val="Heading1"/>
        <w:keepNext/>
        <w:pBdr>
          <w:bottom w:val="single" w:color="8AA4BD" w:sz="6" w:space="4"/>
        </w:pBdr>
        <w:spacing w:after="160" w:before="420"/>
      </w:pPr>
      <w:r>
        <w:rPr>
          <w:rFonts w:ascii="Georgia" w:cs="Georgia" w:eastAsia="Georgia" w:hAnsi="Georgia"/>
          <w:color w:val="0C2646"/>
          <w:sz w:val="34"/>
          <w:szCs w:val="34"/>
        </w:rPr>
        <w:t xml:space="preserve">2. Objectifs et indicateurs de réussite</w:t>
      </w:r>
    </w:p>
    <w:p>
      <w:pPr>
        <w:pStyle w:val="Heading2"/>
        <w:keepNext/>
        <w:spacing w:after="100" w:before="280"/>
      </w:pPr>
      <w:r>
        <w:rPr>
          <w:rFonts w:ascii="Georgia" w:cs="Georgia" w:eastAsia="Georgia" w:hAnsi="Georgia"/>
          <w:b/>
          <w:bCs/>
          <w:color w:val="0C2646"/>
          <w:sz w:val="26"/>
          <w:szCs w:val="26"/>
        </w:rPr>
        <w:t xml:space="preserve">2.1 Objectifs</w:t>
      </w:r>
    </w:p>
    <w:p>
      <w:pPr>
        <w:pStyle w:val="ListParagraph"/>
        <w:numPr>
          <w:ilvl w:val="0"/>
          <w:numId w:val="2"/>
        </w:numPr>
        <w:spacing w:after="70" w:line="280"/>
      </w:pPr>
      <w:r>
        <w:rPr>
          <w:rFonts w:ascii="Calibri" w:cs="Calibri" w:eastAsia="Calibri" w:hAnsi="Calibri"/>
          <w:b/>
          <w:bCs/>
          <w:color w:val="222B36"/>
          <w:sz w:val="21"/>
          <w:szCs w:val="21"/>
        </w:rPr>
        <w:t xml:space="preserve">Crédibiliser : </w:t>
      </w:r>
      <w:r>
        <w:rPr>
          <w:rFonts w:ascii="Calibri" w:cs="Calibri" w:eastAsia="Calibri" w:hAnsi="Calibri"/>
          <w:color w:val="222B36"/>
          <w:sz w:val="21"/>
          <w:szCs w:val="21"/>
        </w:rPr>
        <w:t xml:space="preserve">donner à TS EXCLUSIVE l'image d'une marque internationale de mobilité exécutive, et non d'une simple société de transport.</w:t>
      </w:r>
    </w:p>
    <w:p>
      <w:pPr>
        <w:pStyle w:val="ListParagraph"/>
        <w:numPr>
          <w:ilvl w:val="0"/>
          <w:numId w:val="2"/>
        </w:numPr>
        <w:spacing w:after="70" w:line="280"/>
      </w:pPr>
      <w:r>
        <w:rPr>
          <w:rFonts w:ascii="Calibri" w:cs="Calibri" w:eastAsia="Calibri" w:hAnsi="Calibri"/>
          <w:b/>
          <w:bCs/>
          <w:color w:val="222B36"/>
          <w:sz w:val="21"/>
          <w:szCs w:val="21"/>
        </w:rPr>
        <w:t xml:space="preserve">Convertir : </w:t>
      </w:r>
      <w:r>
        <w:rPr>
          <w:rFonts w:ascii="Calibri" w:cs="Calibri" w:eastAsia="Calibri" w:hAnsi="Calibri"/>
          <w:color w:val="222B36"/>
          <w:sz w:val="21"/>
          <w:szCs w:val="21"/>
        </w:rPr>
        <w:t xml:space="preserve">amener le visiteur à demander un devis ou à écrire sur WhatsApp en moins de deux clics depuis n'importe quelle page.</w:t>
      </w:r>
    </w:p>
    <w:p>
      <w:pPr>
        <w:pStyle w:val="ListParagraph"/>
        <w:numPr>
          <w:ilvl w:val="0"/>
          <w:numId w:val="2"/>
        </w:numPr>
        <w:spacing w:after="70" w:line="280"/>
      </w:pPr>
      <w:r>
        <w:rPr>
          <w:rFonts w:ascii="Calibri" w:cs="Calibri" w:eastAsia="Calibri" w:hAnsi="Calibri"/>
          <w:b/>
          <w:bCs/>
          <w:color w:val="222B36"/>
          <w:sz w:val="21"/>
          <w:szCs w:val="21"/>
        </w:rPr>
        <w:t xml:space="preserve">Présenter : </w:t>
      </w:r>
      <w:r>
        <w:rPr>
          <w:rFonts w:ascii="Calibri" w:cs="Calibri" w:eastAsia="Calibri" w:hAnsi="Calibri"/>
          <w:color w:val="222B36"/>
          <w:sz w:val="21"/>
          <w:szCs w:val="21"/>
        </w:rPr>
        <w:t xml:space="preserve">rendre les services, la flotte, les destinations et les offres immédiatement compréhensibles.</w:t>
      </w:r>
    </w:p>
    <w:p>
      <w:pPr>
        <w:pStyle w:val="ListParagraph"/>
        <w:numPr>
          <w:ilvl w:val="0"/>
          <w:numId w:val="2"/>
        </w:numPr>
        <w:spacing w:after="70" w:line="280"/>
      </w:pPr>
      <w:r>
        <w:rPr>
          <w:rFonts w:ascii="Calibri" w:cs="Calibri" w:eastAsia="Calibri" w:hAnsi="Calibri"/>
          <w:b/>
          <w:bCs/>
          <w:color w:val="222B36"/>
          <w:sz w:val="21"/>
          <w:szCs w:val="21"/>
        </w:rPr>
        <w:t xml:space="preserve">Être trouvé : </w:t>
      </w:r>
      <w:r>
        <w:rPr>
          <w:rFonts w:ascii="Calibri" w:cs="Calibri" w:eastAsia="Calibri" w:hAnsi="Calibri"/>
          <w:color w:val="222B36"/>
          <w:sz w:val="21"/>
          <w:szCs w:val="21"/>
        </w:rPr>
        <w:t xml:space="preserve">apparaître sur les recherches liées à la mobilité privée à Madagascar, en français et en anglais.</w:t>
      </w:r>
    </w:p>
    <w:p>
      <w:pPr>
        <w:pStyle w:val="ListParagraph"/>
        <w:numPr>
          <w:ilvl w:val="0"/>
          <w:numId w:val="2"/>
        </w:numPr>
        <w:spacing w:after="70" w:line="280"/>
      </w:pPr>
      <w:r>
        <w:rPr>
          <w:rFonts w:ascii="Calibri" w:cs="Calibri" w:eastAsia="Calibri" w:hAnsi="Calibri"/>
          <w:b/>
          <w:bCs/>
          <w:color w:val="222B36"/>
          <w:sz w:val="21"/>
          <w:szCs w:val="21"/>
        </w:rPr>
        <w:t xml:space="preserve">Être autonome : </w:t>
      </w:r>
      <w:r>
        <w:rPr>
          <w:rFonts w:ascii="Calibri" w:cs="Calibri" w:eastAsia="Calibri" w:hAnsi="Calibri"/>
          <w:color w:val="222B36"/>
          <w:sz w:val="21"/>
          <w:szCs w:val="21"/>
        </w:rPr>
        <w:t xml:space="preserve">permettre à l'équipe de modifier le contenu, de suivre les demandes et de gérer les accès sans développeur.</w:t>
      </w:r>
    </w:p>
    <w:p>
      <w:pPr>
        <w:pStyle w:val="Heading2"/>
        <w:keepNext/>
        <w:spacing w:after="100" w:before="280"/>
      </w:pPr>
      <w:r>
        <w:rPr>
          <w:rFonts w:ascii="Georgia" w:cs="Georgia" w:eastAsia="Georgia" w:hAnsi="Georgia"/>
          <w:b/>
          <w:bCs/>
          <w:color w:val="0C2646"/>
          <w:sz w:val="26"/>
          <w:szCs w:val="26"/>
        </w:rPr>
        <w:t xml:space="preserve">2.2 Indicateurs de réussite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rPr>
          <w:tblHeader/>
        </w:trPr>
        <w:tc>
          <w:tcPr>
            <w:tcW w:type="dxa" w:w="6200"/>
            <w:tcBorders>
              <w:top w:val="single" w:color="C9D4E0" w:sz="4"/>
              <w:left w:val="single" w:color="C9D4E0" w:sz="4"/>
              <w:bottom w:val="single" w:color="C9D4E0" w:sz="4"/>
              <w:right w:val="single" w:color="C9D4E0" w:sz="4"/>
            </w:tcBorders>
            <w:shd w:fill="0C2646" w:color="auto" w:val="clear"/>
            <w:tcMar>
              <w:top w:type="dxa" w:w="70"/>
              <w:left w:type="dxa" w:w="110"/>
              <w:bottom w:type="dxa" w:w="70"/>
              <w:right w:type="dxa" w:w="110"/>
            </w:tcMar>
          </w:tcPr>
          <w:p>
            <w:pPr>
              <w:spacing w:after="30"/>
            </w:pPr>
            <w:r>
              <w:rPr>
                <w:rFonts w:ascii="Calibri" w:cs="Calibri" w:eastAsia="Calibri" w:hAnsi="Calibri"/>
                <w:b/>
                <w:bCs/>
                <w:color w:val="FFFFFF"/>
                <w:sz w:val="19"/>
                <w:szCs w:val="19"/>
              </w:rPr>
              <w:t xml:space="preserve">Indicateur</w:t>
            </w:r>
          </w:p>
        </w:tc>
        <w:tc>
          <w:tcPr>
            <w:tcW w:type="dxa" w:w="3160"/>
            <w:tcBorders>
              <w:top w:val="single" w:color="C9D4E0" w:sz="4"/>
              <w:left w:val="single" w:color="C9D4E0" w:sz="4"/>
              <w:bottom w:val="single" w:color="C9D4E0" w:sz="4"/>
              <w:right w:val="single" w:color="C9D4E0" w:sz="4"/>
            </w:tcBorders>
            <w:shd w:fill="0C2646" w:color="auto" w:val="clear"/>
            <w:tcMar>
              <w:top w:type="dxa" w:w="70"/>
              <w:left w:type="dxa" w:w="110"/>
              <w:bottom w:type="dxa" w:w="70"/>
              <w:right w:type="dxa" w:w="110"/>
            </w:tcMar>
          </w:tcPr>
          <w:p>
            <w:pPr>
              <w:spacing w:after="30"/>
            </w:pPr>
            <w:r>
              <w:rPr>
                <w:rFonts w:ascii="Calibri" w:cs="Calibri" w:eastAsia="Calibri" w:hAnsi="Calibri"/>
                <w:b/>
                <w:bCs/>
                <w:color w:val="FFFFFF"/>
                <w:sz w:val="19"/>
                <w:szCs w:val="19"/>
              </w:rPr>
              <w:t xml:space="preserve">Cible</w:t>
            </w:r>
          </w:p>
        </w:tc>
      </w:tr>
      <w:tr>
        <w:trPr>
          <w:cantSplit/>
        </w:trPr>
        <w:tc>
          <w:tcPr>
            <w:tcW w:type="dxa" w:w="62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Taux de demandes de devis (visiteurs ayant envoyé une demande)</w:t>
            </w:r>
          </w:p>
        </w:tc>
        <w:tc>
          <w:tcPr>
            <w:tcW w:type="dxa" w:w="316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2 % à 4 % des visiteurs</w:t>
            </w:r>
          </w:p>
        </w:tc>
      </w:tr>
      <w:tr>
        <w:trPr>
          <w:cantSplit/>
        </w:trPr>
        <w:tc>
          <w:tcPr>
            <w:tcW w:type="dxa" w:w="62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Temps de chargement de la page d'accueil (4G)</w:t>
            </w:r>
          </w:p>
        </w:tc>
        <w:tc>
          <w:tcPr>
            <w:tcW w:type="dxa" w:w="316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Moins de 3 secondes</w:t>
            </w:r>
          </w:p>
        </w:tc>
      </w:tr>
      <w:tr>
        <w:trPr>
          <w:cantSplit/>
        </w:trPr>
        <w:tc>
          <w:tcPr>
            <w:tcW w:type="dxa" w:w="62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Score Lighthouse (performance, accessibilité, SEO)</w:t>
            </w:r>
          </w:p>
        </w:tc>
        <w:tc>
          <w:tcPr>
            <w:tcW w:type="dxa" w:w="316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90 et plus sur chaque critère</w:t>
            </w:r>
          </w:p>
        </w:tc>
      </w:tr>
      <w:tr>
        <w:trPr>
          <w:cantSplit/>
        </w:trPr>
        <w:tc>
          <w:tcPr>
            <w:tcW w:type="dxa" w:w="62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Délai de traitement d'une demande de devis</w:t>
            </w:r>
          </w:p>
        </w:tc>
        <w:tc>
          <w:tcPr>
            <w:tcW w:type="dxa" w:w="316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Moins de 24 heures, notification immédiate à l'équipe</w:t>
            </w:r>
          </w:p>
        </w:tc>
      </w:tr>
      <w:tr>
        <w:trPr>
          <w:cantSplit/>
        </w:trPr>
        <w:tc>
          <w:tcPr>
            <w:tcW w:type="dxa" w:w="62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Pages indexées par les moteurs de recherche</w:t>
            </w:r>
          </w:p>
        </w:tc>
        <w:tc>
          <w:tcPr>
            <w:tcW w:type="dxa" w:w="316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100 % des pages publiques, en français et en anglais</w:t>
            </w:r>
          </w:p>
        </w:tc>
      </w:tr>
      <w:tr>
        <w:trPr>
          <w:cantSplit/>
        </w:trPr>
        <w:tc>
          <w:tcPr>
            <w:tcW w:type="dxa" w:w="62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Autonomie de l'équipe</w:t>
            </w:r>
          </w:p>
        </w:tc>
        <w:tc>
          <w:tcPr>
            <w:tcW w:type="dxa" w:w="316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Modification d'un texte, d'une photo ou d'un véhicule en moins de 5 minutes</w:t>
            </w:r>
          </w:p>
        </w:tc>
      </w:tr>
    </w:tbl>
    <w:p>
      <w:pPr>
        <w:pStyle w:val="Heading1"/>
        <w:keepNext/>
        <w:pBdr>
          <w:bottom w:val="single" w:color="8AA4BD" w:sz="6" w:space="4"/>
        </w:pBdr>
        <w:spacing w:after="160" w:before="420"/>
      </w:pPr>
      <w:r>
        <w:rPr>
          <w:rFonts w:ascii="Georgia" w:cs="Georgia" w:eastAsia="Georgia" w:hAnsi="Georgia"/>
          <w:color w:val="0C2646"/>
          <w:sz w:val="34"/>
          <w:szCs w:val="34"/>
        </w:rPr>
        <w:t xml:space="preserve">3. Cibles et parcours utilisateurs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C9D4E0" w:sz="4"/>
              <w:left w:val="single" w:color="C9D4E0" w:sz="4"/>
              <w:bottom w:val="single" w:color="C9D4E0" w:sz="4"/>
              <w:right w:val="single" w:color="C9D4E0" w:sz="4"/>
            </w:tcBorders>
            <w:shd w:fill="0C2646" w:color="auto" w:val="clear"/>
            <w:tcMar>
              <w:top w:type="dxa" w:w="70"/>
              <w:left w:type="dxa" w:w="110"/>
              <w:bottom w:type="dxa" w:w="70"/>
              <w:right w:type="dxa" w:w="110"/>
            </w:tcMar>
          </w:tcPr>
          <w:p>
            <w:pPr>
              <w:spacing w:after="30"/>
            </w:pPr>
            <w:r>
              <w:rPr>
                <w:rFonts w:ascii="Calibri" w:cs="Calibri" w:eastAsia="Calibri" w:hAnsi="Calibri"/>
                <w:b/>
                <w:bCs/>
                <w:color w:val="FFFFFF"/>
                <w:sz w:val="19"/>
                <w:szCs w:val="19"/>
              </w:rPr>
              <w:t xml:space="preserve">Cible</w:t>
            </w:r>
          </w:p>
        </w:tc>
        <w:tc>
          <w:tcPr>
            <w:tcW w:type="dxa" w:w="3200"/>
            <w:tcBorders>
              <w:top w:val="single" w:color="C9D4E0" w:sz="4"/>
              <w:left w:val="single" w:color="C9D4E0" w:sz="4"/>
              <w:bottom w:val="single" w:color="C9D4E0" w:sz="4"/>
              <w:right w:val="single" w:color="C9D4E0" w:sz="4"/>
            </w:tcBorders>
            <w:shd w:fill="0C2646" w:color="auto" w:val="clear"/>
            <w:tcMar>
              <w:top w:type="dxa" w:w="70"/>
              <w:left w:type="dxa" w:w="110"/>
              <w:bottom w:type="dxa" w:w="70"/>
              <w:right w:type="dxa" w:w="110"/>
            </w:tcMar>
          </w:tcPr>
          <w:p>
            <w:pPr>
              <w:spacing w:after="30"/>
            </w:pPr>
            <w:r>
              <w:rPr>
                <w:rFonts w:ascii="Calibri" w:cs="Calibri" w:eastAsia="Calibri" w:hAnsi="Calibri"/>
                <w:b/>
                <w:bCs/>
                <w:color w:val="FFFFFF"/>
                <w:sz w:val="19"/>
                <w:szCs w:val="19"/>
              </w:rPr>
              <w:t xml:space="preserve">Besoin principal</w:t>
            </w:r>
          </w:p>
        </w:tc>
        <w:tc>
          <w:tcPr>
            <w:tcW w:type="dxa" w:w="3560"/>
            <w:tcBorders>
              <w:top w:val="single" w:color="C9D4E0" w:sz="4"/>
              <w:left w:val="single" w:color="C9D4E0" w:sz="4"/>
              <w:bottom w:val="single" w:color="C9D4E0" w:sz="4"/>
              <w:right w:val="single" w:color="C9D4E0" w:sz="4"/>
            </w:tcBorders>
            <w:shd w:fill="0C2646" w:color="auto" w:val="clear"/>
            <w:tcMar>
              <w:top w:type="dxa" w:w="70"/>
              <w:left w:type="dxa" w:w="110"/>
              <w:bottom w:type="dxa" w:w="70"/>
              <w:right w:type="dxa" w:w="110"/>
            </w:tcMar>
          </w:tcPr>
          <w:p>
            <w:pPr>
              <w:spacing w:after="30"/>
            </w:pPr>
            <w:r>
              <w:rPr>
                <w:rFonts w:ascii="Calibri" w:cs="Calibri" w:eastAsia="Calibri" w:hAnsi="Calibri"/>
                <w:b/>
                <w:bCs/>
                <w:color w:val="FFFFFF"/>
                <w:sz w:val="19"/>
                <w:szCs w:val="19"/>
              </w:rPr>
              <w:t xml:space="preserve">Ce que le site doit offrir</w:t>
            </w:r>
          </w:p>
        </w:tc>
      </w:tr>
      <w:tr>
        <w:trPr>
          <w:cantSplit/>
        </w:trPr>
        <w:tc>
          <w:tcPr>
            <w:tcW w:type="dxa" w:w="26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Dirigeants et cadres de passage</w:t>
            </w:r>
          </w:p>
        </w:tc>
        <w:tc>
          <w:tcPr>
            <w:tcW w:type="dxa" w:w="32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Être accueillis, discrets, sans mauvaise surprise</w:t>
            </w:r>
          </w:p>
        </w:tc>
        <w:tc>
          <w:tcPr>
            <w:tcW w:type="dxa" w:w="356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Transfert aéroport, chauffeur dédié, preuve de sérieux</w:t>
            </w:r>
          </w:p>
        </w:tc>
      </w:tr>
      <w:tr>
        <w:trPr>
          <w:cantSplit/>
        </w:trPr>
        <w:tc>
          <w:tcPr>
            <w:tcW w:type="dxa" w:w="26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Entreprises, ONG, organismes internationaux</w:t>
            </w:r>
          </w:p>
        </w:tc>
        <w:tc>
          <w:tcPr>
            <w:tcW w:type="dxa" w:w="32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Véhicule et chauffeur sur la durée, facturation claire</w:t>
            </w:r>
          </w:p>
        </w:tc>
        <w:tc>
          <w:tcPr>
            <w:tcW w:type="dxa" w:w="356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Offres Corporate et Longue route, contact commercial</w:t>
            </w:r>
          </w:p>
        </w:tc>
      </w:tr>
      <w:tr>
        <w:trPr>
          <w:cantSplit/>
        </w:trPr>
        <w:tc>
          <w:tcPr>
            <w:tcW w:type="dxa" w:w="26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Hôtels, agences de voyage, DMC</w:t>
            </w:r>
          </w:p>
        </w:tc>
        <w:tc>
          <w:tcPr>
            <w:tcW w:type="dxa" w:w="32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Un partenaire fiable pour leurs clients</w:t>
            </w:r>
          </w:p>
        </w:tc>
        <w:tc>
          <w:tcPr>
            <w:tcW w:type="dxa" w:w="356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Page Hospitality, devenir partenaire</w:t>
            </w:r>
          </w:p>
        </w:tc>
      </w:tr>
      <w:tr>
        <w:trPr>
          <w:cantSplit/>
        </w:trPr>
        <w:tc>
          <w:tcPr>
            <w:tcW w:type="dxa" w:w="26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Organisateurs d'événements et délégations</w:t>
            </w:r>
          </w:p>
        </w:tc>
        <w:tc>
          <w:tcPr>
            <w:tcW w:type="dxa" w:w="32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Coordonner plusieurs véhicules et horaires</w:t>
            </w:r>
          </w:p>
        </w:tc>
        <w:tc>
          <w:tcPr>
            <w:tcW w:type="dxa" w:w="356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Page Événements et Protocole, devis sur mesure</w:t>
            </w:r>
          </w:p>
        </w:tc>
      </w:tr>
      <w:tr>
        <w:trPr>
          <w:cantSplit/>
        </w:trPr>
        <w:tc>
          <w:tcPr>
            <w:tcW w:type="dxa" w:w="26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Voyageurs et familles</w:t>
            </w:r>
          </w:p>
        </w:tc>
        <w:tc>
          <w:tcPr>
            <w:tcW w:type="dxa" w:w="32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Circuits privés, confort, sécurité</w:t>
            </w:r>
          </w:p>
        </w:tc>
        <w:tc>
          <w:tcPr>
            <w:tcW w:type="dxa" w:w="356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Destinations, flotte, offre Mobilité</w:t>
            </w:r>
          </w:p>
        </w:tc>
      </w:tr>
    </w:tbl>
    <w:p>
      <w:pPr>
        <w:pStyle w:val="Heading2"/>
        <w:keepNext/>
        <w:spacing w:after="100" w:before="280"/>
      </w:pPr>
      <w:r>
        <w:rPr>
          <w:rFonts w:ascii="Georgia" w:cs="Georgia" w:eastAsia="Georgia" w:hAnsi="Georgia"/>
          <w:b/>
          <w:bCs/>
          <w:color w:val="0C2646"/>
          <w:sz w:val="26"/>
          <w:szCs w:val="26"/>
        </w:rPr>
        <w:t xml:space="preserve">Parcours type</w:t>
      </w:r>
    </w:p>
    <w:p>
      <w:pPr>
        <w:pStyle w:val="ListParagraph"/>
        <w:numPr>
          <w:ilvl w:val="0"/>
          <w:numId w:val="2"/>
        </w:numPr>
        <w:spacing w:after="70" w:line="280"/>
      </w:pPr>
      <w:r>
        <w:rPr>
          <w:rFonts w:ascii="Calibri" w:cs="Calibri" w:eastAsia="Calibri" w:hAnsi="Calibri"/>
          <w:color w:val="222B36"/>
          <w:sz w:val="21"/>
          <w:szCs w:val="21"/>
        </w:rPr>
        <w:t xml:space="preserve">Le visiteur arrive sur l'accueil, comprend en quelques secondes ce que fait l'entreprise (hero, slogan, trois valeurs, chiffres clés).</w:t>
      </w:r>
    </w:p>
    <w:p>
      <w:pPr>
        <w:pStyle w:val="ListParagraph"/>
        <w:numPr>
          <w:ilvl w:val="0"/>
          <w:numId w:val="2"/>
        </w:numPr>
        <w:spacing w:after="70" w:line="280"/>
      </w:pPr>
      <w:r>
        <w:rPr>
          <w:rFonts w:ascii="Calibri" w:cs="Calibri" w:eastAsia="Calibri" w:hAnsi="Calibri"/>
          <w:color w:val="222B36"/>
          <w:sz w:val="21"/>
          <w:szCs w:val="21"/>
        </w:rPr>
        <w:t xml:space="preserve">Il explore un service, la flotte ou une destination.</w:t>
      </w:r>
    </w:p>
    <w:p>
      <w:pPr>
        <w:pStyle w:val="ListParagraph"/>
        <w:numPr>
          <w:ilvl w:val="0"/>
          <w:numId w:val="2"/>
        </w:numPr>
        <w:spacing w:after="70" w:line="280"/>
      </w:pPr>
      <w:r>
        <w:rPr>
          <w:rFonts w:ascii="Calibri" w:cs="Calibri" w:eastAsia="Calibri" w:hAnsi="Calibri"/>
          <w:color w:val="222B36"/>
          <w:sz w:val="21"/>
          <w:szCs w:val="21"/>
        </w:rPr>
        <w:t xml:space="preserve">Il demande un devis (formulaire) ou écrit sur WhatsApp, depuis le menu, le bandeau mobile ou n'importe quelle page.</w:t>
      </w:r>
    </w:p>
    <w:p>
      <w:pPr>
        <w:pStyle w:val="ListParagraph"/>
        <w:numPr>
          <w:ilvl w:val="0"/>
          <w:numId w:val="2"/>
        </w:numPr>
        <w:spacing w:after="70" w:line="280"/>
      </w:pPr>
      <w:r>
        <w:rPr>
          <w:rFonts w:ascii="Calibri" w:cs="Calibri" w:eastAsia="Calibri" w:hAnsi="Calibri"/>
          <w:color w:val="222B36"/>
          <w:sz w:val="21"/>
          <w:szCs w:val="21"/>
        </w:rPr>
        <w:t xml:space="preserve">L'équipe reçoit la demande, la traite dans l'administration et répond avec un devis.</w:t>
      </w:r>
    </w:p>
    <w:p>
      <w:pPr>
        <w:pStyle w:val="Heading1"/>
        <w:keepNext/>
        <w:pBdr>
          <w:bottom w:val="single" w:color="8AA4BD" w:sz="6" w:space="4"/>
        </w:pBdr>
        <w:spacing w:after="160" w:before="420"/>
      </w:pPr>
      <w:r>
        <w:rPr>
          <w:rFonts w:ascii="Georgia" w:cs="Georgia" w:eastAsia="Georgia" w:hAnsi="Georgia"/>
          <w:color w:val="0C2646"/>
          <w:sz w:val="34"/>
          <w:szCs w:val="34"/>
        </w:rPr>
        <w:t xml:space="preserve">4. Périmètre</w:t>
      </w:r>
    </w:p>
    <w:p>
      <w:pPr>
        <w:pStyle w:val="Heading2"/>
        <w:keepNext/>
        <w:spacing w:after="100" w:before="280"/>
      </w:pPr>
      <w:r>
        <w:rPr>
          <w:rFonts w:ascii="Georgia" w:cs="Georgia" w:eastAsia="Georgia" w:hAnsi="Georgia"/>
          <w:b/>
          <w:bCs/>
          <w:color w:val="0C2646"/>
          <w:sz w:val="26"/>
          <w:szCs w:val="26"/>
        </w:rPr>
        <w:t xml:space="preserve">4.1 Inclus</w:t>
      </w:r>
    </w:p>
    <w:p>
      <w:pPr>
        <w:pStyle w:val="ListParagraph"/>
        <w:numPr>
          <w:ilvl w:val="0"/>
          <w:numId w:val="2"/>
        </w:numPr>
        <w:spacing w:after="70" w:line="280"/>
      </w:pPr>
      <w:r>
        <w:rPr>
          <w:rFonts w:ascii="Calibri" w:cs="Calibri" w:eastAsia="Calibri" w:hAnsi="Calibri"/>
          <w:color w:val="222B36"/>
          <w:sz w:val="21"/>
          <w:szCs w:val="21"/>
        </w:rPr>
        <w:t xml:space="preserve">Site public bilingue (français et anglais) : accueil, services, flotte, destinations, corporate, hospitality, événements, à propos, tarifs, contact et demande de devis.</w:t>
      </w:r>
    </w:p>
    <w:p>
      <w:pPr>
        <w:pStyle w:val="ListParagraph"/>
        <w:numPr>
          <w:ilvl w:val="0"/>
          <w:numId w:val="2"/>
        </w:numPr>
        <w:spacing w:after="70" w:line="280"/>
      </w:pPr>
      <w:r>
        <w:rPr>
          <w:rFonts w:ascii="Calibri" w:cs="Calibri" w:eastAsia="Calibri" w:hAnsi="Calibri"/>
          <w:color w:val="222B36"/>
          <w:sz w:val="21"/>
          <w:szCs w:val="21"/>
        </w:rPr>
        <w:t xml:space="preserve">Espace d'administration : tableau de bord, demandes de devis, gestion de tout le contenu, médiathèque, comptes utilisateurs, coordonnées.</w:t>
      </w:r>
    </w:p>
    <w:p>
      <w:pPr>
        <w:pStyle w:val="ListParagraph"/>
        <w:numPr>
          <w:ilvl w:val="0"/>
          <w:numId w:val="2"/>
        </w:numPr>
        <w:spacing w:after="70" w:line="280"/>
      </w:pPr>
      <w:r>
        <w:rPr>
          <w:rFonts w:ascii="Calibri" w:cs="Calibri" w:eastAsia="Calibri" w:hAnsi="Calibri"/>
          <w:color w:val="222B36"/>
          <w:sz w:val="21"/>
          <w:szCs w:val="21"/>
        </w:rPr>
        <w:t xml:space="preserve">Identité visuelle web : logo vectoriel, charte, composants, animations.</w:t>
      </w:r>
    </w:p>
    <w:p>
      <w:pPr>
        <w:pStyle w:val="ListParagraph"/>
        <w:numPr>
          <w:ilvl w:val="0"/>
          <w:numId w:val="2"/>
        </w:numPr>
        <w:spacing w:after="70" w:line="280"/>
      </w:pPr>
      <w:r>
        <w:rPr>
          <w:rFonts w:ascii="Calibri" w:cs="Calibri" w:eastAsia="Calibri" w:hAnsi="Calibri"/>
          <w:color w:val="222B36"/>
          <w:sz w:val="21"/>
          <w:szCs w:val="21"/>
        </w:rPr>
        <w:t xml:space="preserve">Référencement naturel : balises, plan du site, données structurées.</w:t>
      </w:r>
    </w:p>
    <w:p>
      <w:pPr>
        <w:pStyle w:val="ListParagraph"/>
        <w:numPr>
          <w:ilvl w:val="0"/>
          <w:numId w:val="2"/>
        </w:numPr>
        <w:spacing w:after="70" w:line="280"/>
      </w:pPr>
      <w:r>
        <w:rPr>
          <w:rFonts w:ascii="Calibri" w:cs="Calibri" w:eastAsia="Calibri" w:hAnsi="Calibri"/>
          <w:color w:val="222B36"/>
          <w:sz w:val="21"/>
          <w:szCs w:val="21"/>
        </w:rPr>
        <w:t xml:space="preserve">Hébergement, base de données et déploiement continu.</w:t>
      </w:r>
    </w:p>
    <w:p>
      <w:pPr>
        <w:pStyle w:val="ListParagraph"/>
        <w:numPr>
          <w:ilvl w:val="0"/>
          <w:numId w:val="2"/>
        </w:numPr>
        <w:spacing w:after="70" w:line="280"/>
      </w:pPr>
      <w:r>
        <w:rPr>
          <w:rFonts w:ascii="Calibri" w:cs="Calibri" w:eastAsia="Calibri" w:hAnsi="Calibri"/>
          <w:color w:val="222B36"/>
          <w:sz w:val="21"/>
          <w:szCs w:val="21"/>
        </w:rPr>
        <w:t xml:space="preserve">Documentation technique et guide d'utilisation.</w:t>
      </w:r>
    </w:p>
    <w:p>
      <w:pPr>
        <w:pStyle w:val="Heading2"/>
        <w:keepNext/>
        <w:spacing w:after="100" w:before="280"/>
      </w:pPr>
      <w:r>
        <w:rPr>
          <w:rFonts w:ascii="Georgia" w:cs="Georgia" w:eastAsia="Georgia" w:hAnsi="Georgia"/>
          <w:b/>
          <w:bCs/>
          <w:color w:val="0C2646"/>
          <w:sz w:val="26"/>
          <w:szCs w:val="26"/>
        </w:rPr>
        <w:t xml:space="preserve">4.2 Exclu de cette version</w:t>
      </w:r>
    </w:p>
    <w:p>
      <w:pPr>
        <w:pStyle w:val="ListParagraph"/>
        <w:numPr>
          <w:ilvl w:val="0"/>
          <w:numId w:val="2"/>
        </w:numPr>
        <w:spacing w:after="70" w:line="280"/>
      </w:pPr>
      <w:r>
        <w:rPr>
          <w:rFonts w:ascii="Calibri" w:cs="Calibri" w:eastAsia="Calibri" w:hAnsi="Calibri"/>
          <w:color w:val="222B36"/>
          <w:sz w:val="21"/>
          <w:szCs w:val="21"/>
        </w:rPr>
        <w:t xml:space="preserve">Réservation et paiement en ligne.</w:t>
      </w:r>
    </w:p>
    <w:p>
      <w:pPr>
        <w:pStyle w:val="ListParagraph"/>
        <w:numPr>
          <w:ilvl w:val="0"/>
          <w:numId w:val="2"/>
        </w:numPr>
        <w:spacing w:after="70" w:line="280"/>
      </w:pPr>
      <w:r>
        <w:rPr>
          <w:rFonts w:ascii="Calibri" w:cs="Calibri" w:eastAsia="Calibri" w:hAnsi="Calibri"/>
          <w:color w:val="222B36"/>
          <w:sz w:val="21"/>
          <w:szCs w:val="21"/>
        </w:rPr>
        <w:t xml:space="preserve">Espace client avec historique de courses.</w:t>
      </w:r>
    </w:p>
    <w:p>
      <w:pPr>
        <w:pStyle w:val="ListParagraph"/>
        <w:numPr>
          <w:ilvl w:val="0"/>
          <w:numId w:val="2"/>
        </w:numPr>
        <w:spacing w:after="70" w:line="280"/>
      </w:pPr>
      <w:r>
        <w:rPr>
          <w:rFonts w:ascii="Calibri" w:cs="Calibri" w:eastAsia="Calibri" w:hAnsi="Calibri"/>
          <w:color w:val="222B36"/>
          <w:sz w:val="21"/>
          <w:szCs w:val="21"/>
        </w:rPr>
        <w:t xml:space="preserve">Application mobile.</w:t>
      </w:r>
    </w:p>
    <w:p>
      <w:pPr>
        <w:pStyle w:val="ListParagraph"/>
        <w:numPr>
          <w:ilvl w:val="0"/>
          <w:numId w:val="2"/>
        </w:numPr>
        <w:spacing w:after="70" w:line="280"/>
      </w:pPr>
      <w:r>
        <w:rPr>
          <w:rFonts w:ascii="Calibri" w:cs="Calibri" w:eastAsia="Calibri" w:hAnsi="Calibri"/>
          <w:color w:val="222B36"/>
          <w:sz w:val="21"/>
          <w:szCs w:val="21"/>
        </w:rPr>
        <w:t xml:space="preserve">Blog et gestion d'articles.</w:t>
      </w:r>
    </w:p>
    <w:p>
      <w:pPr>
        <w:pStyle w:val="ListParagraph"/>
        <w:numPr>
          <w:ilvl w:val="0"/>
          <w:numId w:val="2"/>
        </w:numPr>
        <w:spacing w:after="70" w:line="280"/>
      </w:pPr>
      <w:r>
        <w:rPr>
          <w:rFonts w:ascii="Calibri" w:cs="Calibri" w:eastAsia="Calibri" w:hAnsi="Calibri"/>
          <w:color w:val="222B36"/>
          <w:sz w:val="21"/>
          <w:szCs w:val="21"/>
        </w:rPr>
        <w:t xml:space="preserve">Suivi de véhicules en temps réel.</w:t>
      </w:r>
    </w:p>
    <w:p>
      <w:pPr>
        <w:pStyle w:val="ListParagraph"/>
        <w:numPr>
          <w:ilvl w:val="0"/>
          <w:numId w:val="2"/>
        </w:numPr>
        <w:spacing w:after="70" w:line="280"/>
      </w:pPr>
      <w:r>
        <w:rPr>
          <w:rFonts w:ascii="Calibri" w:cs="Calibri" w:eastAsia="Calibri" w:hAnsi="Calibri"/>
          <w:color w:val="222B36"/>
          <w:sz w:val="21"/>
          <w:szCs w:val="21"/>
        </w:rPr>
        <w:t xml:space="preserve">Facturation automatisée.</w:t>
      </w:r>
    </w:p>
    <w:p>
      <w:pPr>
        <w:spacing w:after="120" w:line="300"/>
      </w:pPr>
      <w:r>
        <w:rPr>
          <w:rFonts w:ascii="Calibri" w:cs="Calibri" w:eastAsia="Calibri" w:hAnsi="Calibri"/>
          <w:color w:val="222B36"/>
          <w:sz w:val="21"/>
          <w:szCs w:val="21"/>
        </w:rPr>
        <w:t xml:space="preserve">Ces éléments sont listés au chapitre 17 comme évolutions possibles.</w:t>
      </w:r>
    </w:p>
    <w:p>
      <w:pPr>
        <w:pStyle w:val="Heading1"/>
        <w:keepNext/>
        <w:pBdr>
          <w:bottom w:val="single" w:color="8AA4BD" w:sz="6" w:space="4"/>
        </w:pBdr>
        <w:spacing w:after="160" w:before="420"/>
      </w:pPr>
      <w:r>
        <w:rPr>
          <w:rFonts w:ascii="Georgia" w:cs="Georgia" w:eastAsia="Georgia" w:hAnsi="Georgia"/>
          <w:color w:val="0C2646"/>
          <w:sz w:val="34"/>
          <w:szCs w:val="34"/>
        </w:rPr>
        <w:t xml:space="preserve">5. Arborescence et pages</w:t>
      </w:r>
    </w:p>
    <w:p>
      <w:pPr>
        <w:spacing w:after="120" w:line="300"/>
      </w:pPr>
      <w:r>
        <w:rPr>
          <w:rFonts w:ascii="Calibri" w:cs="Calibri" w:eastAsia="Calibri" w:hAnsi="Calibri"/>
          <w:color w:val="222B36"/>
          <w:sz w:val="21"/>
          <w:szCs w:val="21"/>
        </w:rPr>
        <w:t xml:space="preserve">Chaque page existe en français (à la racine) et en anglais (préfixe /en). Le menu plein écran donne accès à toutes les pages ; l'en-tête affiche en permanence le logo, le sélecteur de langue, le bouton Demander un devis et le menu burger, avec un filet fin dessous.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900"/>
        <w:gridCol w:w="3860"/>
      </w:tblGrid>
      <w:tr>
        <w:trPr>
          <w:tblHeader/>
        </w:trPr>
        <w:tc>
          <w:tcPr>
            <w:tcW w:type="dxa" w:w="1700"/>
            <w:tcBorders>
              <w:top w:val="single" w:color="C9D4E0" w:sz="4"/>
              <w:left w:val="single" w:color="C9D4E0" w:sz="4"/>
              <w:bottom w:val="single" w:color="C9D4E0" w:sz="4"/>
              <w:right w:val="single" w:color="C9D4E0" w:sz="4"/>
            </w:tcBorders>
            <w:shd w:fill="0C2646" w:color="auto" w:val="clear"/>
            <w:tcMar>
              <w:top w:type="dxa" w:w="70"/>
              <w:left w:type="dxa" w:w="110"/>
              <w:bottom w:type="dxa" w:w="70"/>
              <w:right w:type="dxa" w:w="110"/>
            </w:tcMar>
          </w:tcPr>
          <w:p>
            <w:pPr>
              <w:spacing w:after="30"/>
            </w:pPr>
            <w:r>
              <w:rPr>
                <w:rFonts w:ascii="Calibri" w:cs="Calibri" w:eastAsia="Calibri" w:hAnsi="Calibri"/>
                <w:b/>
                <w:bCs/>
                <w:color w:val="FFFFFF"/>
                <w:sz w:val="19"/>
                <w:szCs w:val="19"/>
              </w:rPr>
              <w:t xml:space="preserve">Page</w:t>
            </w:r>
          </w:p>
        </w:tc>
        <w:tc>
          <w:tcPr>
            <w:tcW w:type="dxa" w:w="1900"/>
            <w:tcBorders>
              <w:top w:val="single" w:color="C9D4E0" w:sz="4"/>
              <w:left w:val="single" w:color="C9D4E0" w:sz="4"/>
              <w:bottom w:val="single" w:color="C9D4E0" w:sz="4"/>
              <w:right w:val="single" w:color="C9D4E0" w:sz="4"/>
            </w:tcBorders>
            <w:shd w:fill="0C2646" w:color="auto" w:val="clear"/>
            <w:tcMar>
              <w:top w:type="dxa" w:w="70"/>
              <w:left w:type="dxa" w:w="110"/>
              <w:bottom w:type="dxa" w:w="70"/>
              <w:right w:type="dxa" w:w="110"/>
            </w:tcMar>
          </w:tcPr>
          <w:p>
            <w:pPr>
              <w:spacing w:after="30"/>
            </w:pPr>
            <w:r>
              <w:rPr>
                <w:rFonts w:ascii="Calibri" w:cs="Calibri" w:eastAsia="Calibri" w:hAnsi="Calibri"/>
                <w:b/>
                <w:bCs/>
                <w:color w:val="FFFFFF"/>
                <w:sz w:val="19"/>
                <w:szCs w:val="19"/>
              </w:rPr>
              <w:t xml:space="preserve">Adresse</w:t>
            </w:r>
          </w:p>
        </w:tc>
        <w:tc>
          <w:tcPr>
            <w:tcW w:type="dxa" w:w="1900"/>
            <w:tcBorders>
              <w:top w:val="single" w:color="C9D4E0" w:sz="4"/>
              <w:left w:val="single" w:color="C9D4E0" w:sz="4"/>
              <w:bottom w:val="single" w:color="C9D4E0" w:sz="4"/>
              <w:right w:val="single" w:color="C9D4E0" w:sz="4"/>
            </w:tcBorders>
            <w:shd w:fill="0C2646" w:color="auto" w:val="clear"/>
            <w:tcMar>
              <w:top w:type="dxa" w:w="70"/>
              <w:left w:type="dxa" w:w="110"/>
              <w:bottom w:type="dxa" w:w="70"/>
              <w:right w:type="dxa" w:w="110"/>
            </w:tcMar>
          </w:tcPr>
          <w:p>
            <w:pPr>
              <w:spacing w:after="30"/>
            </w:pPr>
            <w:r>
              <w:rPr>
                <w:rFonts w:ascii="Calibri" w:cs="Calibri" w:eastAsia="Calibri" w:hAnsi="Calibri"/>
                <w:b/>
                <w:bCs/>
                <w:color w:val="FFFFFF"/>
                <w:sz w:val="19"/>
                <w:szCs w:val="19"/>
              </w:rPr>
              <w:t xml:space="preserve">Objectif</w:t>
            </w:r>
          </w:p>
        </w:tc>
        <w:tc>
          <w:tcPr>
            <w:tcW w:type="dxa" w:w="3860"/>
            <w:tcBorders>
              <w:top w:val="single" w:color="C9D4E0" w:sz="4"/>
              <w:left w:val="single" w:color="C9D4E0" w:sz="4"/>
              <w:bottom w:val="single" w:color="C9D4E0" w:sz="4"/>
              <w:right w:val="single" w:color="C9D4E0" w:sz="4"/>
            </w:tcBorders>
            <w:shd w:fill="0C2646" w:color="auto" w:val="clear"/>
            <w:tcMar>
              <w:top w:type="dxa" w:w="70"/>
              <w:left w:type="dxa" w:w="110"/>
              <w:bottom w:type="dxa" w:w="70"/>
              <w:right w:type="dxa" w:w="110"/>
            </w:tcMar>
          </w:tcPr>
          <w:p>
            <w:pPr>
              <w:spacing w:after="30"/>
            </w:pPr>
            <w:r>
              <w:rPr>
                <w:rFonts w:ascii="Calibri" w:cs="Calibri" w:eastAsia="Calibri" w:hAnsi="Calibri"/>
                <w:b/>
                <w:bCs/>
                <w:color w:val="FFFFFF"/>
                <w:sz w:val="19"/>
                <w:szCs w:val="19"/>
              </w:rPr>
              <w:t xml:space="preserve">Contenu principal</w:t>
            </w:r>
          </w:p>
        </w:tc>
      </w:tr>
      <w:tr>
        <w:trPr>
          <w:cantSplit/>
        </w:trPr>
        <w:tc>
          <w:tcPr>
            <w:tcW w:type="dxa" w:w="17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Accueil</w:t>
            </w:r>
          </w:p>
        </w:tc>
        <w:tc>
          <w:tcPr>
            <w:tcW w:type="dxa" w:w="19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w:t>
            </w:r>
          </w:p>
        </w:tc>
        <w:tc>
          <w:tcPr>
            <w:tcW w:type="dxa" w:w="19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Convaincre et orienter</w:t>
            </w:r>
          </w:p>
        </w:tc>
        <w:tc>
          <w:tcPr>
            <w:tcW w:type="dxa" w:w="386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Hero (photo de voiture, slogan, onglet doré « Voir les offres », chiffres clés), accroche et trois valeurs, mosaïque des six services numérotés avec bouton d'action, bloc de la conciergerie privée VIP (service à part), bloc clair (flotte à parcourir, à propos, téléphone), destinations avec carte, parcours L'expérience TS, partenaires, témoignages, FAQ, appel final</w:t>
            </w:r>
          </w:p>
        </w:tc>
      </w:tr>
      <w:tr>
        <w:trPr>
          <w:cantSplit/>
        </w:trPr>
        <w:tc>
          <w:tcPr>
            <w:tcW w:type="dxa" w:w="17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Services</w:t>
            </w:r>
          </w:p>
        </w:tc>
        <w:tc>
          <w:tcPr>
            <w:tcW w:type="dxa" w:w="19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/services</w:t>
            </w:r>
          </w:p>
        </w:tc>
        <w:tc>
          <w:tcPr>
            <w:tcW w:type="dxa" w:w="19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Présenter l'offre</w:t>
            </w:r>
          </w:p>
        </w:tc>
        <w:tc>
          <w:tcPr>
            <w:tcW w:type="dxa" w:w="386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Un bloc de contenu par service (photo, numéro, accroche, texte, points clés, bouton d'action), bloc de la conciergerie à part, offres et prix de départ</w:t>
            </w:r>
          </w:p>
        </w:tc>
      </w:tr>
      <w:tr>
        <w:trPr>
          <w:cantSplit/>
        </w:trPr>
        <w:tc>
          <w:tcPr>
            <w:tcW w:type="dxa" w:w="17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Détail d'un service</w:t>
            </w:r>
          </w:p>
        </w:tc>
        <w:tc>
          <w:tcPr>
            <w:tcW w:type="dxa" w:w="19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/services/:identifiant</w:t>
            </w:r>
          </w:p>
        </w:tc>
        <w:tc>
          <w:tcPr>
            <w:tcW w:type="dxa" w:w="19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Détailler un service</w:t>
            </w:r>
          </w:p>
        </w:tc>
        <w:tc>
          <w:tcPr>
            <w:tcW w:type="dxa" w:w="386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Photo, accroche, bouton d'action dès l'en-tête, texte, liste détaillée (titre et explication de chaque point), note, phrase de clôture, bouton d'action, parcours Arrivée privée (transferts aéroportuaires), autres services</w:t>
            </w:r>
          </w:p>
        </w:tc>
      </w:tr>
      <w:tr>
        <w:trPr>
          <w:cantSplit/>
        </w:trPr>
        <w:tc>
          <w:tcPr>
            <w:tcW w:type="dxa" w:w="17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Flotte</w:t>
            </w:r>
          </w:p>
        </w:tc>
        <w:tc>
          <w:tcPr>
            <w:tcW w:type="dxa" w:w="19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/flotte</w:t>
            </w:r>
          </w:p>
        </w:tc>
        <w:tc>
          <w:tcPr>
            <w:tcW w:type="dxa" w:w="19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Montrer les véhicules</w:t>
            </w:r>
          </w:p>
        </w:tc>
        <w:tc>
          <w:tcPr>
            <w:tcW w:type="dxa" w:w="386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Catalogue un véhicule par écran, filtre par catégorie, bouton de disponibilité</w:t>
            </w:r>
          </w:p>
        </w:tc>
      </w:tr>
      <w:tr>
        <w:trPr>
          <w:cantSplit/>
        </w:trPr>
        <w:tc>
          <w:tcPr>
            <w:tcW w:type="dxa" w:w="17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Destinations</w:t>
            </w:r>
          </w:p>
        </w:tc>
        <w:tc>
          <w:tcPr>
            <w:tcW w:type="dxa" w:w="19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/destinations</w:t>
            </w:r>
          </w:p>
        </w:tc>
        <w:tc>
          <w:tcPr>
            <w:tcW w:type="dxa" w:w="19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Faire voyager</w:t>
            </w:r>
          </w:p>
        </w:tc>
        <w:tc>
          <w:tcPr>
            <w:tcW w:type="dxa" w:w="386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Explorateur : image, texte et carte réelle de Madagascar dont le repère de la ville active s'anime au survol</w:t>
            </w:r>
          </w:p>
        </w:tc>
      </w:tr>
      <w:tr>
        <w:trPr>
          <w:cantSplit/>
        </w:trPr>
        <w:tc>
          <w:tcPr>
            <w:tcW w:type="dxa" w:w="17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Corporate</w:t>
            </w:r>
          </w:p>
        </w:tc>
        <w:tc>
          <w:tcPr>
            <w:tcW w:type="dxa" w:w="19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/corporate</w:t>
            </w:r>
          </w:p>
        </w:tc>
        <w:tc>
          <w:tcPr>
            <w:tcW w:type="dxa" w:w="19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Convaincre les entreprises</w:t>
            </w:r>
          </w:p>
        </w:tc>
        <w:tc>
          <w:tcPr>
            <w:tcW w:type="dxa" w:w="386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Cibles, quatre formules, avantages</w:t>
            </w:r>
          </w:p>
        </w:tc>
      </w:tr>
      <w:tr>
        <w:trPr>
          <w:cantSplit/>
        </w:trPr>
        <w:tc>
          <w:tcPr>
            <w:tcW w:type="dxa" w:w="17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Hospitality</w:t>
            </w:r>
          </w:p>
        </w:tc>
        <w:tc>
          <w:tcPr>
            <w:tcW w:type="dxa" w:w="19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/hospitality</w:t>
            </w:r>
          </w:p>
        </w:tc>
        <w:tc>
          <w:tcPr>
            <w:tcW w:type="dxa" w:w="19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Recruter des partenaires</w:t>
            </w:r>
          </w:p>
        </w:tc>
        <w:tc>
          <w:tcPr>
            <w:tcW w:type="dxa" w:w="386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Services pour les clients des hôtels, catégories de partenaires</w:t>
            </w:r>
          </w:p>
        </w:tc>
      </w:tr>
      <w:tr>
        <w:trPr>
          <w:cantSplit/>
        </w:trPr>
        <w:tc>
          <w:tcPr>
            <w:tcW w:type="dxa" w:w="17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Événements et Protocole</w:t>
            </w:r>
          </w:p>
        </w:tc>
        <w:tc>
          <w:tcPr>
            <w:tcW w:type="dxa" w:w="19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/evenements</w:t>
            </w:r>
          </w:p>
        </w:tc>
        <w:tc>
          <w:tcPr>
            <w:tcW w:type="dxa" w:w="19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Couvrir les événements</w:t>
            </w:r>
          </w:p>
        </w:tc>
        <w:tc>
          <w:tcPr>
            <w:tcW w:type="dxa" w:w="386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Types d'événements, organisation sur mesure</w:t>
            </w:r>
          </w:p>
        </w:tc>
      </w:tr>
      <w:tr>
        <w:trPr>
          <w:cantSplit/>
        </w:trPr>
        <w:tc>
          <w:tcPr>
            <w:tcW w:type="dxa" w:w="17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À propos</w:t>
            </w:r>
          </w:p>
        </w:tc>
        <w:tc>
          <w:tcPr>
            <w:tcW w:type="dxa" w:w="19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/a-propos</w:t>
            </w:r>
          </w:p>
        </w:tc>
        <w:tc>
          <w:tcPr>
            <w:tcW w:type="dxa" w:w="19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Rassurer</w:t>
            </w:r>
          </w:p>
        </w:tc>
        <w:tc>
          <w:tcPr>
            <w:tcW w:type="dxa" w:w="386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Texte de présentation, engagement, trois valeurs, soin des véhicules</w:t>
            </w:r>
          </w:p>
        </w:tc>
      </w:tr>
      <w:tr>
        <w:trPr>
          <w:cantSplit/>
        </w:trPr>
        <w:tc>
          <w:tcPr>
            <w:tcW w:type="dxa" w:w="17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Tarifs</w:t>
            </w:r>
          </w:p>
        </w:tc>
        <w:tc>
          <w:tcPr>
            <w:tcW w:type="dxa" w:w="19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/tarifs</w:t>
            </w:r>
          </w:p>
        </w:tc>
        <w:tc>
          <w:tcPr>
            <w:tcW w:type="dxa" w:w="19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Informer sur les prix</w:t>
            </w:r>
          </w:p>
        </w:tc>
        <w:tc>
          <w:tcPr>
            <w:tcW w:type="dxa" w:w="386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Trois offres, conditions de location</w:t>
            </w:r>
          </w:p>
        </w:tc>
      </w:tr>
      <w:tr>
        <w:trPr>
          <w:cantSplit/>
        </w:trPr>
        <w:tc>
          <w:tcPr>
            <w:tcW w:type="dxa" w:w="17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Contact et devis</w:t>
            </w:r>
          </w:p>
        </w:tc>
        <w:tc>
          <w:tcPr>
            <w:tcW w:type="dxa" w:w="19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/contact</w:t>
            </w:r>
          </w:p>
        </w:tc>
        <w:tc>
          <w:tcPr>
            <w:tcW w:type="dxa" w:w="19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Convertir</w:t>
            </w:r>
          </w:p>
        </w:tc>
        <w:tc>
          <w:tcPr>
            <w:tcW w:type="dxa" w:w="386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Coordonnées, photo, formulaire de devis complet</w:t>
            </w:r>
          </w:p>
        </w:tc>
      </w:tr>
      <w:tr>
        <w:trPr>
          <w:cantSplit/>
        </w:trPr>
        <w:tc>
          <w:tcPr>
            <w:tcW w:type="dxa" w:w="17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Administration</w:t>
            </w:r>
          </w:p>
        </w:tc>
        <w:tc>
          <w:tcPr>
            <w:tcW w:type="dxa" w:w="19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/admin</w:t>
            </w:r>
          </w:p>
        </w:tc>
        <w:tc>
          <w:tcPr>
            <w:tcW w:type="dxa" w:w="19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Gérer</w:t>
            </w:r>
          </w:p>
        </w:tc>
        <w:tc>
          <w:tcPr>
            <w:tcW w:type="dxa" w:w="386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Connexion et tableau de bord, voir chapitre 7</w:t>
            </w:r>
          </w:p>
        </w:tc>
      </w:tr>
      <w:tr>
        <w:trPr>
          <w:cantSplit/>
        </w:trPr>
        <w:tc>
          <w:tcPr>
            <w:tcW w:type="dxa" w:w="17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Pages techniques</w:t>
            </w:r>
          </w:p>
        </w:tc>
        <w:tc>
          <w:tcPr>
            <w:tcW w:type="dxa" w:w="19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/sitemap.xml, /robots.txt, 404</w:t>
            </w:r>
          </w:p>
        </w:tc>
        <w:tc>
          <w:tcPr>
            <w:tcW w:type="dxa" w:w="19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Référencement et erreurs</w:t>
            </w:r>
          </w:p>
        </w:tc>
        <w:tc>
          <w:tcPr>
            <w:tcW w:type="dxa" w:w="386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Plan du site multilingue, consignes aux robots, page d'erreur au style de la marque</w:t>
            </w:r>
          </w:p>
        </w:tc>
      </w:tr>
    </w:tbl>
    <w:p>
      <w:pPr>
        <w:pStyle w:val="Heading1"/>
        <w:keepNext/>
        <w:pBdr>
          <w:bottom w:val="single" w:color="8AA4BD" w:sz="6" w:space="4"/>
        </w:pBdr>
        <w:spacing w:after="160" w:before="420"/>
      </w:pPr>
      <w:r>
        <w:rPr>
          <w:rFonts w:ascii="Georgia" w:cs="Georgia" w:eastAsia="Georgia" w:hAnsi="Georgia"/>
          <w:color w:val="0C2646"/>
          <w:sz w:val="34"/>
          <w:szCs w:val="34"/>
        </w:rPr>
        <w:t xml:space="preserve">6. Exigences fonctionnelles : site public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000"/>
        <w:gridCol w:w="1460"/>
      </w:tblGrid>
      <w:tr>
        <w:trPr>
          <w:tblHeader/>
        </w:trPr>
        <w:tc>
          <w:tcPr>
            <w:tcW w:type="dxa" w:w="900"/>
            <w:tcBorders>
              <w:top w:val="single" w:color="C9D4E0" w:sz="4"/>
              <w:left w:val="single" w:color="C9D4E0" w:sz="4"/>
              <w:bottom w:val="single" w:color="C9D4E0" w:sz="4"/>
              <w:right w:val="single" w:color="C9D4E0" w:sz="4"/>
            </w:tcBorders>
            <w:shd w:fill="0C2646" w:color="auto" w:val="clear"/>
            <w:tcMar>
              <w:top w:type="dxa" w:w="70"/>
              <w:left w:type="dxa" w:w="110"/>
              <w:bottom w:type="dxa" w:w="70"/>
              <w:right w:type="dxa" w:w="110"/>
            </w:tcMar>
          </w:tcPr>
          <w:p>
            <w:pPr>
              <w:spacing w:after="30"/>
            </w:pPr>
            <w:r>
              <w:rPr>
                <w:rFonts w:ascii="Calibri" w:cs="Calibri" w:eastAsia="Calibri" w:hAnsi="Calibri"/>
                <w:b/>
                <w:bCs/>
                <w:color w:val="FFFFFF"/>
                <w:sz w:val="19"/>
                <w:szCs w:val="19"/>
              </w:rPr>
              <w:t xml:space="preserve">Réf.</w:t>
            </w:r>
          </w:p>
        </w:tc>
        <w:tc>
          <w:tcPr>
            <w:tcW w:type="dxa" w:w="7000"/>
            <w:tcBorders>
              <w:top w:val="single" w:color="C9D4E0" w:sz="4"/>
              <w:left w:val="single" w:color="C9D4E0" w:sz="4"/>
              <w:bottom w:val="single" w:color="C9D4E0" w:sz="4"/>
              <w:right w:val="single" w:color="C9D4E0" w:sz="4"/>
            </w:tcBorders>
            <w:shd w:fill="0C2646" w:color="auto" w:val="clear"/>
            <w:tcMar>
              <w:top w:type="dxa" w:w="70"/>
              <w:left w:type="dxa" w:w="110"/>
              <w:bottom w:type="dxa" w:w="70"/>
              <w:right w:type="dxa" w:w="110"/>
            </w:tcMar>
          </w:tcPr>
          <w:p>
            <w:pPr>
              <w:spacing w:after="30"/>
            </w:pPr>
            <w:r>
              <w:rPr>
                <w:rFonts w:ascii="Calibri" w:cs="Calibri" w:eastAsia="Calibri" w:hAnsi="Calibri"/>
                <w:b/>
                <w:bCs/>
                <w:color w:val="FFFFFF"/>
                <w:sz w:val="19"/>
                <w:szCs w:val="19"/>
              </w:rPr>
              <w:t xml:space="preserve">Exigence</w:t>
            </w:r>
          </w:p>
        </w:tc>
        <w:tc>
          <w:tcPr>
            <w:tcW w:type="dxa" w:w="1460"/>
            <w:tcBorders>
              <w:top w:val="single" w:color="C9D4E0" w:sz="4"/>
              <w:left w:val="single" w:color="C9D4E0" w:sz="4"/>
              <w:bottom w:val="single" w:color="C9D4E0" w:sz="4"/>
              <w:right w:val="single" w:color="C9D4E0" w:sz="4"/>
            </w:tcBorders>
            <w:shd w:fill="0C2646" w:color="auto" w:val="clear"/>
            <w:tcMar>
              <w:top w:type="dxa" w:w="70"/>
              <w:left w:type="dxa" w:w="110"/>
              <w:bottom w:type="dxa" w:w="70"/>
              <w:right w:type="dxa" w:w="110"/>
            </w:tcMar>
          </w:tcPr>
          <w:p>
            <w:pPr>
              <w:spacing w:after="30"/>
            </w:pPr>
            <w:r>
              <w:rPr>
                <w:rFonts w:ascii="Calibri" w:cs="Calibri" w:eastAsia="Calibri" w:hAnsi="Calibri"/>
                <w:b/>
                <w:bCs/>
                <w:color w:val="FFFFFF"/>
                <w:sz w:val="19"/>
                <w:szCs w:val="19"/>
              </w:rPr>
              <w:t xml:space="preserve">Priorité</w:t>
            </w:r>
          </w:p>
        </w:tc>
      </w:tr>
      <w:tr>
        <w:trPr>
          <w:cantSplit/>
        </w:trPr>
        <w:tc>
          <w:tcPr>
            <w:tcW w:type="dxa" w:w="9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EF-01</w:t>
            </w:r>
          </w:p>
        </w:tc>
        <w:tc>
          <w:tcPr>
            <w:tcW w:type="dxa" w:w="70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Navigation : en-tête minimal (logo, langue, devis, menu burger) avec filet fin, transparent sur la photo puis marine flouté au défilement, menu plein écran avec apparition échelonnée et image au survol des services et destinations, sélecteur FR / EN sur chaque page.</w:t>
            </w:r>
          </w:p>
        </w:tc>
        <w:tc>
          <w:tcPr>
            <w:tcW w:type="dxa" w:w="146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Essentielle</w:t>
            </w:r>
          </w:p>
        </w:tc>
      </w:tr>
      <w:tr>
        <w:trPr>
          <w:cantSplit/>
        </w:trPr>
        <w:tc>
          <w:tcPr>
            <w:tcW w:type="dxa" w:w="9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EF-02</w:t>
            </w:r>
          </w:p>
        </w:tc>
        <w:tc>
          <w:tcPr>
            <w:tcW w:type="dxa" w:w="70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Hero plein écran avec photographie sombre d'une voiture de direction teintée marine, slogan à droite (« Au-delà du transport » en français, « Beyond Transportation » en anglais), onglet doré « Voir les offres », deux appels à l'action (devis, WhatsApp) et chiffres clés calculés à partir des données réelles (nombre de véhicules, capacité maximale, assistance 24/7, prix de départ).</w:t>
            </w:r>
          </w:p>
        </w:tc>
        <w:tc>
          <w:tcPr>
            <w:tcW w:type="dxa" w:w="146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Essentielle</w:t>
            </w:r>
          </w:p>
        </w:tc>
      </w:tr>
      <w:tr>
        <w:trPr>
          <w:cantSplit/>
        </w:trPr>
        <w:tc>
          <w:tcPr>
            <w:tcW w:type="dxa" w:w="9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EF-03</w:t>
            </w:r>
          </w:p>
        </w:tc>
        <w:tc>
          <w:tcPr>
            <w:tcW w:type="dxa" w:w="70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Accroche de présentation suivie des trois valeurs : Discrétion, Maîtrise du temps, Attention personnalisée.</w:t>
            </w:r>
          </w:p>
        </w:tc>
        <w:tc>
          <w:tcPr>
            <w:tcW w:type="dxa" w:w="146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Essentielle</w:t>
            </w:r>
          </w:p>
        </w:tc>
      </w:tr>
      <w:tr>
        <w:trPr>
          <w:cantSplit/>
        </w:trPr>
        <w:tc>
          <w:tcPr>
            <w:tcW w:type="dxa" w:w="9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EF-04</w:t>
            </w:r>
          </w:p>
        </w:tc>
        <w:tc>
          <w:tcPr>
            <w:tcW w:type="dxa" w:w="70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Six services numérotés (01 à 06) présentés en mosaïque de tuiles, chacune avec accroche percutante, phrase courte et bouton d'action visible ; la conciergerie privée VIP est un service à part, sans numéro, présenté dans son propre bloc ; chaque service a sa page de détail.</w:t>
            </w:r>
          </w:p>
        </w:tc>
        <w:tc>
          <w:tcPr>
            <w:tcW w:type="dxa" w:w="146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Essentielle</w:t>
            </w:r>
          </w:p>
        </w:tc>
      </w:tr>
      <w:tr>
        <w:trPr>
          <w:cantSplit/>
        </w:trPr>
        <w:tc>
          <w:tcPr>
            <w:tcW w:type="dxa" w:w="9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EF-05</w:t>
            </w:r>
          </w:p>
        </w:tc>
        <w:tc>
          <w:tcPr>
            <w:tcW w:type="dxa" w:w="70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Flotte présentée comme un catalogue : un véhicule par écran, nom, catégorie, passagers, bagages, bouton de demande de disponibilité qui préremplit le devis ; filtre par catégorie. Sur l'accueil, la tuile « Notre flotte » permet de parcourir les véhicules avec des flèches.</w:t>
            </w:r>
          </w:p>
        </w:tc>
        <w:tc>
          <w:tcPr>
            <w:tcW w:type="dxa" w:w="146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Essentielle</w:t>
            </w:r>
          </w:p>
        </w:tc>
      </w:tr>
      <w:tr>
        <w:trPr>
          <w:cantSplit/>
        </w:trPr>
        <w:tc>
          <w:tcPr>
            <w:tcW w:type="dxa" w:w="9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EF-06</w:t>
            </w:r>
          </w:p>
        </w:tc>
        <w:tc>
          <w:tcPr>
            <w:tcW w:type="dxa" w:w="70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Destinations : liste éditoriale ; au survol (ou au toucher), la grande image, la description et le repère changent. La carte reprend le vrai contour de Madagascar et chaque ville est placée par ses coordonnées géographiques. Le bloc de droite reste entièrement visible sur tous les écrans (nom à la ligne si besoin, décalage vers la gauche).</w:t>
            </w:r>
          </w:p>
        </w:tc>
        <w:tc>
          <w:tcPr>
            <w:tcW w:type="dxa" w:w="146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Essentielle</w:t>
            </w:r>
          </w:p>
        </w:tc>
      </w:tr>
      <w:tr>
        <w:trPr>
          <w:cantSplit/>
        </w:trPr>
        <w:tc>
          <w:tcPr>
            <w:tcW w:type="dxa" w:w="9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EF-07</w:t>
            </w:r>
          </w:p>
        </w:tc>
        <w:tc>
          <w:tcPr>
            <w:tcW w:type="dxa" w:w="70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Formulaire de devis : coordonnées, trajet (date, heure, départ, destination, passagers, bagages), services souhaités, message ; validation, protection anti-spam, message de confirmation.</w:t>
            </w:r>
          </w:p>
        </w:tc>
        <w:tc>
          <w:tcPr>
            <w:tcW w:type="dxa" w:w="146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Essentielle</w:t>
            </w:r>
          </w:p>
        </w:tc>
      </w:tr>
      <w:tr>
        <w:trPr>
          <w:cantSplit/>
        </w:trPr>
        <w:tc>
          <w:tcPr>
            <w:tcW w:type="dxa" w:w="9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EF-08</w:t>
            </w:r>
          </w:p>
        </w:tc>
        <w:tc>
          <w:tcPr>
            <w:tcW w:type="dxa" w:w="70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Boutons WhatsApp (en-tête, hero, pied de page, bouton flottant, barre mobile) avec message prérempli.</w:t>
            </w:r>
          </w:p>
        </w:tc>
        <w:tc>
          <w:tcPr>
            <w:tcW w:type="dxa" w:w="146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Essentielle</w:t>
            </w:r>
          </w:p>
        </w:tc>
      </w:tr>
      <w:tr>
        <w:trPr>
          <w:cantSplit/>
        </w:trPr>
        <w:tc>
          <w:tcPr>
            <w:tcW w:type="dxa" w:w="9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EF-09</w:t>
            </w:r>
          </w:p>
        </w:tc>
        <w:tc>
          <w:tcPr>
            <w:tcW w:type="dxa" w:w="70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Offres et prix de départ affichés avec leurs conditions ; mention que le devis final dépend du véhicule, de la distance, de la durée, du kilométrage, du carburant et du niveau de prestation.</w:t>
            </w:r>
          </w:p>
        </w:tc>
        <w:tc>
          <w:tcPr>
            <w:tcW w:type="dxa" w:w="146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Essentielle</w:t>
            </w:r>
          </w:p>
        </w:tc>
      </w:tr>
      <w:tr>
        <w:trPr>
          <w:cantSplit/>
        </w:trPr>
        <w:tc>
          <w:tcPr>
            <w:tcW w:type="dxa" w:w="9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EF-10</w:t>
            </w:r>
          </w:p>
        </w:tc>
        <w:tc>
          <w:tcPr>
            <w:tcW w:type="dxa" w:w="70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FAQ en accordéon, témoignages (affichés seulement s'il en existe), partenaires en bandeau défilant.</w:t>
            </w:r>
          </w:p>
        </w:tc>
        <w:tc>
          <w:tcPr>
            <w:tcW w:type="dxa" w:w="146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Haute</w:t>
            </w:r>
          </w:p>
        </w:tc>
      </w:tr>
      <w:tr>
        <w:trPr>
          <w:cantSplit/>
        </w:trPr>
        <w:tc>
          <w:tcPr>
            <w:tcW w:type="dxa" w:w="9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EF-11</w:t>
            </w:r>
          </w:p>
        </w:tc>
        <w:tc>
          <w:tcPr>
            <w:tcW w:type="dxa" w:w="70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Version anglaise complète de toutes les pages et de tous les contenus gérés.</w:t>
            </w:r>
          </w:p>
        </w:tc>
        <w:tc>
          <w:tcPr>
            <w:tcW w:type="dxa" w:w="146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Essentielle</w:t>
            </w:r>
          </w:p>
        </w:tc>
      </w:tr>
      <w:tr>
        <w:trPr>
          <w:cantSplit/>
        </w:trPr>
        <w:tc>
          <w:tcPr>
            <w:tcW w:type="dxa" w:w="9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EF-12</w:t>
            </w:r>
          </w:p>
        </w:tc>
        <w:tc>
          <w:tcPr>
            <w:tcW w:type="dxa" w:w="70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Barre d'action fixe sur mobile (Devis et WhatsApp), barre de progression de lecture, retour automatique en haut de page à chaque navigation.</w:t>
            </w:r>
          </w:p>
        </w:tc>
        <w:tc>
          <w:tcPr>
            <w:tcW w:type="dxa" w:w="146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Haute</w:t>
            </w:r>
          </w:p>
        </w:tc>
      </w:tr>
      <w:tr>
        <w:trPr>
          <w:cantSplit/>
        </w:trPr>
        <w:tc>
          <w:tcPr>
            <w:tcW w:type="dxa" w:w="9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EF-13</w:t>
            </w:r>
          </w:p>
        </w:tc>
        <w:tc>
          <w:tcPr>
            <w:tcW w:type="dxa" w:w="70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Page 404 aux couleurs de la marque, avec retour à l'accueil.</w:t>
            </w:r>
          </w:p>
        </w:tc>
        <w:tc>
          <w:tcPr>
            <w:tcW w:type="dxa" w:w="146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Moyenne</w:t>
            </w:r>
          </w:p>
        </w:tc>
      </w:tr>
      <w:tr>
        <w:trPr>
          <w:cantSplit/>
        </w:trPr>
        <w:tc>
          <w:tcPr>
            <w:tcW w:type="dxa" w:w="9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EF-14</w:t>
            </w:r>
          </w:p>
        </w:tc>
        <w:tc>
          <w:tcPr>
            <w:tcW w:type="dxa" w:w="70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Page de service : bouton d'action dès l'en-tête, accroche percutante, deuxième accroche éventuelle, texte en paragraphes, liste dont chaque point a un titre et une explication, note, phrase de clôture et bouton d'action final ; le bouton ouvre le devis avec le service déjà coché.</w:t>
            </w:r>
          </w:p>
        </w:tc>
        <w:tc>
          <w:tcPr>
            <w:tcW w:type="dxa" w:w="146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Essentielle</w:t>
            </w:r>
          </w:p>
        </w:tc>
      </w:tr>
      <w:tr>
        <w:trPr>
          <w:cantSplit/>
        </w:trPr>
        <w:tc>
          <w:tcPr>
            <w:tcW w:type="dxa" w:w="9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EF-15</w:t>
            </w:r>
          </w:p>
        </w:tc>
        <w:tc>
          <w:tcPr>
            <w:tcW w:type="dxa" w:w="70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Page À propos : texte de présentation, engagement de l'entreprise, trois valeurs, soin apporté aux véhicules.</w:t>
            </w:r>
          </w:p>
        </w:tc>
        <w:tc>
          <w:tcPr>
            <w:tcW w:type="dxa" w:w="146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Haute</w:t>
            </w:r>
          </w:p>
        </w:tc>
      </w:tr>
      <w:tr>
        <w:trPr>
          <w:cantSplit/>
        </w:trPr>
        <w:tc>
          <w:tcPr>
            <w:tcW w:type="dxa" w:w="9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EF-16</w:t>
            </w:r>
          </w:p>
        </w:tc>
        <w:tc>
          <w:tcPr>
            <w:tcW w:type="dxa" w:w="70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Langues strictement séparées : en français, tous les textes (menus, boutons, catégories, partenaires, descriptions) sont en français ; en anglais, tous sont en anglais. Seuls restent identiques le nom TS EXCLUSIVE et les mots malgaches.</w:t>
            </w:r>
          </w:p>
        </w:tc>
        <w:tc>
          <w:tcPr>
            <w:tcW w:type="dxa" w:w="146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Essentielle</w:t>
            </w:r>
          </w:p>
        </w:tc>
      </w:tr>
      <w:tr>
        <w:trPr>
          <w:cantSplit/>
        </w:trPr>
        <w:tc>
          <w:tcPr>
            <w:tcW w:type="dxa" w:w="9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EF-17</w:t>
            </w:r>
          </w:p>
        </w:tc>
        <w:tc>
          <w:tcPr>
            <w:tcW w:type="dxa" w:w="70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Numérotation réservée aux services : la flotte, l'à propos, le parcours d'expérience et les autres blocs ne sont pas numérotés.</w:t>
            </w:r>
          </w:p>
        </w:tc>
        <w:tc>
          <w:tcPr>
            <w:tcW w:type="dxa" w:w="146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Haute</w:t>
            </w:r>
          </w:p>
        </w:tc>
      </w:tr>
      <w:tr>
        <w:trPr>
          <w:cantSplit/>
        </w:trPr>
        <w:tc>
          <w:tcPr>
            <w:tcW w:type="dxa" w:w="9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EF-18</w:t>
            </w:r>
          </w:p>
        </w:tc>
        <w:tc>
          <w:tcPr>
            <w:tcW w:type="dxa" w:w="70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Bouton « Voir les offres » dans le hero : onglet doré vertical, visible sur ordinateur et sur mobile, qui mène à la page Tarifs.</w:t>
            </w:r>
          </w:p>
        </w:tc>
        <w:tc>
          <w:tcPr>
            <w:tcW w:type="dxa" w:w="146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Haute</w:t>
            </w:r>
          </w:p>
        </w:tc>
      </w:tr>
      <w:tr>
        <w:trPr>
          <w:cantSplit/>
        </w:trPr>
        <w:tc>
          <w:tcPr>
            <w:tcW w:type="dxa" w:w="9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EF-19</w:t>
            </w:r>
          </w:p>
        </w:tc>
        <w:tc>
          <w:tcPr>
            <w:tcW w:type="dxa" w:w="70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Parcours « L'expérience TS » : une ligne se dessine au défilement et l'intérieur de chaque rond se colore quand la ligne l'atteint, puis se vide quand on remonte.</w:t>
            </w:r>
          </w:p>
        </w:tc>
        <w:tc>
          <w:tcPr>
            <w:tcW w:type="dxa" w:w="146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Moyenne</w:t>
            </w:r>
          </w:p>
        </w:tc>
      </w:tr>
    </w:tbl>
    <w:p>
      <w:pPr>
        <w:pStyle w:val="Heading2"/>
        <w:keepNext/>
        <w:spacing w:after="100" w:before="280"/>
      </w:pPr>
      <w:r>
        <w:rPr>
          <w:rFonts w:ascii="Georgia" w:cs="Georgia" w:eastAsia="Georgia" w:hAnsi="Georgia"/>
          <w:b/>
          <w:bCs/>
          <w:color w:val="0C2646"/>
          <w:sz w:val="26"/>
          <w:szCs w:val="26"/>
        </w:rPr>
        <w:t xml:space="preserve">6.1 Demande de devis : règles de gestion</w:t>
      </w:r>
    </w:p>
    <w:p>
      <w:pPr>
        <w:pStyle w:val="ListParagraph"/>
        <w:numPr>
          <w:ilvl w:val="0"/>
          <w:numId w:val="2"/>
        </w:numPr>
        <w:spacing w:after="70" w:line="280"/>
      </w:pPr>
      <w:r>
        <w:rPr>
          <w:rFonts w:ascii="Calibri" w:cs="Calibri" w:eastAsia="Calibri" w:hAnsi="Calibri"/>
          <w:color w:val="222B36"/>
          <w:sz w:val="21"/>
          <w:szCs w:val="21"/>
        </w:rPr>
        <w:t xml:space="preserve">Le nom est obligatoire, ainsi qu'un email ou un téléphone.</w:t>
      </w:r>
    </w:p>
    <w:p>
      <w:pPr>
        <w:pStyle w:val="ListParagraph"/>
        <w:numPr>
          <w:ilvl w:val="0"/>
          <w:numId w:val="2"/>
        </w:numPr>
        <w:spacing w:after="70" w:line="280"/>
      </w:pPr>
      <w:r>
        <w:rPr>
          <w:rFonts w:ascii="Calibri" w:cs="Calibri" w:eastAsia="Calibri" w:hAnsi="Calibri"/>
          <w:color w:val="222B36"/>
          <w:sz w:val="21"/>
          <w:szCs w:val="21"/>
        </w:rPr>
        <w:t xml:space="preserve">L'email est contrôlé ; les textes sont limités en longueur et nettoyés côté serveur.</w:t>
      </w:r>
    </w:p>
    <w:p>
      <w:pPr>
        <w:pStyle w:val="ListParagraph"/>
        <w:numPr>
          <w:ilvl w:val="0"/>
          <w:numId w:val="2"/>
        </w:numPr>
        <w:spacing w:after="70" w:line="280"/>
      </w:pPr>
      <w:r>
        <w:rPr>
          <w:rFonts w:ascii="Calibri" w:cs="Calibri" w:eastAsia="Calibri" w:hAnsi="Calibri"/>
          <w:color w:val="222B36"/>
          <w:sz w:val="21"/>
          <w:szCs w:val="21"/>
        </w:rPr>
        <w:t xml:space="preserve">Un champ caché détecte les robots : la demande est ignorée sans message d'erreur.</w:t>
      </w:r>
    </w:p>
    <w:p>
      <w:pPr>
        <w:pStyle w:val="ListParagraph"/>
        <w:numPr>
          <w:ilvl w:val="0"/>
          <w:numId w:val="2"/>
        </w:numPr>
        <w:spacing w:after="70" w:line="280"/>
      </w:pPr>
      <w:r>
        <w:rPr>
          <w:rFonts w:ascii="Calibri" w:cs="Calibri" w:eastAsia="Calibri" w:hAnsi="Calibri"/>
          <w:color w:val="222B36"/>
          <w:sz w:val="21"/>
          <w:szCs w:val="21"/>
        </w:rPr>
        <w:t xml:space="preserve">Chaque demande est enregistrée avec le statut « Nouveau ».</w:t>
      </w:r>
    </w:p>
    <w:p>
      <w:pPr>
        <w:pStyle w:val="ListParagraph"/>
        <w:numPr>
          <w:ilvl w:val="0"/>
          <w:numId w:val="2"/>
        </w:numPr>
        <w:spacing w:after="70" w:line="280"/>
      </w:pPr>
      <w:r>
        <w:rPr>
          <w:rFonts w:ascii="Calibri" w:cs="Calibri" w:eastAsia="Calibri" w:hAnsi="Calibri"/>
          <w:color w:val="222B36"/>
          <w:sz w:val="21"/>
          <w:szCs w:val="21"/>
        </w:rPr>
        <w:t xml:space="preserve">Si l'envoi d'emails est configuré : un email de notification part vers l'équipe et un accusé de réception vers le client, dans la langue du formulaire.</w:t>
      </w:r>
    </w:p>
    <w:p>
      <w:pPr>
        <w:pStyle w:val="ListParagraph"/>
        <w:numPr>
          <w:ilvl w:val="0"/>
          <w:numId w:val="2"/>
        </w:numPr>
        <w:spacing w:after="70" w:line="280"/>
      </w:pPr>
      <w:r>
        <w:rPr>
          <w:rFonts w:ascii="Calibri" w:cs="Calibri" w:eastAsia="Calibri" w:hAnsi="Calibri"/>
          <w:color w:val="222B36"/>
          <w:sz w:val="21"/>
          <w:szCs w:val="21"/>
        </w:rPr>
        <w:t xml:space="preserve">Les services cochés sont enregistrés dans une liste unique en français, quelle que soit la langue du visiteur.</w:t>
      </w:r>
    </w:p>
    <w:p>
      <w:pPr>
        <w:pStyle w:val="ListParagraph"/>
        <w:numPr>
          <w:ilvl w:val="0"/>
          <w:numId w:val="2"/>
        </w:numPr>
        <w:spacing w:after="70" w:line="280"/>
      </w:pPr>
      <w:r>
        <w:rPr>
          <w:rFonts w:ascii="Calibri" w:cs="Calibri" w:eastAsia="Calibri" w:hAnsi="Calibri"/>
          <w:color w:val="222B36"/>
          <w:sz w:val="21"/>
          <w:szCs w:val="21"/>
        </w:rPr>
        <w:t xml:space="preserve">Le formulaire propose les sept services ; l'adresse /contact?service=identifiant-du-service coche le service concerné.</w:t>
      </w:r>
    </w:p>
    <w:p>
      <w:pPr>
        <w:pStyle w:val="Heading1"/>
        <w:keepNext/>
        <w:pBdr>
          <w:bottom w:val="single" w:color="8AA4BD" w:sz="6" w:space="4"/>
        </w:pBdr>
        <w:spacing w:after="160" w:before="420"/>
      </w:pPr>
      <w:r>
        <w:rPr>
          <w:rFonts w:ascii="Georgia" w:cs="Georgia" w:eastAsia="Georgia" w:hAnsi="Georgia"/>
          <w:color w:val="0C2646"/>
          <w:sz w:val="34"/>
          <w:szCs w:val="34"/>
        </w:rPr>
        <w:t xml:space="preserve">7. Exigences fonctionnelles : espace d'administration</w:t>
      </w:r>
    </w:p>
    <w:p>
      <w:pPr>
        <w:spacing w:after="120" w:line="300"/>
      </w:pPr>
      <w:r>
        <w:rPr>
          <w:rFonts w:ascii="Calibri" w:cs="Calibri" w:eastAsia="Calibri" w:hAnsi="Calibri"/>
          <w:color w:val="222B36"/>
          <w:sz w:val="21"/>
          <w:szCs w:val="21"/>
        </w:rPr>
        <w:t xml:space="preserve">L'administration est accessible sur /admin, protégée par connexion. Elle reprend l'identité de la marque (logo, marine, bleu acier, bordures fines) et accueille l'utilisateur par son prénom.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9D4E0" w:sz="4"/>
              <w:left w:val="single" w:color="C9D4E0" w:sz="4"/>
              <w:bottom w:val="single" w:color="C9D4E0" w:sz="4"/>
              <w:right w:val="single" w:color="C9D4E0" w:sz="4"/>
            </w:tcBorders>
            <w:shd w:fill="0C2646" w:color="auto" w:val="clear"/>
            <w:tcMar>
              <w:top w:type="dxa" w:w="70"/>
              <w:left w:type="dxa" w:w="110"/>
              <w:bottom w:type="dxa" w:w="70"/>
              <w:right w:type="dxa" w:w="110"/>
            </w:tcMar>
          </w:tcPr>
          <w:p>
            <w:pPr>
              <w:spacing w:after="30"/>
            </w:pPr>
            <w:r>
              <w:rPr>
                <w:rFonts w:ascii="Calibri" w:cs="Calibri" w:eastAsia="Calibri" w:hAnsi="Calibri"/>
                <w:b/>
                <w:bCs/>
                <w:color w:val="FFFFFF"/>
                <w:sz w:val="19"/>
                <w:szCs w:val="19"/>
              </w:rPr>
              <w:t xml:space="preserve">Module</w:t>
            </w:r>
          </w:p>
        </w:tc>
        <w:tc>
          <w:tcPr>
            <w:tcW w:type="dxa" w:w="7160"/>
            <w:tcBorders>
              <w:top w:val="single" w:color="C9D4E0" w:sz="4"/>
              <w:left w:val="single" w:color="C9D4E0" w:sz="4"/>
              <w:bottom w:val="single" w:color="C9D4E0" w:sz="4"/>
              <w:right w:val="single" w:color="C9D4E0" w:sz="4"/>
            </w:tcBorders>
            <w:shd w:fill="0C2646" w:color="auto" w:val="clear"/>
            <w:tcMar>
              <w:top w:type="dxa" w:w="70"/>
              <w:left w:type="dxa" w:w="110"/>
              <w:bottom w:type="dxa" w:w="70"/>
              <w:right w:type="dxa" w:w="110"/>
            </w:tcMar>
          </w:tcPr>
          <w:p>
            <w:pPr>
              <w:spacing w:after="30"/>
            </w:pPr>
            <w:r>
              <w:rPr>
                <w:rFonts w:ascii="Calibri" w:cs="Calibri" w:eastAsia="Calibri" w:hAnsi="Calibri"/>
                <w:b/>
                <w:bCs/>
                <w:color w:val="FFFFFF"/>
                <w:sz w:val="19"/>
                <w:szCs w:val="19"/>
              </w:rPr>
              <w:t xml:space="preserve">Fonctions</w:t>
            </w:r>
          </w:p>
        </w:tc>
      </w:tr>
      <w:tr>
        <w:trPr>
          <w:cantSplit/>
        </w:trPr>
        <w:tc>
          <w:tcPr>
            <w:tcW w:type="dxa" w:w="22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Tableau de bord</w:t>
            </w:r>
          </w:p>
        </w:tc>
        <w:tc>
          <w:tcPr>
            <w:tcW w:type="dxa" w:w="716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Salutation selon l'heure, nombre de demandes à traiter, de la semaine et au total, véhicules actifs, barre de répartition des statuts, dernières demandes, raccourcis (ajouter un véhicule, modifier un titre, publier un témoignage, ajouter des photos, exporter les devis)</w:t>
            </w:r>
          </w:p>
        </w:tc>
      </w:tr>
      <w:tr>
        <w:trPr>
          <w:cantSplit/>
        </w:trPr>
        <w:tc>
          <w:tcPr>
            <w:tcW w:type="dxa" w:w="22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Demandes de devis</w:t>
            </w:r>
          </w:p>
        </w:tc>
        <w:tc>
          <w:tcPr>
            <w:tcW w:type="dxa" w:w="716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Liste filtrable par statut (Nouveau, En cours, Devis envoyé, Accepté, Refusé), fiche détaillée, notes internes, suppression, export CSV</w:t>
            </w:r>
          </w:p>
        </w:tc>
      </w:tr>
      <w:tr>
        <w:trPr>
          <w:cantSplit/>
        </w:trPr>
        <w:tc>
          <w:tcPr>
            <w:tcW w:type="dxa" w:w="22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Flotte</w:t>
            </w:r>
          </w:p>
        </w:tc>
        <w:tc>
          <w:tcPr>
            <w:tcW w:type="dxa" w:w="716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Création, modification, suppression, masquage ; nom, catégorie, accroche, description, passagers, bagages, usage, photo, indicateur de fond noir ; traduction anglaise</w:t>
            </w:r>
          </w:p>
        </w:tc>
      </w:tr>
      <w:tr>
        <w:trPr>
          <w:cantSplit/>
        </w:trPr>
        <w:tc>
          <w:tcPr>
            <w:tcW w:type="dxa" w:w="22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Services</w:t>
            </w:r>
          </w:p>
        </w:tc>
        <w:tc>
          <w:tcPr>
            <w:tcW w:type="dxa" w:w="716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Titre, identifiant, accroche, deuxième accroche, texte en paragraphes, titre et points de la liste (format « Titre : explication »), note, phrase de clôture, texte du bouton, case « Service à part » (sans numéro), icône, image ; traduction anglaise de chaque champ</w:t>
            </w:r>
          </w:p>
        </w:tc>
      </w:tr>
      <w:tr>
        <w:trPr>
          <w:cantSplit/>
        </w:trPr>
        <w:tc>
          <w:tcPr>
            <w:tcW w:type="dxa" w:w="22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Offres et prix</w:t>
            </w:r>
          </w:p>
        </w:tc>
        <w:tc>
          <w:tcPr>
            <w:tcW w:type="dxa" w:w="716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Nom, prix affiché, cibles, options, mise en avant ; traduction anglaise</w:t>
            </w:r>
          </w:p>
        </w:tc>
      </w:tr>
      <w:tr>
        <w:trPr>
          <w:cantSplit/>
        </w:trPr>
        <w:tc>
          <w:tcPr>
            <w:tcW w:type="dxa" w:w="22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Destinations</w:t>
            </w:r>
          </w:p>
        </w:tc>
        <w:tc>
          <w:tcPr>
            <w:tcW w:type="dxa" w:w="716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Nom, identifiant, description courte, grande image ; traduction anglaise</w:t>
            </w:r>
          </w:p>
        </w:tc>
      </w:tr>
      <w:tr>
        <w:trPr>
          <w:cantSplit/>
        </w:trPr>
        <w:tc>
          <w:tcPr>
            <w:tcW w:type="dxa" w:w="22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Partenaires</w:t>
            </w:r>
          </w:p>
        </w:tc>
        <w:tc>
          <w:tcPr>
            <w:tcW w:type="dxa" w:w="716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Catégories et noms affichés en bandeau ; traduction anglaise</w:t>
            </w:r>
          </w:p>
        </w:tc>
      </w:tr>
      <w:tr>
        <w:trPr>
          <w:cantSplit/>
        </w:trPr>
        <w:tc>
          <w:tcPr>
            <w:tcW w:type="dxa" w:w="22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Témoignages</w:t>
            </w:r>
          </w:p>
        </w:tc>
        <w:tc>
          <w:tcPr>
            <w:tcW w:type="dxa" w:w="716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Nom, fonction, organisation, citation ; traduction anglaise</w:t>
            </w:r>
          </w:p>
        </w:tc>
      </w:tr>
      <w:tr>
        <w:trPr>
          <w:cantSplit/>
        </w:trPr>
        <w:tc>
          <w:tcPr>
            <w:tcW w:type="dxa" w:w="22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FAQ</w:t>
            </w:r>
          </w:p>
        </w:tc>
        <w:tc>
          <w:tcPr>
            <w:tcW w:type="dxa" w:w="716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Question et réponse ; traduction anglaise</w:t>
            </w:r>
          </w:p>
        </w:tc>
      </w:tr>
      <w:tr>
        <w:trPr>
          <w:cantSplit/>
        </w:trPr>
        <w:tc>
          <w:tcPr>
            <w:tcW w:type="dxa" w:w="22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Textes du site</w:t>
            </w:r>
          </w:p>
        </w:tc>
        <w:tc>
          <w:tcPr>
            <w:tcW w:type="dxa" w:w="716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Slogan et accroche de l'accueil, texte de la tuile À propos, titres de sections et sous-titres des pages, en français et en anglais, avec retour au texte d'origine</w:t>
            </w:r>
          </w:p>
        </w:tc>
      </w:tr>
      <w:tr>
        <w:trPr>
          <w:cantSplit/>
        </w:trPr>
        <w:tc>
          <w:tcPr>
            <w:tcW w:type="dxa" w:w="22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Médiathèque</w:t>
            </w:r>
          </w:p>
        </w:tc>
        <w:tc>
          <w:tcPr>
            <w:tcW w:type="dxa" w:w="716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Envoi d'images (JPG, PNG, WEBP, GIF, SVG, 5 Mo maximum), copie du lien, suppression ; envoi direct depuis chaque fiche</w:t>
            </w:r>
          </w:p>
        </w:tc>
      </w:tr>
      <w:tr>
        <w:trPr>
          <w:cantSplit/>
        </w:trPr>
        <w:tc>
          <w:tcPr>
            <w:tcW w:type="dxa" w:w="22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Utilisateurs</w:t>
            </w:r>
          </w:p>
        </w:tc>
        <w:tc>
          <w:tcPr>
            <w:tcW w:type="dxa" w:w="716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Création de comptes, rôles Administrateur et Éditeur, changement de mot de passe, suppression</w:t>
            </w:r>
          </w:p>
        </w:tc>
      </w:tr>
      <w:tr>
        <w:trPr>
          <w:cantSplit/>
        </w:trPr>
        <w:tc>
          <w:tcPr>
            <w:tcW w:type="dxa" w:w="22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Coordonnées</w:t>
            </w:r>
          </w:p>
        </w:tc>
        <w:tc>
          <w:tcPr>
            <w:tcW w:type="dxa" w:w="716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Téléphone, numéro WhatsApp, email, adresse, liens Instagram, LinkedIn et Facebook</w:t>
            </w:r>
          </w:p>
        </w:tc>
      </w:tr>
    </w:tbl>
    <w:p>
      <w:pPr>
        <w:pStyle w:val="Heading2"/>
        <w:keepNext/>
        <w:spacing w:after="100" w:before="280"/>
      </w:pPr>
      <w:r>
        <w:rPr>
          <w:rFonts w:ascii="Georgia" w:cs="Georgia" w:eastAsia="Georgia" w:hAnsi="Georgia"/>
          <w:b/>
          <w:bCs/>
          <w:color w:val="0C2646"/>
          <w:sz w:val="26"/>
          <w:szCs w:val="26"/>
        </w:rPr>
        <w:t xml:space="preserve">7.1 Rôles et droits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1880"/>
        <w:gridCol w:w="1880"/>
      </w:tblGrid>
      <w:tr>
        <w:trPr>
          <w:tblHeader/>
        </w:trPr>
        <w:tc>
          <w:tcPr>
            <w:tcW w:type="dxa" w:w="5600"/>
            <w:tcBorders>
              <w:top w:val="single" w:color="C9D4E0" w:sz="4"/>
              <w:left w:val="single" w:color="C9D4E0" w:sz="4"/>
              <w:bottom w:val="single" w:color="C9D4E0" w:sz="4"/>
              <w:right w:val="single" w:color="C9D4E0" w:sz="4"/>
            </w:tcBorders>
            <w:shd w:fill="0C2646" w:color="auto" w:val="clear"/>
            <w:tcMar>
              <w:top w:type="dxa" w:w="70"/>
              <w:left w:type="dxa" w:w="110"/>
              <w:bottom w:type="dxa" w:w="70"/>
              <w:right w:type="dxa" w:w="110"/>
            </w:tcMar>
          </w:tcPr>
          <w:p>
            <w:pPr>
              <w:spacing w:after="30"/>
            </w:pPr>
            <w:r>
              <w:rPr>
                <w:rFonts w:ascii="Calibri" w:cs="Calibri" w:eastAsia="Calibri" w:hAnsi="Calibri"/>
                <w:b/>
                <w:bCs/>
                <w:color w:val="FFFFFF"/>
                <w:sz w:val="19"/>
                <w:szCs w:val="19"/>
              </w:rPr>
              <w:t xml:space="preserve">Fonction</w:t>
            </w:r>
          </w:p>
        </w:tc>
        <w:tc>
          <w:tcPr>
            <w:tcW w:type="dxa" w:w="1880"/>
            <w:tcBorders>
              <w:top w:val="single" w:color="C9D4E0" w:sz="4"/>
              <w:left w:val="single" w:color="C9D4E0" w:sz="4"/>
              <w:bottom w:val="single" w:color="C9D4E0" w:sz="4"/>
              <w:right w:val="single" w:color="C9D4E0" w:sz="4"/>
            </w:tcBorders>
            <w:shd w:fill="0C2646" w:color="auto" w:val="clear"/>
            <w:tcMar>
              <w:top w:type="dxa" w:w="70"/>
              <w:left w:type="dxa" w:w="110"/>
              <w:bottom w:type="dxa" w:w="70"/>
              <w:right w:type="dxa" w:w="110"/>
            </w:tcMar>
          </w:tcPr>
          <w:p>
            <w:pPr>
              <w:spacing w:after="30"/>
            </w:pPr>
            <w:r>
              <w:rPr>
                <w:rFonts w:ascii="Calibri" w:cs="Calibri" w:eastAsia="Calibri" w:hAnsi="Calibri"/>
                <w:b/>
                <w:bCs/>
                <w:color w:val="FFFFFF"/>
                <w:sz w:val="19"/>
                <w:szCs w:val="19"/>
              </w:rPr>
              <w:t xml:space="preserve">Administrateur</w:t>
            </w:r>
          </w:p>
        </w:tc>
        <w:tc>
          <w:tcPr>
            <w:tcW w:type="dxa" w:w="1880"/>
            <w:tcBorders>
              <w:top w:val="single" w:color="C9D4E0" w:sz="4"/>
              <w:left w:val="single" w:color="C9D4E0" w:sz="4"/>
              <w:bottom w:val="single" w:color="C9D4E0" w:sz="4"/>
              <w:right w:val="single" w:color="C9D4E0" w:sz="4"/>
            </w:tcBorders>
            <w:shd w:fill="0C2646" w:color="auto" w:val="clear"/>
            <w:tcMar>
              <w:top w:type="dxa" w:w="70"/>
              <w:left w:type="dxa" w:w="110"/>
              <w:bottom w:type="dxa" w:w="70"/>
              <w:right w:type="dxa" w:w="110"/>
            </w:tcMar>
          </w:tcPr>
          <w:p>
            <w:pPr>
              <w:spacing w:after="30"/>
            </w:pPr>
            <w:r>
              <w:rPr>
                <w:rFonts w:ascii="Calibri" w:cs="Calibri" w:eastAsia="Calibri" w:hAnsi="Calibri"/>
                <w:b/>
                <w:bCs/>
                <w:color w:val="FFFFFF"/>
                <w:sz w:val="19"/>
                <w:szCs w:val="19"/>
              </w:rPr>
              <w:t xml:space="preserve">Éditeur</w:t>
            </w:r>
          </w:p>
        </w:tc>
      </w:tr>
      <w:tr>
        <w:trPr>
          <w:cantSplit/>
        </w:trPr>
        <w:tc>
          <w:tcPr>
            <w:tcW w:type="dxa" w:w="56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Consulter et traiter les devis</w:t>
            </w:r>
          </w:p>
        </w:tc>
        <w:tc>
          <w:tcPr>
            <w:tcW w:type="dxa" w:w="188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Oui</w:t>
            </w:r>
          </w:p>
        </w:tc>
        <w:tc>
          <w:tcPr>
            <w:tcW w:type="dxa" w:w="188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Oui</w:t>
            </w:r>
          </w:p>
        </w:tc>
      </w:tr>
      <w:tr>
        <w:trPr>
          <w:cantSplit/>
        </w:trPr>
        <w:tc>
          <w:tcPr>
            <w:tcW w:type="dxa" w:w="56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Modifier le contenu (flotte, services, offres, destinations, partenaires, témoignages, FAQ, textes, images)</w:t>
            </w:r>
          </w:p>
        </w:tc>
        <w:tc>
          <w:tcPr>
            <w:tcW w:type="dxa" w:w="188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Oui</w:t>
            </w:r>
          </w:p>
        </w:tc>
        <w:tc>
          <w:tcPr>
            <w:tcW w:type="dxa" w:w="188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Oui</w:t>
            </w:r>
          </w:p>
        </w:tc>
      </w:tr>
      <w:tr>
        <w:trPr>
          <w:cantSplit/>
        </w:trPr>
        <w:tc>
          <w:tcPr>
            <w:tcW w:type="dxa" w:w="56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Modifier les coordonnées</w:t>
            </w:r>
          </w:p>
        </w:tc>
        <w:tc>
          <w:tcPr>
            <w:tcW w:type="dxa" w:w="188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Oui</w:t>
            </w:r>
          </w:p>
        </w:tc>
        <w:tc>
          <w:tcPr>
            <w:tcW w:type="dxa" w:w="188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Oui</w:t>
            </w:r>
          </w:p>
        </w:tc>
      </w:tr>
      <w:tr>
        <w:trPr>
          <w:cantSplit/>
        </w:trPr>
        <w:tc>
          <w:tcPr>
            <w:tcW w:type="dxa" w:w="56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Créer, modifier, supprimer des comptes</w:t>
            </w:r>
          </w:p>
        </w:tc>
        <w:tc>
          <w:tcPr>
            <w:tcW w:type="dxa" w:w="188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Oui</w:t>
            </w:r>
          </w:p>
        </w:tc>
        <w:tc>
          <w:tcPr>
            <w:tcW w:type="dxa" w:w="188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Non</w:t>
            </w:r>
          </w:p>
        </w:tc>
      </w:tr>
      <w:tr>
        <w:trPr>
          <w:cantSplit/>
        </w:trPr>
        <w:tc>
          <w:tcPr>
            <w:tcW w:type="dxa" w:w="56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Changer son propre mot de passe</w:t>
            </w:r>
          </w:p>
        </w:tc>
        <w:tc>
          <w:tcPr>
            <w:tcW w:type="dxa" w:w="188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Oui</w:t>
            </w:r>
          </w:p>
        </w:tc>
        <w:tc>
          <w:tcPr>
            <w:tcW w:type="dxa" w:w="188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Oui</w:t>
            </w:r>
          </w:p>
        </w:tc>
      </w:tr>
    </w:tbl>
    <w:p>
      <w:pPr>
        <w:spacing w:after="120" w:before="120"/>
      </w:pPr>
      <w:r>
        <w:rPr>
          <w:rFonts w:ascii="Calibri" w:cs="Calibri" w:eastAsia="Calibri" w:hAnsi="Calibri"/>
          <w:color w:val="222B36"/>
          <w:sz w:val="21"/>
          <w:szCs w:val="21"/>
        </w:rPr>
        <w:t xml:space="preserve">Une modification enregistrée dans l'administration est visible sur le site public immédiatement, sans republication.</w:t>
      </w:r>
    </w:p>
    <w:p>
      <w:pPr>
        <w:pStyle w:val="Heading1"/>
        <w:keepNext/>
        <w:pBdr>
          <w:bottom w:val="single" w:color="8AA4BD" w:sz="6" w:space="4"/>
        </w:pBdr>
        <w:spacing w:after="160" w:before="420"/>
      </w:pPr>
      <w:r>
        <w:rPr>
          <w:rFonts w:ascii="Georgia" w:cs="Georgia" w:eastAsia="Georgia" w:hAnsi="Georgia"/>
          <w:color w:val="0C2646"/>
          <w:sz w:val="34"/>
          <w:szCs w:val="34"/>
        </w:rPr>
        <w:t xml:space="preserve">8. Direction artistique et design</w:t>
      </w:r>
    </w:p>
    <w:p>
      <w:pPr>
        <w:pStyle w:val="Heading2"/>
        <w:keepNext/>
        <w:spacing w:after="100" w:before="280"/>
      </w:pPr>
      <w:r>
        <w:rPr>
          <w:rFonts w:ascii="Georgia" w:cs="Georgia" w:eastAsia="Georgia" w:hAnsi="Georgia"/>
          <w:b/>
          <w:bCs/>
          <w:color w:val="0C2646"/>
          <w:sz w:val="26"/>
          <w:szCs w:val="26"/>
        </w:rPr>
        <w:t xml:space="preserve">8.1 Intention</w:t>
      </w:r>
    </w:p>
    <w:p>
      <w:pPr>
        <w:spacing w:after="120" w:line="300"/>
      </w:pPr>
      <w:r>
        <w:rPr>
          <w:rFonts w:ascii="Calibri" w:cs="Calibri" w:eastAsia="Calibri" w:hAnsi="Calibri"/>
          <w:color w:val="222B36"/>
          <w:sz w:val="21"/>
          <w:szCs w:val="21"/>
        </w:rPr>
        <w:t xml:space="preserve">Le site doit évoquer l'automobile de luxe, l'édition de mode et l'hôtellerie cinq étoiles, et non un site de transport. Mots d'ordre : moins de texte, plus d'image, plus d'espace, plus d'émotion, plus de précision. La chaleur malgache est présente par petites touches (« Tonga soa », « Misaotra »). Le client a jugé la première version insuffisamment premium et a fourni un modèle de référence : le site le suit fidèlement avec l'identité TS EXCLUSIVE.</w:t>
      </w:r>
    </w:p>
    <w:p>
      <w:pPr>
        <w:pStyle w:val="Heading2"/>
        <w:keepNext/>
        <w:spacing w:after="100" w:before="280"/>
      </w:pPr>
      <w:r>
        <w:rPr>
          <w:rFonts w:ascii="Georgia" w:cs="Georgia" w:eastAsia="Georgia" w:hAnsi="Georgia"/>
          <w:b/>
          <w:bCs/>
          <w:color w:val="0C2646"/>
          <w:sz w:val="26"/>
          <w:szCs w:val="26"/>
        </w:rPr>
        <w:t xml:space="preserve">8.2 Références</w:t>
      </w:r>
    </w:p>
    <w:p>
      <w:pPr>
        <w:pStyle w:val="ListParagraph"/>
        <w:numPr>
          <w:ilvl w:val="0"/>
          <w:numId w:val="2"/>
        </w:numPr>
        <w:spacing w:after="70" w:line="280"/>
      </w:pPr>
      <w:r>
        <w:rPr>
          <w:rFonts w:ascii="Calibri" w:cs="Calibri" w:eastAsia="Calibri" w:hAnsi="Calibri"/>
          <w:color w:val="222B36"/>
          <w:sz w:val="21"/>
          <w:szCs w:val="21"/>
        </w:rPr>
        <w:t xml:space="preserve">Modèle validé par le client (type « Detailing ») : hero sombre avec titre fin à droite et lien vertical, mosaïque de tuiles numérotées 01 à 05 aux couleurs variées, bloc clair avec tuiles 06 et 07 et cadre téléphone, pied de page clair avec réseaux et signature. Version TS EXCLUSIVE du même modèle fournie par le client.</w:t>
      </w:r>
    </w:p>
    <w:p>
      <w:pPr>
        <w:pStyle w:val="ListParagraph"/>
        <w:numPr>
          <w:ilvl w:val="0"/>
          <w:numId w:val="2"/>
        </w:numPr>
        <w:spacing w:after="70" w:line="280"/>
      </w:pPr>
      <w:r>
        <w:rPr>
          <w:rFonts w:ascii="Calibri" w:cs="Calibri" w:eastAsia="Calibri" w:hAnsi="Calibri"/>
          <w:color w:val="222B36"/>
          <w:sz w:val="21"/>
          <w:szCs w:val="21"/>
        </w:rPr>
        <w:t xml:space="preserve">Visuel client TS EXCLUSIVE : logo, bleu marine et acier, valeurs, carte de Madagascar.</w:t>
      </w:r>
    </w:p>
    <w:p>
      <w:pPr>
        <w:pStyle w:val="ListParagraph"/>
        <w:numPr>
          <w:ilvl w:val="0"/>
          <w:numId w:val="2"/>
        </w:numPr>
        <w:spacing w:after="70" w:line="280"/>
      </w:pPr>
      <w:r>
        <w:rPr>
          <w:rFonts w:ascii="Calibri" w:cs="Calibri" w:eastAsia="Calibri" w:hAnsi="Calibri"/>
          <w:color w:val="222B36"/>
          <w:sz w:val="21"/>
          <w:szCs w:val="21"/>
        </w:rPr>
        <w:t xml:space="preserve">Modèle Tesla : chiffres clés fins séparés par des filets.</w:t>
      </w:r>
    </w:p>
    <w:p>
      <w:pPr>
        <w:pStyle w:val="ListParagraph"/>
        <w:numPr>
          <w:ilvl w:val="0"/>
          <w:numId w:val="2"/>
        </w:numPr>
        <w:spacing w:after="70" w:line="280"/>
      </w:pPr>
      <w:r>
        <w:rPr>
          <w:rFonts w:ascii="Calibri" w:cs="Calibri" w:eastAsia="Calibri" w:hAnsi="Calibri"/>
          <w:color w:val="222B36"/>
          <w:sz w:val="21"/>
          <w:szCs w:val="21"/>
        </w:rPr>
        <w:t xml:space="preserve">Consigne du client : le doré reste une touche discrète (filets, numéros, boutons d'action, bouton « Voir les offres », conciergerie) ; l'accent principal est le bleu acier.</w:t>
      </w:r>
    </w:p>
    <w:p>
      <w:pPr>
        <w:pStyle w:val="Heading2"/>
        <w:keepNext/>
        <w:spacing w:after="100" w:before="280"/>
      </w:pPr>
      <w:r>
        <w:rPr>
          <w:rFonts w:ascii="Georgia" w:cs="Georgia" w:eastAsia="Georgia" w:hAnsi="Georgia"/>
          <w:b/>
          <w:bCs/>
          <w:color w:val="0C2646"/>
          <w:sz w:val="26"/>
          <w:szCs w:val="26"/>
        </w:rPr>
        <w:t xml:space="preserve">8.3 Charte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C9D4E0" w:sz="4"/>
              <w:left w:val="single" w:color="C9D4E0" w:sz="4"/>
              <w:bottom w:val="single" w:color="C9D4E0" w:sz="4"/>
              <w:right w:val="single" w:color="C9D4E0" w:sz="4"/>
            </w:tcBorders>
            <w:shd w:fill="0C2646" w:color="auto" w:val="clear"/>
            <w:tcMar>
              <w:top w:type="dxa" w:w="70"/>
              <w:left w:type="dxa" w:w="110"/>
              <w:bottom w:type="dxa" w:w="70"/>
              <w:right w:type="dxa" w:w="110"/>
            </w:tcMar>
          </w:tcPr>
          <w:p>
            <w:pPr>
              <w:spacing w:after="30"/>
            </w:pPr>
            <w:r>
              <w:rPr>
                <w:rFonts w:ascii="Calibri" w:cs="Calibri" w:eastAsia="Calibri" w:hAnsi="Calibri"/>
                <w:b/>
                <w:bCs/>
                <w:color w:val="FFFFFF"/>
                <w:sz w:val="19"/>
                <w:szCs w:val="19"/>
              </w:rPr>
              <w:t xml:space="preserve">Élément</w:t>
            </w:r>
          </w:p>
        </w:tc>
        <w:tc>
          <w:tcPr>
            <w:tcW w:type="dxa" w:w="7060"/>
            <w:tcBorders>
              <w:top w:val="single" w:color="C9D4E0" w:sz="4"/>
              <w:left w:val="single" w:color="C9D4E0" w:sz="4"/>
              <w:bottom w:val="single" w:color="C9D4E0" w:sz="4"/>
              <w:right w:val="single" w:color="C9D4E0" w:sz="4"/>
            </w:tcBorders>
            <w:shd w:fill="0C2646" w:color="auto" w:val="clear"/>
            <w:tcMar>
              <w:top w:type="dxa" w:w="70"/>
              <w:left w:type="dxa" w:w="110"/>
              <w:bottom w:type="dxa" w:w="70"/>
              <w:right w:type="dxa" w:w="110"/>
            </w:tcMar>
          </w:tcPr>
          <w:p>
            <w:pPr>
              <w:spacing w:after="30"/>
            </w:pPr>
            <w:r>
              <w:rPr>
                <w:rFonts w:ascii="Calibri" w:cs="Calibri" w:eastAsia="Calibri" w:hAnsi="Calibri"/>
                <w:b/>
                <w:bCs/>
                <w:color w:val="FFFFFF"/>
                <w:sz w:val="19"/>
                <w:szCs w:val="19"/>
              </w:rPr>
              <w:t xml:space="preserve">Spécification</w:t>
            </w:r>
          </w:p>
        </w:tc>
      </w:tr>
      <w:tr>
        <w:trPr>
          <w:cantSplit/>
        </w:trPr>
        <w:tc>
          <w:tcPr>
            <w:tcW w:type="dxa" w:w="23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Couleurs</w:t>
            </w:r>
          </w:p>
        </w:tc>
        <w:tc>
          <w:tcPr>
            <w:tcW w:type="dxa" w:w="706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Marine profond #07182E (fonds sombres) · Marine #0C2646 (logo, boutons) · Bleu acier #4B7096 et #8AA4BD (accent, tuile 01) · Gris-bleu #A7B5C6 (tuile 03) · Gris clair #C9D2DE (tuile 04) · Ardoise #33465E (tuile 05) · Fond clair #E1E6ED · Blanc #FFFFFF · Or champagne #C9A45C en touche (filets, numéros, boutons d'action).</w:t>
            </w:r>
          </w:p>
        </w:tc>
      </w:tr>
      <w:tr>
        <w:trPr>
          <w:cantSplit/>
        </w:trPr>
        <w:tc>
          <w:tcPr>
            <w:tcW w:type="dxa" w:w="23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Typographie des titres</w:t>
            </w:r>
          </w:p>
        </w:tc>
        <w:tc>
          <w:tcPr>
            <w:tcW w:type="dxa" w:w="706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Roboto fin (100 à 300), en capitales avec léger espacement ; grands chiffres des tuiles en Roboto 100</w:t>
            </w:r>
          </w:p>
        </w:tc>
      </w:tr>
      <w:tr>
        <w:trPr>
          <w:cantSplit/>
        </w:trPr>
        <w:tc>
          <w:tcPr>
            <w:tcW w:type="dxa" w:w="23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Typographie des textes</w:t>
            </w:r>
          </w:p>
        </w:tc>
        <w:tc>
          <w:tcPr>
            <w:tcW w:type="dxa" w:w="706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Roboto Slab léger pour les petits textes (tuiles, citations, pied de page) ; Roboto 500 à 700 pour les titres de tuiles et les étiquettes en capitales espacées ; Cormorant Garamond italique réservé aux touches malgaches (« Tonga soa », « Misaotra »)</w:t>
            </w:r>
          </w:p>
        </w:tc>
      </w:tr>
      <w:tr>
        <w:trPr>
          <w:cantSplit/>
        </w:trPr>
        <w:tc>
          <w:tcPr>
            <w:tcW w:type="dxa" w:w="23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Logo</w:t>
            </w:r>
          </w:p>
        </w:tc>
        <w:tc>
          <w:tcPr>
            <w:tcW w:type="dxa" w:w="706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Logo TS EXCLUSIVE du visuel client, redessiné en vectoriel (SVG) en deux versions : marine pour fonds clairs, blanc et acier pour fonds sombres</w:t>
            </w:r>
          </w:p>
        </w:tc>
      </w:tr>
      <w:tr>
        <w:trPr>
          <w:cantSplit/>
        </w:trPr>
        <w:tc>
          <w:tcPr>
            <w:tcW w:type="dxa" w:w="23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Boutons</w:t>
            </w:r>
          </w:p>
        </w:tc>
        <w:tc>
          <w:tcPr>
            <w:tcW w:type="dxa" w:w="706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Toujours avec une bordure fine, coins à peine adoucis ; inversion de couleur au survol ; flèche animée</w:t>
            </w:r>
          </w:p>
        </w:tc>
      </w:tr>
      <w:tr>
        <w:trPr>
          <w:cantSplit/>
        </w:trPr>
        <w:tc>
          <w:tcPr>
            <w:tcW w:type="dxa" w:w="23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Bordures et formes</w:t>
            </w:r>
          </w:p>
        </w:tc>
        <w:tc>
          <w:tcPr>
            <w:tcW w:type="dxa" w:w="706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Filets fins sous l'en-tête et autour des titres de section, tuile filaire, séparateurs fins pour les chiffres ; coins presque droits (8 px sur les tuiles, 6 px sur les boutons), réglables par deux variables de style</w:t>
            </w:r>
          </w:p>
        </w:tc>
      </w:tr>
      <w:tr>
        <w:trPr>
          <w:cantSplit/>
        </w:trPr>
        <w:tc>
          <w:tcPr>
            <w:tcW w:type="dxa" w:w="23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Icônes</w:t>
            </w:r>
          </w:p>
        </w:tc>
        <w:tc>
          <w:tcPr>
            <w:tcW w:type="dxa" w:w="706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Traits fins, utilisées avec parcimonie (valeurs, services, dessin au trait de la tuile 02)</w:t>
            </w:r>
          </w:p>
        </w:tc>
      </w:tr>
      <w:tr>
        <w:trPr>
          <w:cantSplit/>
        </w:trPr>
        <w:tc>
          <w:tcPr>
            <w:tcW w:type="dxa" w:w="23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Photographie</w:t>
            </w:r>
          </w:p>
        </w:tc>
        <w:tc>
          <w:tcPr>
            <w:tcW w:type="dxa" w:w="706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Voitures de direction, aéroport, hôtellerie, Madagascar ; traitement uniforme : désaturation, teinte marine, dégradé vers le fond de page</w:t>
            </w:r>
          </w:p>
        </w:tc>
      </w:tr>
      <w:tr>
        <w:trPr>
          <w:cantSplit/>
        </w:trPr>
        <w:tc>
          <w:tcPr>
            <w:tcW w:type="dxa" w:w="23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Détails de marque</w:t>
            </w:r>
          </w:p>
        </w:tc>
        <w:tc>
          <w:tcPr>
            <w:tcW w:type="dxa" w:w="706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Salutations malgaches, pancarte d'accueil à l'aéroport, parcours en pointillés, logo en pied de page</w:t>
            </w:r>
          </w:p>
        </w:tc>
      </w:tr>
    </w:tbl>
    <w:p>
      <w:pPr>
        <w:pStyle w:val="Heading2"/>
        <w:keepNext/>
        <w:spacing w:after="100" w:before="280"/>
      </w:pPr>
      <w:r>
        <w:rPr>
          <w:rFonts w:ascii="Georgia" w:cs="Georgia" w:eastAsia="Georgia" w:hAnsi="Georgia"/>
          <w:b/>
          <w:bCs/>
          <w:color w:val="0C2646"/>
          <w:sz w:val="26"/>
          <w:szCs w:val="26"/>
        </w:rPr>
        <w:t xml:space="preserve">8.4 Animations et interactions</w:t>
      </w:r>
    </w:p>
    <w:p>
      <w:pPr>
        <w:pStyle w:val="ListParagraph"/>
        <w:numPr>
          <w:ilvl w:val="0"/>
          <w:numId w:val="2"/>
        </w:numPr>
        <w:spacing w:after="70" w:line="280"/>
      </w:pPr>
      <w:r>
        <w:rPr>
          <w:rFonts w:ascii="Calibri" w:cs="Calibri" w:eastAsia="Calibri" w:hAnsi="Calibri"/>
          <w:color w:val="222B36"/>
          <w:sz w:val="21"/>
          <w:szCs w:val="21"/>
        </w:rPr>
        <w:t xml:space="preserve">Rideau d'intro avec le logo, joué une seule fois par visite, puis rideau marine à chaque changement de page.</w:t>
      </w:r>
    </w:p>
    <w:p>
      <w:pPr>
        <w:pStyle w:val="ListParagraph"/>
        <w:numPr>
          <w:ilvl w:val="0"/>
          <w:numId w:val="2"/>
        </w:numPr>
        <w:spacing w:after="70" w:line="280"/>
      </w:pPr>
      <w:r>
        <w:rPr>
          <w:rFonts w:ascii="Calibri" w:cs="Calibri" w:eastAsia="Calibri" w:hAnsi="Calibri"/>
          <w:color w:val="222B36"/>
          <w:sz w:val="21"/>
          <w:szCs w:val="21"/>
        </w:rPr>
        <w:t xml:space="preserve">Défilement fluide, titres qui se révèlent mot à mot, apparition progressive au défilement, léger décalage de profondeur des photographies (parallaxe).</w:t>
      </w:r>
    </w:p>
    <w:p>
      <w:pPr>
        <w:pStyle w:val="ListParagraph"/>
        <w:numPr>
          <w:ilvl w:val="0"/>
          <w:numId w:val="2"/>
        </w:numPr>
        <w:spacing w:after="70" w:line="280"/>
      </w:pPr>
      <w:r>
        <w:rPr>
          <w:rFonts w:ascii="Calibri" w:cs="Calibri" w:eastAsia="Calibri" w:hAnsi="Calibri"/>
          <w:color w:val="222B36"/>
          <w:sz w:val="21"/>
          <w:szCs w:val="21"/>
        </w:rPr>
        <w:t xml:space="preserve">Tuiles qui se soulèvent au survol, flèches qui parcourent les véhicules de la tuile flotte, lien « Voir les offres » dont la flèche bouge.</w:t>
      </w:r>
    </w:p>
    <w:p>
      <w:pPr>
        <w:pStyle w:val="ListParagraph"/>
        <w:numPr>
          <w:ilvl w:val="0"/>
          <w:numId w:val="2"/>
        </w:numPr>
        <w:spacing w:after="70" w:line="280"/>
      </w:pPr>
      <w:r>
        <w:rPr>
          <w:rFonts w:ascii="Calibri" w:cs="Calibri" w:eastAsia="Calibri" w:hAnsi="Calibri"/>
          <w:color w:val="222B36"/>
          <w:sz w:val="21"/>
          <w:szCs w:val="21"/>
        </w:rPr>
        <w:t xml:space="preserve">Parcours « L'expérience TS » : la ligne se dessine au défilement et colore l'intérieur des ronds qu'elle atteint (bleu marine, halo doré léger).</w:t>
      </w:r>
    </w:p>
    <w:p>
      <w:pPr>
        <w:pStyle w:val="ListParagraph"/>
        <w:numPr>
          <w:ilvl w:val="0"/>
          <w:numId w:val="2"/>
        </w:numPr>
        <w:spacing w:after="70" w:line="280"/>
      </w:pPr>
      <w:r>
        <w:rPr>
          <w:rFonts w:ascii="Calibri" w:cs="Calibri" w:eastAsia="Calibri" w:hAnsi="Calibri"/>
          <w:color w:val="222B36"/>
          <w:sz w:val="21"/>
          <w:szCs w:val="21"/>
        </w:rPr>
        <w:t xml:space="preserve">Menu plein écran avec animation échelonnée et image associée à chaque entrée.</w:t>
      </w:r>
    </w:p>
    <w:p>
      <w:pPr>
        <w:pStyle w:val="ListParagraph"/>
        <w:numPr>
          <w:ilvl w:val="0"/>
          <w:numId w:val="2"/>
        </w:numPr>
        <w:spacing w:after="70" w:line="280"/>
      </w:pPr>
      <w:r>
        <w:rPr>
          <w:rFonts w:ascii="Calibri" w:cs="Calibri" w:eastAsia="Calibri" w:hAnsi="Calibri"/>
          <w:color w:val="222B36"/>
          <w:sz w:val="21"/>
          <w:szCs w:val="21"/>
        </w:rPr>
        <w:t xml:space="preserve">Chiffres clés qui se comptent, bandeau de partenaires qui défile, curseur discret sur ordinateur, barre de lecture qui remplit le filet de l'en-tête.</w:t>
      </w:r>
    </w:p>
    <w:p>
      <w:pPr>
        <w:pStyle w:val="ListParagraph"/>
        <w:numPr>
          <w:ilvl w:val="0"/>
          <w:numId w:val="2"/>
        </w:numPr>
        <w:spacing w:after="70" w:line="280"/>
      </w:pPr>
      <w:r>
        <w:rPr>
          <w:rFonts w:ascii="Calibri" w:cs="Calibri" w:eastAsia="Calibri" w:hAnsi="Calibri"/>
          <w:color w:val="222B36"/>
          <w:sz w:val="21"/>
          <w:szCs w:val="21"/>
        </w:rPr>
        <w:t xml:space="preserve">Toutes les animations utilisent uniquement la transparence et le déplacement, sont lentes et sont désactivées pour les personnes qui ont demandé moins de mouvement dans leur système.</w:t>
      </w:r>
    </w:p>
    <w:p>
      <w:pPr>
        <w:pStyle w:val="Heading2"/>
        <w:keepNext/>
        <w:spacing w:after="100" w:before="280"/>
      </w:pPr>
      <w:r>
        <w:rPr>
          <w:rFonts w:ascii="Georgia" w:cs="Georgia" w:eastAsia="Georgia" w:hAnsi="Georgia"/>
          <w:b/>
          <w:bCs/>
          <w:color w:val="0C2646"/>
          <w:sz w:val="26"/>
          <w:szCs w:val="26"/>
        </w:rPr>
        <w:t xml:space="preserve">8.5 Responsive</w:t>
      </w:r>
    </w:p>
    <w:p>
      <w:pPr>
        <w:spacing w:after="120" w:line="300"/>
      </w:pPr>
      <w:r>
        <w:rPr>
          <w:rFonts w:ascii="Calibri" w:cs="Calibri" w:eastAsia="Calibri" w:hAnsi="Calibri"/>
          <w:color w:val="222B36"/>
          <w:sz w:val="21"/>
          <w:szCs w:val="21"/>
        </w:rPr>
        <w:t xml:space="preserve">Le site est conçu pour téléphone, tablette, portable et grand écran. Sur mobile : en-tête réduit, menu plein écran, grandes images, barre d'action fixe en bas (Devis et WhatsApp), boutons faciles à atteindre, aucun défilement horizontal, mosaïque en une colonne, voiture du hero recadrée sur l'avant avec le titre en haut. La mise en page reste correcte pour les zooms navigateur de 80 % à 125 %.</w:t>
      </w:r>
    </w:p>
    <w:p>
      <w:pPr>
        <w:pStyle w:val="Heading2"/>
        <w:keepNext/>
        <w:spacing w:after="100" w:before="280"/>
      </w:pPr>
      <w:r>
        <w:rPr>
          <w:rFonts w:ascii="Georgia" w:cs="Georgia" w:eastAsia="Georgia" w:hAnsi="Georgia"/>
          <w:b/>
          <w:bCs/>
          <w:color w:val="0C2646"/>
          <w:sz w:val="26"/>
          <w:szCs w:val="26"/>
        </w:rPr>
        <w:t xml:space="preserve">8.6 Administration</w:t>
      </w:r>
    </w:p>
    <w:p>
      <w:pPr>
        <w:spacing w:after="120" w:line="300"/>
      </w:pPr>
      <w:r>
        <w:rPr>
          <w:rFonts w:ascii="Calibri" w:cs="Calibri" w:eastAsia="Calibri" w:hAnsi="Calibri"/>
          <w:color w:val="222B36"/>
          <w:sz w:val="21"/>
          <w:szCs w:val="21"/>
        </w:rPr>
        <w:t xml:space="preserve">Connexion en deux volets (photographie de la marque et formulaire), barre latérale marine groupée par activité, contenu et réglages, tableau de bord chaleureux. Même logique de bordures fines et de boutons bordés que le site public.</w:t>
      </w:r>
    </w:p>
    <w:p>
      <w:pPr>
        <w:pStyle w:val="Heading1"/>
        <w:keepNext/>
        <w:pBdr>
          <w:bottom w:val="single" w:color="8AA4BD" w:sz="6" w:space="4"/>
        </w:pBdr>
        <w:spacing w:after="160" w:before="420"/>
      </w:pPr>
      <w:r>
        <w:rPr>
          <w:rFonts w:ascii="Georgia" w:cs="Georgia" w:eastAsia="Georgia" w:hAnsi="Georgia"/>
          <w:color w:val="0C2646"/>
          <w:sz w:val="34"/>
          <w:szCs w:val="34"/>
        </w:rPr>
        <w:t xml:space="preserve">9. Contenus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3560"/>
        <w:gridCol w:w="2500"/>
      </w:tblGrid>
      <w:tr>
        <w:trPr>
          <w:tblHeader/>
        </w:trPr>
        <w:tc>
          <w:tcPr>
            <w:tcW w:type="dxa" w:w="3300"/>
            <w:tcBorders>
              <w:top w:val="single" w:color="C9D4E0" w:sz="4"/>
              <w:left w:val="single" w:color="C9D4E0" w:sz="4"/>
              <w:bottom w:val="single" w:color="C9D4E0" w:sz="4"/>
              <w:right w:val="single" w:color="C9D4E0" w:sz="4"/>
            </w:tcBorders>
            <w:shd w:fill="0C2646" w:color="auto" w:val="clear"/>
            <w:tcMar>
              <w:top w:type="dxa" w:w="70"/>
              <w:left w:type="dxa" w:w="110"/>
              <w:bottom w:type="dxa" w:w="70"/>
              <w:right w:type="dxa" w:w="110"/>
            </w:tcMar>
          </w:tcPr>
          <w:p>
            <w:pPr>
              <w:spacing w:after="30"/>
            </w:pPr>
            <w:r>
              <w:rPr>
                <w:rFonts w:ascii="Calibri" w:cs="Calibri" w:eastAsia="Calibri" w:hAnsi="Calibri"/>
                <w:b/>
                <w:bCs/>
                <w:color w:val="FFFFFF"/>
                <w:sz w:val="19"/>
                <w:szCs w:val="19"/>
              </w:rPr>
              <w:t xml:space="preserve">Contenu</w:t>
            </w:r>
          </w:p>
        </w:tc>
        <w:tc>
          <w:tcPr>
            <w:tcW w:type="dxa" w:w="3560"/>
            <w:tcBorders>
              <w:top w:val="single" w:color="C9D4E0" w:sz="4"/>
              <w:left w:val="single" w:color="C9D4E0" w:sz="4"/>
              <w:bottom w:val="single" w:color="C9D4E0" w:sz="4"/>
              <w:right w:val="single" w:color="C9D4E0" w:sz="4"/>
            </w:tcBorders>
            <w:shd w:fill="0C2646" w:color="auto" w:val="clear"/>
            <w:tcMar>
              <w:top w:type="dxa" w:w="70"/>
              <w:left w:type="dxa" w:w="110"/>
              <w:bottom w:type="dxa" w:w="70"/>
              <w:right w:type="dxa" w:w="110"/>
            </w:tcMar>
          </w:tcPr>
          <w:p>
            <w:pPr>
              <w:spacing w:after="30"/>
            </w:pPr>
            <w:r>
              <w:rPr>
                <w:rFonts w:ascii="Calibri" w:cs="Calibri" w:eastAsia="Calibri" w:hAnsi="Calibri"/>
                <w:b/>
                <w:bCs/>
                <w:color w:val="FFFFFF"/>
                <w:sz w:val="19"/>
                <w:szCs w:val="19"/>
              </w:rPr>
              <w:t xml:space="preserve">Source</w:t>
            </w:r>
          </w:p>
        </w:tc>
        <w:tc>
          <w:tcPr>
            <w:tcW w:type="dxa" w:w="2500"/>
            <w:tcBorders>
              <w:top w:val="single" w:color="C9D4E0" w:sz="4"/>
              <w:left w:val="single" w:color="C9D4E0" w:sz="4"/>
              <w:bottom w:val="single" w:color="C9D4E0" w:sz="4"/>
              <w:right w:val="single" w:color="C9D4E0" w:sz="4"/>
            </w:tcBorders>
            <w:shd w:fill="0C2646" w:color="auto" w:val="clear"/>
            <w:tcMar>
              <w:top w:type="dxa" w:w="70"/>
              <w:left w:type="dxa" w:w="110"/>
              <w:bottom w:type="dxa" w:w="70"/>
              <w:right w:type="dxa" w:w="110"/>
            </w:tcMar>
          </w:tcPr>
          <w:p>
            <w:pPr>
              <w:spacing w:after="30"/>
            </w:pPr>
            <w:r>
              <w:rPr>
                <w:rFonts w:ascii="Calibri" w:cs="Calibri" w:eastAsia="Calibri" w:hAnsi="Calibri"/>
                <w:b/>
                <w:bCs/>
                <w:color w:val="FFFFFF"/>
                <w:sz w:val="19"/>
                <w:szCs w:val="19"/>
              </w:rPr>
              <w:t xml:space="preserve">État</w:t>
            </w:r>
          </w:p>
        </w:tc>
      </w:tr>
      <w:tr>
        <w:trPr>
          <w:cantSplit/>
        </w:trPr>
        <w:tc>
          <w:tcPr>
            <w:tcW w:type="dxa" w:w="33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Contenus finaux : slogan, accroche, trois valeurs, sept services, À propos</w:t>
            </w:r>
          </w:p>
        </w:tc>
        <w:tc>
          <w:tcPr>
            <w:tcW w:type="dxa" w:w="356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Document « contenus Site final » du client</w:t>
            </w:r>
          </w:p>
        </w:tc>
        <w:tc>
          <w:tcPr>
            <w:tcW w:type="dxa" w:w="25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Intégrés en français ; traduction anglaise rédigée, à faire relire</w:t>
            </w:r>
          </w:p>
        </w:tc>
      </w:tr>
      <w:tr>
        <w:trPr>
          <w:cantSplit/>
        </w:trPr>
        <w:tc>
          <w:tcPr>
            <w:tcW w:type="dxa" w:w="33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Accroches des sept services</w:t>
            </w:r>
          </w:p>
        </w:tc>
        <w:tc>
          <w:tcPr>
            <w:tcW w:type="dxa" w:w="356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Rédigées pour plus d'impact à partir des textes du client</w:t>
            </w:r>
          </w:p>
        </w:tc>
        <w:tc>
          <w:tcPr>
            <w:tcW w:type="dxa" w:w="25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Intégrées en français et en anglais ; à faire valider</w:t>
            </w:r>
          </w:p>
        </w:tc>
      </w:tr>
      <w:tr>
        <w:trPr>
          <w:cantSplit/>
        </w:trPr>
        <w:tc>
          <w:tcPr>
            <w:tcW w:type="dxa" w:w="33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Textes des pages, services, offres, FAQ</w:t>
            </w:r>
          </w:p>
        </w:tc>
        <w:tc>
          <w:tcPr>
            <w:tcW w:type="dxa" w:w="356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Arborescence Toky Service, document d'architecture TS EXCLUSIVE, plaquette V3</w:t>
            </w:r>
          </w:p>
        </w:tc>
        <w:tc>
          <w:tcPr>
            <w:tcW w:type="dxa" w:w="25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Rédigés, FR et EN</w:t>
            </w:r>
          </w:p>
        </w:tc>
      </w:tr>
      <w:tr>
        <w:trPr>
          <w:cantSplit/>
        </w:trPr>
        <w:tc>
          <w:tcPr>
            <w:tcW w:type="dxa" w:w="33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Prix et conditions de location</w:t>
            </w:r>
          </w:p>
        </w:tc>
        <w:tc>
          <w:tcPr>
            <w:tcW w:type="dxa" w:w="356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Plaquette V3</w:t>
            </w:r>
          </w:p>
        </w:tc>
        <w:tc>
          <w:tcPr>
            <w:tcW w:type="dxa" w:w="25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Intégrés, à valider</w:t>
            </w:r>
          </w:p>
        </w:tc>
      </w:tr>
      <w:tr>
        <w:trPr>
          <w:cantSplit/>
        </w:trPr>
        <w:tc>
          <w:tcPr>
            <w:tcW w:type="dxa" w:w="33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Véhicules et caractéristiques</w:t>
            </w:r>
          </w:p>
        </w:tc>
        <w:tc>
          <w:tcPr>
            <w:tcW w:type="dxa" w:w="356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Plaquette V3</w:t>
            </w:r>
          </w:p>
        </w:tc>
        <w:tc>
          <w:tcPr>
            <w:tcW w:type="dxa" w:w="25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Intégrés ; passagers et bagages à confirmer</w:t>
            </w:r>
          </w:p>
        </w:tc>
      </w:tr>
      <w:tr>
        <w:trPr>
          <w:cantSplit/>
        </w:trPr>
        <w:tc>
          <w:tcPr>
            <w:tcW w:type="dxa" w:w="33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Coordonnées</w:t>
            </w:r>
          </w:p>
        </w:tc>
        <w:tc>
          <w:tcPr>
            <w:tcW w:type="dxa" w:w="356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Plaquette V3</w:t>
            </w:r>
          </w:p>
        </w:tc>
        <w:tc>
          <w:tcPr>
            <w:tcW w:type="dxa" w:w="25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Intégrées</w:t>
            </w:r>
          </w:p>
        </w:tc>
      </w:tr>
      <w:tr>
        <w:trPr>
          <w:cantSplit/>
        </w:trPr>
        <w:tc>
          <w:tcPr>
            <w:tcW w:type="dxa" w:w="33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Logo</w:t>
            </w:r>
          </w:p>
        </w:tc>
        <w:tc>
          <w:tcPr>
            <w:tcW w:type="dxa" w:w="356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Visuel client</w:t>
            </w:r>
          </w:p>
        </w:tc>
        <w:tc>
          <w:tcPr>
            <w:tcW w:type="dxa" w:w="25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Redessiné en vectoriel ; fichier d'origine en haute définition souhaité</w:t>
            </w:r>
          </w:p>
        </w:tc>
      </w:tr>
      <w:tr>
        <w:trPr>
          <w:cantSplit/>
        </w:trPr>
        <w:tc>
          <w:tcPr>
            <w:tcW w:type="dxa" w:w="33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Photographies d'ambiance</w:t>
            </w:r>
          </w:p>
        </w:tc>
        <w:tc>
          <w:tcPr>
            <w:tcW w:type="dxa" w:w="356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Banques d'images libres de droits (Unsplash, Pexels)</w:t>
            </w:r>
          </w:p>
        </w:tc>
        <w:tc>
          <w:tcPr>
            <w:tcW w:type="dxa" w:w="25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Provisoires ; à remplacer par des photos propres à l'entreprise</w:t>
            </w:r>
          </w:p>
        </w:tc>
      </w:tr>
      <w:tr>
        <w:trPr>
          <w:cantSplit/>
        </w:trPr>
        <w:tc>
          <w:tcPr>
            <w:tcW w:type="dxa" w:w="33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Photographie du hero (Maybach, format paysage)</w:t>
            </w:r>
          </w:p>
        </w:tc>
        <w:tc>
          <w:tcPr>
            <w:tcW w:type="dxa" w:w="356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Pexels</w:t>
            </w:r>
          </w:p>
        </w:tc>
        <w:tc>
          <w:tcPr>
            <w:tcW w:type="dxa" w:w="25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Provisoire ; à remplacer par une photo d'un véhicule de la flotte</w:t>
            </w:r>
          </w:p>
        </w:tc>
      </w:tr>
      <w:tr>
        <w:trPr>
          <w:cantSplit/>
        </w:trPr>
        <w:tc>
          <w:tcPr>
            <w:tcW w:type="dxa" w:w="33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Contour de Madagascar (carte des destinations)</w:t>
            </w:r>
          </w:p>
        </w:tc>
        <w:tc>
          <w:tcPr>
            <w:tcW w:type="dxa" w:w="356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Natural Earth 1:50m, domaine public</w:t>
            </w:r>
          </w:p>
        </w:tc>
        <w:tc>
          <w:tcPr>
            <w:tcW w:type="dxa" w:w="25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Intégré ; simplifié et lissé, villes placées par leurs coordonnées géographiques</w:t>
            </w:r>
          </w:p>
        </w:tc>
      </w:tr>
      <w:tr>
        <w:trPr>
          <w:cantSplit/>
        </w:trPr>
        <w:tc>
          <w:tcPr>
            <w:tcW w:type="dxa" w:w="33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Photographies des véhicules</w:t>
            </w:r>
          </w:p>
        </w:tc>
        <w:tc>
          <w:tcPr>
            <w:tcW w:type="dxa" w:w="356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Photos détourées fournies par le client (dossier Fiara)</w:t>
            </w:r>
          </w:p>
        </w:tc>
        <w:tc>
          <w:tcPr>
            <w:tcW w:type="dxa" w:w="25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Intégrées (WebP à fond transparent, ombre portée au sol) ; la photo du Prado est coupée à la base de la roue avant gauche</w:t>
            </w:r>
          </w:p>
        </w:tc>
      </w:tr>
      <w:tr>
        <w:trPr>
          <w:cantSplit/>
        </w:trPr>
        <w:tc>
          <w:tcPr>
            <w:tcW w:type="dxa" w:w="33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Témoignages</w:t>
            </w:r>
          </w:p>
        </w:tc>
        <w:tc>
          <w:tcPr>
            <w:tcW w:type="dxa" w:w="356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Clients réels</w:t>
            </w:r>
          </w:p>
        </w:tc>
        <w:tc>
          <w:tcPr>
            <w:tcW w:type="dxa" w:w="25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À fournir (aucun témoignage inventé)</w:t>
            </w:r>
          </w:p>
        </w:tc>
      </w:tr>
      <w:tr>
        <w:trPr>
          <w:cantSplit/>
        </w:trPr>
        <w:tc>
          <w:tcPr>
            <w:tcW w:type="dxa" w:w="33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Réseaux sociaux</w:t>
            </w:r>
          </w:p>
        </w:tc>
        <w:tc>
          <w:tcPr>
            <w:tcW w:type="dxa" w:w="356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Entreprise</w:t>
            </w:r>
          </w:p>
        </w:tc>
        <w:tc>
          <w:tcPr>
            <w:tcW w:type="dxa" w:w="25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À fournir (liens Instagram, LinkedIn, Facebook)</w:t>
            </w:r>
          </w:p>
        </w:tc>
      </w:tr>
      <w:tr>
        <w:trPr>
          <w:cantSplit/>
        </w:trPr>
        <w:tc>
          <w:tcPr>
            <w:tcW w:type="dxa" w:w="33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Mentions légales, conditions générales, politique de confidentialité</w:t>
            </w:r>
          </w:p>
        </w:tc>
        <w:tc>
          <w:tcPr>
            <w:tcW w:type="dxa" w:w="356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Entreprise</w:t>
            </w:r>
          </w:p>
        </w:tc>
        <w:tc>
          <w:tcPr>
            <w:tcW w:type="dxa" w:w="25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À fournir ou à rédiger</w:t>
            </w:r>
          </w:p>
        </w:tc>
      </w:tr>
    </w:tbl>
    <w:p>
      <w:pPr>
        <w:pStyle w:val="Heading1"/>
        <w:keepNext/>
        <w:pBdr>
          <w:bottom w:val="single" w:color="8AA4BD" w:sz="6" w:space="4"/>
        </w:pBdr>
        <w:spacing w:after="160" w:before="420"/>
      </w:pPr>
      <w:r>
        <w:rPr>
          <w:rFonts w:ascii="Georgia" w:cs="Georgia" w:eastAsia="Georgia" w:hAnsi="Georgia"/>
          <w:color w:val="0C2646"/>
          <w:sz w:val="34"/>
          <w:szCs w:val="34"/>
        </w:rPr>
        <w:t xml:space="preserve">10. Exigences techniques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C9D4E0" w:sz="4"/>
              <w:left w:val="single" w:color="C9D4E0" w:sz="4"/>
              <w:bottom w:val="single" w:color="C9D4E0" w:sz="4"/>
              <w:right w:val="single" w:color="C9D4E0" w:sz="4"/>
            </w:tcBorders>
            <w:shd w:fill="0C2646" w:color="auto" w:val="clear"/>
            <w:tcMar>
              <w:top w:type="dxa" w:w="70"/>
              <w:left w:type="dxa" w:w="110"/>
              <w:bottom w:type="dxa" w:w="70"/>
              <w:right w:type="dxa" w:w="110"/>
            </w:tcMar>
          </w:tcPr>
          <w:p>
            <w:pPr>
              <w:spacing w:after="30"/>
            </w:pPr>
            <w:r>
              <w:rPr>
                <w:rFonts w:ascii="Calibri" w:cs="Calibri" w:eastAsia="Calibri" w:hAnsi="Calibri"/>
                <w:b/>
                <w:bCs/>
                <w:color w:val="FFFFFF"/>
                <w:sz w:val="19"/>
                <w:szCs w:val="19"/>
              </w:rPr>
              <w:t xml:space="preserve">Domaine</w:t>
            </w:r>
          </w:p>
        </w:tc>
        <w:tc>
          <w:tcPr>
            <w:tcW w:type="dxa" w:w="7060"/>
            <w:tcBorders>
              <w:top w:val="single" w:color="C9D4E0" w:sz="4"/>
              <w:left w:val="single" w:color="C9D4E0" w:sz="4"/>
              <w:bottom w:val="single" w:color="C9D4E0" w:sz="4"/>
              <w:right w:val="single" w:color="C9D4E0" w:sz="4"/>
            </w:tcBorders>
            <w:shd w:fill="0C2646" w:color="auto" w:val="clear"/>
            <w:tcMar>
              <w:top w:type="dxa" w:w="70"/>
              <w:left w:type="dxa" w:w="110"/>
              <w:bottom w:type="dxa" w:w="70"/>
              <w:right w:type="dxa" w:w="110"/>
            </w:tcMar>
          </w:tcPr>
          <w:p>
            <w:pPr>
              <w:spacing w:after="30"/>
            </w:pPr>
            <w:r>
              <w:rPr>
                <w:rFonts w:ascii="Calibri" w:cs="Calibri" w:eastAsia="Calibri" w:hAnsi="Calibri"/>
                <w:b/>
                <w:bCs/>
                <w:color w:val="FFFFFF"/>
                <w:sz w:val="19"/>
                <w:szCs w:val="19"/>
              </w:rPr>
              <w:t xml:space="preserve">Choix</w:t>
            </w:r>
          </w:p>
        </w:tc>
      </w:tr>
      <w:tr>
        <w:trPr>
          <w:cantSplit/>
        </w:trPr>
        <w:tc>
          <w:tcPr>
            <w:tcW w:type="dxa" w:w="23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Framework</w:t>
            </w:r>
          </w:p>
        </w:tc>
        <w:tc>
          <w:tcPr>
            <w:tcW w:type="dxa" w:w="706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Nuxt 4 (Vue 3) avec rendu côté serveur, pour la vitesse et le référencement</w:t>
            </w:r>
          </w:p>
        </w:tc>
      </w:tr>
      <w:tr>
        <w:trPr>
          <w:cantSplit/>
        </w:trPr>
        <w:tc>
          <w:tcPr>
            <w:tcW w:type="dxa" w:w="23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Serveur</w:t>
            </w:r>
          </w:p>
        </w:tc>
        <w:tc>
          <w:tcPr>
            <w:tcW w:type="dxa" w:w="706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Node.js (Nitro) : API publique et API d'administration</w:t>
            </w:r>
          </w:p>
        </w:tc>
      </w:tr>
      <w:tr>
        <w:trPr>
          <w:cantSplit/>
        </w:trPr>
        <w:tc>
          <w:tcPr>
            <w:tcW w:type="dxa" w:w="23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Base de données</w:t>
            </w:r>
          </w:p>
        </w:tc>
        <w:tc>
          <w:tcPr>
            <w:tcW w:type="dxa" w:w="706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PostgreSQL hébergée chez Neon ; tables créées et contenu de départ insérés automatiquement au premier démarrage</w:t>
            </w:r>
          </w:p>
        </w:tc>
      </w:tr>
      <w:tr>
        <w:trPr>
          <w:cantSplit/>
        </w:trPr>
        <w:tc>
          <w:tcPr>
            <w:tcW w:type="dxa" w:w="23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Authentification</w:t>
            </w:r>
          </w:p>
        </w:tc>
        <w:tc>
          <w:tcPr>
            <w:tcW w:type="dxa" w:w="706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Session signée (JWT HS256) dans un cookie httpOnly de 7 jours ; mots de passe hachés avec scrypt</w:t>
            </w:r>
          </w:p>
        </w:tc>
      </w:tr>
      <w:tr>
        <w:trPr>
          <w:cantSplit/>
        </w:trPr>
        <w:tc>
          <w:tcPr>
            <w:tcW w:type="dxa" w:w="23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Emails</w:t>
            </w:r>
          </w:p>
        </w:tc>
        <w:tc>
          <w:tcPr>
            <w:tcW w:type="dxa" w:w="706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Nodemailer, activé dès que les paramètres SMTP sont renseignés</w:t>
            </w:r>
          </w:p>
        </w:tc>
      </w:tr>
      <w:tr>
        <w:trPr>
          <w:cantSplit/>
        </w:trPr>
        <w:tc>
          <w:tcPr>
            <w:tcW w:type="dxa" w:w="23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Images</w:t>
            </w:r>
          </w:p>
        </w:tc>
        <w:tc>
          <w:tcPr>
            <w:tcW w:type="dxa" w:w="706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Photographies chargées à la demande et redimensionnées ; images téléversées stockées en base et servies avec cache longue durée</w:t>
            </w:r>
          </w:p>
        </w:tc>
      </w:tr>
      <w:tr>
        <w:trPr>
          <w:cantSplit/>
        </w:trPr>
        <w:tc>
          <w:tcPr>
            <w:tcW w:type="dxa" w:w="23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Polices</w:t>
            </w:r>
          </w:p>
        </w:tc>
        <w:tc>
          <w:tcPr>
            <w:tcW w:type="dxa" w:w="706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Roboto, Roboto Slab, Cormorant Garamond, Inter et Manrope (Google Fonts)</w:t>
            </w:r>
          </w:p>
        </w:tc>
      </w:tr>
      <w:tr>
        <w:trPr>
          <w:cantSplit/>
        </w:trPr>
        <w:tc>
          <w:tcPr>
            <w:tcW w:type="dxa" w:w="23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Défilement</w:t>
            </w:r>
          </w:p>
        </w:tc>
        <w:tc>
          <w:tcPr>
            <w:tcW w:type="dxa" w:w="706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Lenis, bibliothèque légère de défilement fluide</w:t>
            </w:r>
          </w:p>
        </w:tc>
      </w:tr>
      <w:tr>
        <w:trPr>
          <w:cantSplit/>
        </w:trPr>
        <w:tc>
          <w:tcPr>
            <w:tcW w:type="dxa" w:w="23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Hébergement</w:t>
            </w:r>
          </w:p>
        </w:tc>
        <w:tc>
          <w:tcPr>
            <w:tcW w:type="dxa" w:w="706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Vercel, déploiement automatique à chaque envoi sur la branche principale GitHub</w:t>
            </w:r>
          </w:p>
        </w:tc>
      </w:tr>
      <w:tr>
        <w:trPr>
          <w:cantSplit/>
        </w:trPr>
        <w:tc>
          <w:tcPr>
            <w:tcW w:type="dxa" w:w="23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Code source</w:t>
            </w:r>
          </w:p>
        </w:tc>
        <w:tc>
          <w:tcPr>
            <w:tcW w:type="dxa" w:w="706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Dépôt GitHub : https://github.com/djibril-mamitiana/ts-exclusive</w:t>
            </w:r>
          </w:p>
        </w:tc>
      </w:tr>
      <w:tr>
        <w:trPr>
          <w:cantSplit/>
        </w:trPr>
        <w:tc>
          <w:tcPr>
            <w:tcW w:type="dxa" w:w="23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Environnements</w:t>
            </w:r>
          </w:p>
        </w:tc>
        <w:tc>
          <w:tcPr>
            <w:tcW w:type="dxa" w:w="706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Local (développement), production ; variables d'environnement pour tous les secrets</w:t>
            </w:r>
          </w:p>
        </w:tc>
      </w:tr>
      <w:tr>
        <w:trPr>
          <w:cantSplit/>
        </w:trPr>
        <w:tc>
          <w:tcPr>
            <w:tcW w:type="dxa" w:w="23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Navigateurs</w:t>
            </w:r>
          </w:p>
        </w:tc>
        <w:tc>
          <w:tcPr>
            <w:tcW w:type="dxa" w:w="706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Dernières versions de Chrome, Edge, Firefox et Safari ; Chrome et Safari mobiles</w:t>
            </w:r>
          </w:p>
        </w:tc>
      </w:tr>
    </w:tbl>
    <w:p>
      <w:pPr>
        <w:pStyle w:val="Heading2"/>
        <w:keepNext/>
        <w:spacing w:after="100" w:before="280"/>
      </w:pPr>
      <w:r>
        <w:rPr>
          <w:rFonts w:ascii="Georgia" w:cs="Georgia" w:eastAsia="Georgia" w:hAnsi="Georgia"/>
          <w:b/>
          <w:bCs/>
          <w:color w:val="0C2646"/>
          <w:sz w:val="26"/>
          <w:szCs w:val="26"/>
        </w:rPr>
        <w:t xml:space="preserve">10.1 Variables d'environnement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9D4E0" w:sz="4"/>
              <w:left w:val="single" w:color="C9D4E0" w:sz="4"/>
              <w:bottom w:val="single" w:color="C9D4E0" w:sz="4"/>
              <w:right w:val="single" w:color="C9D4E0" w:sz="4"/>
            </w:tcBorders>
            <w:shd w:fill="0C2646" w:color="auto" w:val="clear"/>
            <w:tcMar>
              <w:top w:type="dxa" w:w="70"/>
              <w:left w:type="dxa" w:w="110"/>
              <w:bottom w:type="dxa" w:w="70"/>
              <w:right w:type="dxa" w:w="110"/>
            </w:tcMar>
          </w:tcPr>
          <w:p>
            <w:pPr>
              <w:spacing w:after="30"/>
            </w:pPr>
            <w:r>
              <w:rPr>
                <w:rFonts w:ascii="Calibri" w:cs="Calibri" w:eastAsia="Calibri" w:hAnsi="Calibri"/>
                <w:b/>
                <w:bCs/>
                <w:color w:val="FFFFFF"/>
                <w:sz w:val="19"/>
                <w:szCs w:val="19"/>
              </w:rPr>
              <w:t xml:space="preserve">Variable</w:t>
            </w:r>
          </w:p>
        </w:tc>
        <w:tc>
          <w:tcPr>
            <w:tcW w:type="dxa" w:w="5160"/>
            <w:tcBorders>
              <w:top w:val="single" w:color="C9D4E0" w:sz="4"/>
              <w:left w:val="single" w:color="C9D4E0" w:sz="4"/>
              <w:bottom w:val="single" w:color="C9D4E0" w:sz="4"/>
              <w:right w:val="single" w:color="C9D4E0" w:sz="4"/>
            </w:tcBorders>
            <w:shd w:fill="0C2646" w:color="auto" w:val="clear"/>
            <w:tcMar>
              <w:top w:type="dxa" w:w="70"/>
              <w:left w:type="dxa" w:w="110"/>
              <w:bottom w:type="dxa" w:w="70"/>
              <w:right w:type="dxa" w:w="110"/>
            </w:tcMar>
          </w:tcPr>
          <w:p>
            <w:pPr>
              <w:spacing w:after="30"/>
            </w:pPr>
            <w:r>
              <w:rPr>
                <w:rFonts w:ascii="Calibri" w:cs="Calibri" w:eastAsia="Calibri" w:hAnsi="Calibri"/>
                <w:b/>
                <w:bCs/>
                <w:color w:val="FFFFFF"/>
                <w:sz w:val="19"/>
                <w:szCs w:val="19"/>
              </w:rPr>
              <w:t xml:space="preserve">Rôle</w:t>
            </w:r>
          </w:p>
        </w:tc>
      </w:tr>
      <w:tr>
        <w:trPr>
          <w:cantSplit/>
        </w:trPr>
        <w:tc>
          <w:tcPr>
            <w:tcW w:type="dxa" w:w="42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DATABASE_URL</w:t>
            </w:r>
          </w:p>
        </w:tc>
        <w:tc>
          <w:tcPr>
            <w:tcW w:type="dxa" w:w="516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Connexion à la base PostgreSQL</w:t>
            </w:r>
          </w:p>
        </w:tc>
      </w:tr>
      <w:tr>
        <w:trPr>
          <w:cantSplit/>
        </w:trPr>
        <w:tc>
          <w:tcPr>
            <w:tcW w:type="dxa" w:w="42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AUTH_SECRET</w:t>
            </w:r>
          </w:p>
        </w:tc>
        <w:tc>
          <w:tcPr>
            <w:tcW w:type="dxa" w:w="516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Clé de signature des sessions</w:t>
            </w:r>
          </w:p>
        </w:tc>
      </w:tr>
      <w:tr>
        <w:trPr>
          <w:cantSplit/>
        </w:trPr>
        <w:tc>
          <w:tcPr>
            <w:tcW w:type="dxa" w:w="42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ADMIN_EMAIL, ADMIN_PASSWORD</w:t>
            </w:r>
          </w:p>
        </w:tc>
        <w:tc>
          <w:tcPr>
            <w:tcW w:type="dxa" w:w="516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Premier compte administrateur</w:t>
            </w:r>
          </w:p>
        </w:tc>
      </w:tr>
      <w:tr>
        <w:trPr>
          <w:cantSplit/>
        </w:trPr>
        <w:tc>
          <w:tcPr>
            <w:tcW w:type="dxa" w:w="42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SITE_URL</w:t>
            </w:r>
          </w:p>
        </w:tc>
        <w:tc>
          <w:tcPr>
            <w:tcW w:type="dxa" w:w="516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Adresse publique (plan du site, liens FR/EN, référencement)</w:t>
            </w:r>
          </w:p>
        </w:tc>
      </w:tr>
      <w:tr>
        <w:trPr>
          <w:cantSplit/>
        </w:trPr>
        <w:tc>
          <w:tcPr>
            <w:tcW w:type="dxa" w:w="42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SMTP_HOST, SMTP_PORT, SMTP_USER, SMTP_PASS, MAIL_FROM, MAIL_TO</w:t>
            </w:r>
          </w:p>
        </w:tc>
        <w:tc>
          <w:tcPr>
            <w:tcW w:type="dxa" w:w="516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Envoi des emails de devis (facultatif tant que non renseigné)</w:t>
            </w:r>
          </w:p>
        </w:tc>
      </w:tr>
    </w:tbl>
    <w:p>
      <w:pPr>
        <w:pStyle w:val="Heading2"/>
        <w:keepNext/>
        <w:spacing w:after="100" w:before="280"/>
      </w:pPr>
      <w:r>
        <w:rPr>
          <w:rFonts w:ascii="Georgia" w:cs="Georgia" w:eastAsia="Georgia" w:hAnsi="Georgia"/>
          <w:b/>
          <w:bCs/>
          <w:color w:val="0C2646"/>
          <w:sz w:val="26"/>
          <w:szCs w:val="26"/>
        </w:rPr>
        <w:t xml:space="preserve">10.2 Structure du code</w:t>
      </w:r>
    </w:p>
    <w:p>
      <w:pPr>
        <w:pStyle w:val="ListParagraph"/>
        <w:numPr>
          <w:ilvl w:val="0"/>
          <w:numId w:val="2"/>
        </w:numPr>
        <w:spacing w:after="70" w:line="280"/>
      </w:pPr>
      <w:r>
        <w:rPr>
          <w:rFonts w:ascii="Calibri" w:cs="Calibri" w:eastAsia="Calibri" w:hAnsi="Calibri"/>
          <w:color w:val="222B36"/>
          <w:sz w:val="21"/>
          <w:szCs w:val="21"/>
        </w:rPr>
        <w:t xml:space="preserve">app/pages : pages publiques et pages d'administration.</w:t>
      </w:r>
    </w:p>
    <w:p>
      <w:pPr>
        <w:pStyle w:val="ListParagraph"/>
        <w:numPr>
          <w:ilvl w:val="0"/>
          <w:numId w:val="2"/>
        </w:numPr>
        <w:spacing w:after="70" w:line="280"/>
      </w:pPr>
      <w:r>
        <w:rPr>
          <w:rFonts w:ascii="Calibri" w:cs="Calibri" w:eastAsia="Calibri" w:hAnsi="Calibri"/>
          <w:color w:val="222B36"/>
          <w:sz w:val="21"/>
          <w:szCs w:val="21"/>
        </w:rPr>
        <w:t xml:space="preserve">app/components : composants réutilisables (en-tête et menu, mosaïque de services, catalogue de flotte, explorateur de destinations, formulaire de devis, écran de gestion générique).</w:t>
      </w:r>
    </w:p>
    <w:p>
      <w:pPr>
        <w:pStyle w:val="ListParagraph"/>
        <w:numPr>
          <w:ilvl w:val="0"/>
          <w:numId w:val="2"/>
        </w:numPr>
        <w:spacing w:after="70" w:line="280"/>
      </w:pPr>
      <w:r>
        <w:rPr>
          <w:rFonts w:ascii="Calibri" w:cs="Calibri" w:eastAsia="Calibri" w:hAnsi="Calibri"/>
          <w:color w:val="222B36"/>
          <w:sz w:val="21"/>
          <w:szCs w:val="21"/>
        </w:rPr>
        <w:t xml:space="preserve">app/i18n : textes français et anglais, liste des textes modifiables.</w:t>
      </w:r>
    </w:p>
    <w:p>
      <w:pPr>
        <w:pStyle w:val="ListParagraph"/>
        <w:numPr>
          <w:ilvl w:val="0"/>
          <w:numId w:val="2"/>
        </w:numPr>
        <w:spacing w:after="70" w:line="280"/>
      </w:pPr>
      <w:r>
        <w:rPr>
          <w:rFonts w:ascii="Calibri" w:cs="Calibri" w:eastAsia="Calibri" w:hAnsi="Calibri"/>
          <w:color w:val="222B36"/>
          <w:sz w:val="21"/>
          <w:szCs w:val="21"/>
        </w:rPr>
        <w:t xml:space="preserve">app/assets/css : feuilles de style du site et de l'administration.</w:t>
      </w:r>
    </w:p>
    <w:p>
      <w:pPr>
        <w:pStyle w:val="ListParagraph"/>
        <w:numPr>
          <w:ilvl w:val="0"/>
          <w:numId w:val="2"/>
        </w:numPr>
        <w:spacing w:after="70" w:line="280"/>
      </w:pPr>
      <w:r>
        <w:rPr>
          <w:rFonts w:ascii="Calibri" w:cs="Calibri" w:eastAsia="Calibri" w:hAnsi="Calibri"/>
          <w:color w:val="222B36"/>
          <w:sz w:val="21"/>
          <w:szCs w:val="21"/>
        </w:rPr>
        <w:t xml:space="preserve">server/api : points d'accès publics et d'administration.</w:t>
      </w:r>
    </w:p>
    <w:p>
      <w:pPr>
        <w:pStyle w:val="ListParagraph"/>
        <w:numPr>
          <w:ilvl w:val="0"/>
          <w:numId w:val="2"/>
        </w:numPr>
        <w:spacing w:after="70" w:line="280"/>
      </w:pPr>
      <w:r>
        <w:rPr>
          <w:rFonts w:ascii="Calibri" w:cs="Calibri" w:eastAsia="Calibri" w:hAnsi="Calibri"/>
          <w:color w:val="222B36"/>
          <w:sz w:val="21"/>
          <w:szCs w:val="21"/>
        </w:rPr>
        <w:t xml:space="preserve">server/utils et server/plugins : base de données, authentification, emails, contenu de départ et contenus finaux des services (finalContent.ts, appliqués une seule fois).</w:t>
      </w:r>
    </w:p>
    <w:p>
      <w:pPr>
        <w:pStyle w:val="ListParagraph"/>
        <w:numPr>
          <w:ilvl w:val="0"/>
          <w:numId w:val="2"/>
        </w:numPr>
        <w:spacing w:after="70" w:line="280"/>
      </w:pPr>
      <w:r>
        <w:rPr>
          <w:rFonts w:ascii="Calibri" w:cs="Calibri" w:eastAsia="Calibri" w:hAnsi="Calibri"/>
          <w:color w:val="222B36"/>
          <w:sz w:val="21"/>
          <w:szCs w:val="21"/>
        </w:rPr>
        <w:t xml:space="preserve">docs : architecture, backlog, charte, wireframes, suivi de l'estimation et ce cahier des charges.</w:t>
      </w:r>
    </w:p>
    <w:p>
      <w:pPr>
        <w:pStyle w:val="Heading1"/>
        <w:keepNext/>
        <w:pBdr>
          <w:bottom w:val="single" w:color="8AA4BD" w:sz="6" w:space="4"/>
        </w:pBdr>
        <w:spacing w:after="160" w:before="420"/>
      </w:pPr>
      <w:r>
        <w:rPr>
          <w:rFonts w:ascii="Georgia" w:cs="Georgia" w:eastAsia="Georgia" w:hAnsi="Georgia"/>
          <w:color w:val="0C2646"/>
          <w:sz w:val="34"/>
          <w:szCs w:val="34"/>
        </w:rPr>
        <w:t xml:space="preserve">11. Sécurité, confidentialité et conformité</w:t>
      </w:r>
    </w:p>
    <w:p>
      <w:pPr>
        <w:pStyle w:val="ListParagraph"/>
        <w:numPr>
          <w:ilvl w:val="0"/>
          <w:numId w:val="2"/>
        </w:numPr>
        <w:spacing w:after="70" w:line="280"/>
      </w:pPr>
      <w:r>
        <w:rPr>
          <w:rFonts w:ascii="Calibri" w:cs="Calibri" w:eastAsia="Calibri" w:hAnsi="Calibri"/>
          <w:color w:val="222B36"/>
          <w:sz w:val="21"/>
          <w:szCs w:val="21"/>
        </w:rPr>
        <w:t xml:space="preserve">Toutes les routes d'administration exigent une session valide ; les droits sont vérifiés côté serveur (le rôle Éditeur ne peut pas gérer les comptes).</w:t>
      </w:r>
    </w:p>
    <w:p>
      <w:pPr>
        <w:pStyle w:val="ListParagraph"/>
        <w:numPr>
          <w:ilvl w:val="0"/>
          <w:numId w:val="2"/>
        </w:numPr>
        <w:spacing w:after="70" w:line="280"/>
      </w:pPr>
      <w:r>
        <w:rPr>
          <w:rFonts w:ascii="Calibri" w:cs="Calibri" w:eastAsia="Calibri" w:hAnsi="Calibri"/>
          <w:color w:val="222B36"/>
          <w:sz w:val="21"/>
          <w:szCs w:val="21"/>
        </w:rPr>
        <w:t xml:space="preserve">Mots de passe hachés ; minimum 8 caractères pour les comptes créés ; message d'erreur identique pour un email inconnu ou un mot de passe faux.</w:t>
      </w:r>
    </w:p>
    <w:p>
      <w:pPr>
        <w:pStyle w:val="ListParagraph"/>
        <w:numPr>
          <w:ilvl w:val="0"/>
          <w:numId w:val="2"/>
        </w:numPr>
        <w:spacing w:after="70" w:line="280"/>
      </w:pPr>
      <w:r>
        <w:rPr>
          <w:rFonts w:ascii="Calibri" w:cs="Calibri" w:eastAsia="Calibri" w:hAnsi="Calibri"/>
          <w:color w:val="222B36"/>
          <w:sz w:val="21"/>
          <w:szCs w:val="21"/>
        </w:rPr>
        <w:t xml:space="preserve">Cookie de session httpOnly, sameSite, sécurisé en production.</w:t>
      </w:r>
    </w:p>
    <w:p>
      <w:pPr>
        <w:pStyle w:val="ListParagraph"/>
        <w:numPr>
          <w:ilvl w:val="0"/>
          <w:numId w:val="2"/>
        </w:numPr>
        <w:spacing w:after="70" w:line="280"/>
      </w:pPr>
      <w:r>
        <w:rPr>
          <w:rFonts w:ascii="Calibri" w:cs="Calibri" w:eastAsia="Calibri" w:hAnsi="Calibri"/>
          <w:color w:val="222B36"/>
          <w:sz w:val="21"/>
          <w:szCs w:val="21"/>
        </w:rPr>
        <w:t xml:space="preserve">Requêtes à la base paramétrées (aucune concaténation de données saisies) ; liste blanche des tables et colonnes modifiables depuis l'administration.</w:t>
      </w:r>
    </w:p>
    <w:p>
      <w:pPr>
        <w:pStyle w:val="ListParagraph"/>
        <w:numPr>
          <w:ilvl w:val="0"/>
          <w:numId w:val="2"/>
        </w:numPr>
        <w:spacing w:after="70" w:line="280"/>
      </w:pPr>
      <w:r>
        <w:rPr>
          <w:rFonts w:ascii="Calibri" w:cs="Calibri" w:eastAsia="Calibri" w:hAnsi="Calibri"/>
          <w:color w:val="222B36"/>
          <w:sz w:val="21"/>
          <w:szCs w:val="21"/>
        </w:rPr>
        <w:t xml:space="preserve">Envoi d'images limité en type et en taille ; textes du formulaire limités en longueur et échappés dans les emails.</w:t>
      </w:r>
    </w:p>
    <w:p>
      <w:pPr>
        <w:pStyle w:val="ListParagraph"/>
        <w:numPr>
          <w:ilvl w:val="0"/>
          <w:numId w:val="2"/>
        </w:numPr>
        <w:spacing w:after="70" w:line="280"/>
      </w:pPr>
      <w:r>
        <w:rPr>
          <w:rFonts w:ascii="Calibri" w:cs="Calibri" w:eastAsia="Calibri" w:hAnsi="Calibri"/>
          <w:color w:val="222B36"/>
          <w:sz w:val="21"/>
          <w:szCs w:val="21"/>
        </w:rPr>
        <w:t xml:space="preserve">Les secrets ne sont jamais dans le code : variables d'environnement uniquement, fichier .env exclu du dépôt.</w:t>
      </w:r>
    </w:p>
    <w:p>
      <w:pPr>
        <w:pStyle w:val="ListParagraph"/>
        <w:numPr>
          <w:ilvl w:val="0"/>
          <w:numId w:val="2"/>
        </w:numPr>
        <w:spacing w:after="70" w:line="280"/>
      </w:pPr>
      <w:r>
        <w:rPr>
          <w:rFonts w:ascii="Calibri" w:cs="Calibri" w:eastAsia="Calibri" w:hAnsi="Calibri"/>
          <w:color w:val="222B36"/>
          <w:sz w:val="21"/>
          <w:szCs w:val="21"/>
        </w:rPr>
        <w:t xml:space="preserve">Protection anti-spam du formulaire par champ piège ; limitation du débit à prévoir si le volume de demandes augmente.</w:t>
      </w:r>
    </w:p>
    <w:p>
      <w:pPr>
        <w:pStyle w:val="ListParagraph"/>
        <w:numPr>
          <w:ilvl w:val="0"/>
          <w:numId w:val="2"/>
        </w:numPr>
        <w:spacing w:after="70" w:line="280"/>
      </w:pPr>
      <w:r>
        <w:rPr>
          <w:rFonts w:ascii="Calibri" w:cs="Calibri" w:eastAsia="Calibri" w:hAnsi="Calibri"/>
          <w:color w:val="222B36"/>
          <w:sz w:val="21"/>
          <w:szCs w:val="21"/>
        </w:rPr>
        <w:t xml:space="preserve">Données personnelles : le site collecte uniquement les informations saisies dans le formulaire de devis. Il ne dépose pas de cookies de suivi.</w:t>
      </w:r>
    </w:p>
    <w:p>
      <w:pPr>
        <w:pStyle w:val="ListParagraph"/>
        <w:numPr>
          <w:ilvl w:val="0"/>
          <w:numId w:val="2"/>
        </w:numPr>
        <w:spacing w:after="70" w:line="280"/>
      </w:pPr>
      <w:r>
        <w:rPr>
          <w:rFonts w:ascii="Calibri" w:cs="Calibri" w:eastAsia="Calibri" w:hAnsi="Calibri"/>
          <w:color w:val="222B36"/>
          <w:sz w:val="21"/>
          <w:szCs w:val="21"/>
        </w:rPr>
        <w:t xml:space="preserve">À prévoir avant le lancement officiel : mentions légales, politique de confidentialité, et bandeau de consentement si un outil de mesure d'audience est ajouté.</w:t>
      </w:r>
    </w:p>
    <w:p>
      <w:pPr>
        <w:pStyle w:val="Heading1"/>
        <w:keepNext/>
        <w:pBdr>
          <w:bottom w:val="single" w:color="8AA4BD" w:sz="6" w:space="4"/>
        </w:pBdr>
        <w:spacing w:after="160" w:before="420"/>
      </w:pPr>
      <w:r>
        <w:rPr>
          <w:rFonts w:ascii="Georgia" w:cs="Georgia" w:eastAsia="Georgia" w:hAnsi="Georgia"/>
          <w:color w:val="0C2646"/>
          <w:sz w:val="34"/>
          <w:szCs w:val="34"/>
        </w:rPr>
        <w:t xml:space="preserve">12. Performance, SEO et accessibilité</w:t>
      </w:r>
    </w:p>
    <w:p>
      <w:pPr>
        <w:pStyle w:val="Heading2"/>
        <w:keepNext/>
        <w:spacing w:after="100" w:before="280"/>
      </w:pPr>
      <w:r>
        <w:rPr>
          <w:rFonts w:ascii="Georgia" w:cs="Georgia" w:eastAsia="Georgia" w:hAnsi="Georgia"/>
          <w:b/>
          <w:bCs/>
          <w:color w:val="0C2646"/>
          <w:sz w:val="26"/>
          <w:szCs w:val="26"/>
        </w:rPr>
        <w:t xml:space="preserve">12.1 Performance</w:t>
      </w:r>
    </w:p>
    <w:p>
      <w:pPr>
        <w:pStyle w:val="ListParagraph"/>
        <w:numPr>
          <w:ilvl w:val="0"/>
          <w:numId w:val="2"/>
        </w:numPr>
        <w:spacing w:after="70" w:line="280"/>
      </w:pPr>
      <w:r>
        <w:rPr>
          <w:rFonts w:ascii="Calibri" w:cs="Calibri" w:eastAsia="Calibri" w:hAnsi="Calibri"/>
          <w:color w:val="222B36"/>
          <w:sz w:val="21"/>
          <w:szCs w:val="21"/>
        </w:rPr>
        <w:t xml:space="preserve">Rendu côté serveur, feuilles de style liées dans le document, images à la demande et redimensionnées, polices chargées avec affichage de secours.</w:t>
      </w:r>
    </w:p>
    <w:p>
      <w:pPr>
        <w:pStyle w:val="ListParagraph"/>
        <w:numPr>
          <w:ilvl w:val="0"/>
          <w:numId w:val="2"/>
        </w:numPr>
        <w:spacing w:after="70" w:line="280"/>
      </w:pPr>
      <w:r>
        <w:rPr>
          <w:rFonts w:ascii="Calibri" w:cs="Calibri" w:eastAsia="Calibri" w:hAnsi="Calibri"/>
          <w:color w:val="222B36"/>
          <w:sz w:val="21"/>
          <w:szCs w:val="21"/>
        </w:rPr>
        <w:t xml:space="preserve">Animations limitées à la transparence et au déplacement ; seule bibliothèque ajoutée : Lenis (défilement fluide, quelques ko).</w:t>
      </w:r>
    </w:p>
    <w:p>
      <w:pPr>
        <w:pStyle w:val="ListParagraph"/>
        <w:numPr>
          <w:ilvl w:val="0"/>
          <w:numId w:val="2"/>
        </w:numPr>
        <w:spacing w:after="70" w:line="280"/>
      </w:pPr>
      <w:r>
        <w:rPr>
          <w:rFonts w:ascii="Calibri" w:cs="Calibri" w:eastAsia="Calibri" w:hAnsi="Calibri"/>
          <w:color w:val="222B36"/>
          <w:sz w:val="21"/>
          <w:szCs w:val="21"/>
        </w:rPr>
        <w:t xml:space="preserve">Mise en cache longue durée des images téléversées.</w:t>
      </w:r>
    </w:p>
    <w:p>
      <w:pPr>
        <w:pStyle w:val="Heading2"/>
        <w:keepNext/>
        <w:spacing w:after="100" w:before="280"/>
      </w:pPr>
      <w:r>
        <w:rPr>
          <w:rFonts w:ascii="Georgia" w:cs="Georgia" w:eastAsia="Georgia" w:hAnsi="Georgia"/>
          <w:b/>
          <w:bCs/>
          <w:color w:val="0C2646"/>
          <w:sz w:val="26"/>
          <w:szCs w:val="26"/>
        </w:rPr>
        <w:t xml:space="preserve">12.2 Référencement</w:t>
      </w:r>
    </w:p>
    <w:p>
      <w:pPr>
        <w:pStyle w:val="ListParagraph"/>
        <w:numPr>
          <w:ilvl w:val="0"/>
          <w:numId w:val="2"/>
        </w:numPr>
        <w:spacing w:after="70" w:line="280"/>
      </w:pPr>
      <w:r>
        <w:rPr>
          <w:rFonts w:ascii="Calibri" w:cs="Calibri" w:eastAsia="Calibri" w:hAnsi="Calibri"/>
          <w:color w:val="222B36"/>
          <w:sz w:val="21"/>
          <w:szCs w:val="21"/>
        </w:rPr>
        <w:t xml:space="preserve">Titre et description propres à chaque page, adresse canonique, balises hreflang entre français et anglais, balises de partage social.</w:t>
      </w:r>
    </w:p>
    <w:p>
      <w:pPr>
        <w:pStyle w:val="ListParagraph"/>
        <w:numPr>
          <w:ilvl w:val="0"/>
          <w:numId w:val="2"/>
        </w:numPr>
        <w:spacing w:after="70" w:line="280"/>
      </w:pPr>
      <w:r>
        <w:rPr>
          <w:rFonts w:ascii="Calibri" w:cs="Calibri" w:eastAsia="Calibri" w:hAnsi="Calibri"/>
          <w:color w:val="222B36"/>
          <w:sz w:val="21"/>
          <w:szCs w:val="21"/>
        </w:rPr>
        <w:t xml:space="preserve">Plan du site multilingue (/sitemap.xml) et fichier robots.txt (administration exclue).</w:t>
      </w:r>
    </w:p>
    <w:p>
      <w:pPr>
        <w:pStyle w:val="ListParagraph"/>
        <w:numPr>
          <w:ilvl w:val="0"/>
          <w:numId w:val="2"/>
        </w:numPr>
        <w:spacing w:after="70" w:line="280"/>
      </w:pPr>
      <w:r>
        <w:rPr>
          <w:rFonts w:ascii="Calibri" w:cs="Calibri" w:eastAsia="Calibri" w:hAnsi="Calibri"/>
          <w:color w:val="222B36"/>
          <w:sz w:val="21"/>
          <w:szCs w:val="21"/>
        </w:rPr>
        <w:t xml:space="preserve">Données structurées « LocalBusiness » sur l'accueil.</w:t>
      </w:r>
    </w:p>
    <w:p>
      <w:pPr>
        <w:pStyle w:val="ListParagraph"/>
        <w:numPr>
          <w:ilvl w:val="0"/>
          <w:numId w:val="2"/>
        </w:numPr>
        <w:spacing w:after="70" w:line="280"/>
      </w:pPr>
      <w:r>
        <w:rPr>
          <w:rFonts w:ascii="Calibri" w:cs="Calibri" w:eastAsia="Calibri" w:hAnsi="Calibri"/>
          <w:color w:val="222B36"/>
          <w:sz w:val="21"/>
          <w:szCs w:val="21"/>
        </w:rPr>
        <w:t xml:space="preserve">Expressions visées : chauffeur privé Madagascar, transfert aéroport Ivato, location 4×4 avec chauffeur Madagascar, mobilité exécutive Madagascar, private driver Madagascar, airport transfer Antananarivo.</w:t>
      </w:r>
    </w:p>
    <w:p>
      <w:pPr>
        <w:pStyle w:val="ListParagraph"/>
        <w:numPr>
          <w:ilvl w:val="0"/>
          <w:numId w:val="2"/>
        </w:numPr>
        <w:spacing w:after="70" w:line="280"/>
      </w:pPr>
      <w:r>
        <w:rPr>
          <w:rFonts w:ascii="Calibri" w:cs="Calibri" w:eastAsia="Calibri" w:hAnsi="Calibri"/>
          <w:color w:val="222B36"/>
          <w:sz w:val="21"/>
          <w:szCs w:val="21"/>
        </w:rPr>
        <w:t xml:space="preserve">À prévoir : inscription à Google Search Console et à Google Business Profile, adresse de domaine propre.</w:t>
      </w:r>
    </w:p>
    <w:p>
      <w:pPr>
        <w:pStyle w:val="Heading2"/>
        <w:keepNext/>
        <w:spacing w:after="100" w:before="280"/>
      </w:pPr>
      <w:r>
        <w:rPr>
          <w:rFonts w:ascii="Georgia" w:cs="Georgia" w:eastAsia="Georgia" w:hAnsi="Georgia"/>
          <w:b/>
          <w:bCs/>
          <w:color w:val="0C2646"/>
          <w:sz w:val="26"/>
          <w:szCs w:val="26"/>
        </w:rPr>
        <w:t xml:space="preserve">12.3 Accessibilité</w:t>
      </w:r>
    </w:p>
    <w:p>
      <w:pPr>
        <w:pStyle w:val="ListParagraph"/>
        <w:numPr>
          <w:ilvl w:val="0"/>
          <w:numId w:val="2"/>
        </w:numPr>
        <w:spacing w:after="70" w:line="280"/>
      </w:pPr>
      <w:r>
        <w:rPr>
          <w:rFonts w:ascii="Calibri" w:cs="Calibri" w:eastAsia="Calibri" w:hAnsi="Calibri"/>
          <w:color w:val="222B36"/>
          <w:sz w:val="21"/>
          <w:szCs w:val="21"/>
        </w:rPr>
        <w:t xml:space="preserve">Contrastes suffisants entre texte et fond, textes alternatifs sur les images informatives, étiquettes sur les champs de formulaire.</w:t>
      </w:r>
    </w:p>
    <w:p>
      <w:pPr>
        <w:pStyle w:val="ListParagraph"/>
        <w:numPr>
          <w:ilvl w:val="0"/>
          <w:numId w:val="2"/>
        </w:numPr>
        <w:spacing w:after="70" w:line="280"/>
      </w:pPr>
      <w:r>
        <w:rPr>
          <w:rFonts w:ascii="Calibri" w:cs="Calibri" w:eastAsia="Calibri" w:hAnsi="Calibri"/>
          <w:color w:val="222B36"/>
          <w:sz w:val="21"/>
          <w:szCs w:val="21"/>
        </w:rPr>
        <w:t xml:space="preserve">Navigation possible au clavier, menu fermable avec la touche Échap.</w:t>
      </w:r>
    </w:p>
    <w:p>
      <w:pPr>
        <w:pStyle w:val="ListParagraph"/>
        <w:numPr>
          <w:ilvl w:val="0"/>
          <w:numId w:val="2"/>
        </w:numPr>
        <w:spacing w:after="70" w:line="280"/>
      </w:pPr>
      <w:r>
        <w:rPr>
          <w:rFonts w:ascii="Calibri" w:cs="Calibri" w:eastAsia="Calibri" w:hAnsi="Calibri"/>
          <w:color w:val="222B36"/>
          <w:sz w:val="21"/>
          <w:szCs w:val="21"/>
        </w:rPr>
        <w:t xml:space="preserve">Respect de la préférence « réduire les animations ».</w:t>
      </w:r>
    </w:p>
    <w:p>
      <w:pPr>
        <w:pStyle w:val="ListParagraph"/>
        <w:numPr>
          <w:ilvl w:val="0"/>
          <w:numId w:val="2"/>
        </w:numPr>
        <w:spacing w:after="70" w:line="280"/>
      </w:pPr>
      <w:r>
        <w:rPr>
          <w:rFonts w:ascii="Calibri" w:cs="Calibri" w:eastAsia="Calibri" w:hAnsi="Calibri"/>
          <w:color w:val="222B36"/>
          <w:sz w:val="21"/>
          <w:szCs w:val="21"/>
        </w:rPr>
        <w:t xml:space="preserve">Niveau visé : WCAG 2.1 AA sur les parcours principaux.</w:t>
      </w:r>
    </w:p>
    <w:p>
      <w:pPr>
        <w:pStyle w:val="Heading1"/>
        <w:keepNext/>
        <w:pBdr>
          <w:bottom w:val="single" w:color="8AA4BD" w:sz="6" w:space="4"/>
        </w:pBdr>
        <w:spacing w:after="160" w:before="420"/>
      </w:pPr>
      <w:r>
        <w:rPr>
          <w:rFonts w:ascii="Georgia" w:cs="Georgia" w:eastAsia="Georgia" w:hAnsi="Georgia"/>
          <w:color w:val="0C2646"/>
          <w:sz w:val="34"/>
          <w:szCs w:val="34"/>
        </w:rPr>
        <w:t xml:space="preserve">13. Modèle de données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000"/>
        <w:gridCol w:w="1560"/>
      </w:tblGrid>
      <w:tr>
        <w:trPr>
          <w:tblHeader/>
        </w:trPr>
        <w:tc>
          <w:tcPr>
            <w:tcW w:type="dxa" w:w="1800"/>
            <w:tcBorders>
              <w:top w:val="single" w:color="C9D4E0" w:sz="4"/>
              <w:left w:val="single" w:color="C9D4E0" w:sz="4"/>
              <w:bottom w:val="single" w:color="C9D4E0" w:sz="4"/>
              <w:right w:val="single" w:color="C9D4E0" w:sz="4"/>
            </w:tcBorders>
            <w:shd w:fill="0C2646" w:color="auto" w:val="clear"/>
            <w:tcMar>
              <w:top w:type="dxa" w:w="70"/>
              <w:left w:type="dxa" w:w="110"/>
              <w:bottom w:type="dxa" w:w="70"/>
              <w:right w:type="dxa" w:w="110"/>
            </w:tcMar>
          </w:tcPr>
          <w:p>
            <w:pPr>
              <w:spacing w:after="30"/>
            </w:pPr>
            <w:r>
              <w:rPr>
                <w:rFonts w:ascii="Calibri" w:cs="Calibri" w:eastAsia="Calibri" w:hAnsi="Calibri"/>
                <w:b/>
                <w:bCs/>
                <w:color w:val="FFFFFF"/>
                <w:sz w:val="19"/>
                <w:szCs w:val="19"/>
              </w:rPr>
              <w:t xml:space="preserve">Table</w:t>
            </w:r>
          </w:p>
        </w:tc>
        <w:tc>
          <w:tcPr>
            <w:tcW w:type="dxa" w:w="6000"/>
            <w:tcBorders>
              <w:top w:val="single" w:color="C9D4E0" w:sz="4"/>
              <w:left w:val="single" w:color="C9D4E0" w:sz="4"/>
              <w:bottom w:val="single" w:color="C9D4E0" w:sz="4"/>
              <w:right w:val="single" w:color="C9D4E0" w:sz="4"/>
            </w:tcBorders>
            <w:shd w:fill="0C2646" w:color="auto" w:val="clear"/>
            <w:tcMar>
              <w:top w:type="dxa" w:w="70"/>
              <w:left w:type="dxa" w:w="110"/>
              <w:bottom w:type="dxa" w:w="70"/>
              <w:right w:type="dxa" w:w="110"/>
            </w:tcMar>
          </w:tcPr>
          <w:p>
            <w:pPr>
              <w:spacing w:after="30"/>
            </w:pPr>
            <w:r>
              <w:rPr>
                <w:rFonts w:ascii="Calibri" w:cs="Calibri" w:eastAsia="Calibri" w:hAnsi="Calibri"/>
                <w:b/>
                <w:bCs/>
                <w:color w:val="FFFFFF"/>
                <w:sz w:val="19"/>
                <w:szCs w:val="19"/>
              </w:rPr>
              <w:t xml:space="preserve">Contenu</w:t>
            </w:r>
          </w:p>
        </w:tc>
        <w:tc>
          <w:tcPr>
            <w:tcW w:type="dxa" w:w="1560"/>
            <w:tcBorders>
              <w:top w:val="single" w:color="C9D4E0" w:sz="4"/>
              <w:left w:val="single" w:color="C9D4E0" w:sz="4"/>
              <w:bottom w:val="single" w:color="C9D4E0" w:sz="4"/>
              <w:right w:val="single" w:color="C9D4E0" w:sz="4"/>
            </w:tcBorders>
            <w:shd w:fill="0C2646" w:color="auto" w:val="clear"/>
            <w:tcMar>
              <w:top w:type="dxa" w:w="70"/>
              <w:left w:type="dxa" w:w="110"/>
              <w:bottom w:type="dxa" w:w="70"/>
              <w:right w:type="dxa" w:w="110"/>
            </w:tcMar>
          </w:tcPr>
          <w:p>
            <w:pPr>
              <w:spacing w:after="30"/>
            </w:pPr>
            <w:r>
              <w:rPr>
                <w:rFonts w:ascii="Calibri" w:cs="Calibri" w:eastAsia="Calibri" w:hAnsi="Calibri"/>
                <w:b/>
                <w:bCs/>
                <w:color w:val="FFFFFF"/>
                <w:sz w:val="19"/>
                <w:szCs w:val="19"/>
              </w:rPr>
              <w:t xml:space="preserve">Traduction EN</w:t>
            </w:r>
          </w:p>
        </w:tc>
      </w:tr>
      <w:tr>
        <w:trPr>
          <w:cantSplit/>
        </w:trPr>
        <w:tc>
          <w:tcPr>
            <w:tcW w:type="dxa" w:w="18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users</w:t>
            </w:r>
          </w:p>
        </w:tc>
        <w:tc>
          <w:tcPr>
            <w:tcW w:type="dxa" w:w="60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Comptes : email, nom, mot de passe haché, rôle</w:t>
            </w:r>
          </w:p>
        </w:tc>
        <w:tc>
          <w:tcPr>
            <w:tcW w:type="dxa" w:w="156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Non</w:t>
            </w:r>
          </w:p>
        </w:tc>
      </w:tr>
      <w:tr>
        <w:trPr>
          <w:cantSplit/>
        </w:trPr>
        <w:tc>
          <w:tcPr>
            <w:tcW w:type="dxa" w:w="18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settings</w:t>
            </w:r>
          </w:p>
        </w:tc>
        <w:tc>
          <w:tcPr>
            <w:tcW w:type="dxa" w:w="60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Coordonnées et réseaux sociaux</w:t>
            </w:r>
          </w:p>
        </w:tc>
        <w:tc>
          <w:tcPr>
            <w:tcW w:type="dxa" w:w="156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Non</w:t>
            </w:r>
          </w:p>
        </w:tc>
      </w:tr>
      <w:tr>
        <w:trPr>
          <w:cantSplit/>
        </w:trPr>
        <w:tc>
          <w:tcPr>
            <w:tcW w:type="dxa" w:w="18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services</w:t>
            </w:r>
          </w:p>
        </w:tc>
        <w:tc>
          <w:tcPr>
            <w:tcW w:type="dxa" w:w="60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Titre, identifiant, accroche, deuxième accroche, texte, titre et points de la liste, note, phrase de clôture, bouton, service à part, icône, image, ordre, visibilité</w:t>
            </w:r>
          </w:p>
        </w:tc>
        <w:tc>
          <w:tcPr>
            <w:tcW w:type="dxa" w:w="156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Oui</w:t>
            </w:r>
          </w:p>
        </w:tc>
      </w:tr>
      <w:tr>
        <w:trPr>
          <w:cantSplit/>
        </w:trPr>
        <w:tc>
          <w:tcPr>
            <w:tcW w:type="dxa" w:w="18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offers</w:t>
            </w:r>
          </w:p>
        </w:tc>
        <w:tc>
          <w:tcPr>
            <w:tcW w:type="dxa" w:w="60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Nom, prix affiché, cibles, options, mise en avant</w:t>
            </w:r>
          </w:p>
        </w:tc>
        <w:tc>
          <w:tcPr>
            <w:tcW w:type="dxa" w:w="156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Oui</w:t>
            </w:r>
          </w:p>
        </w:tc>
      </w:tr>
      <w:tr>
        <w:trPr>
          <w:cantSplit/>
        </w:trPr>
        <w:tc>
          <w:tcPr>
            <w:tcW w:type="dxa" w:w="18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vehicles</w:t>
            </w:r>
          </w:p>
        </w:tc>
        <w:tc>
          <w:tcPr>
            <w:tcW w:type="dxa" w:w="60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Nom, catégorie, accroche, description, passagers, bagages, usage, image, fond noir</w:t>
            </w:r>
          </w:p>
        </w:tc>
        <w:tc>
          <w:tcPr>
            <w:tcW w:type="dxa" w:w="156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Oui</w:t>
            </w:r>
          </w:p>
        </w:tc>
      </w:tr>
      <w:tr>
        <w:trPr>
          <w:cantSplit/>
        </w:trPr>
        <w:tc>
          <w:tcPr>
            <w:tcW w:type="dxa" w:w="18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destinations</w:t>
            </w:r>
          </w:p>
        </w:tc>
        <w:tc>
          <w:tcPr>
            <w:tcW w:type="dxa" w:w="60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Identifiant, nom, image, description courte</w:t>
            </w:r>
          </w:p>
        </w:tc>
        <w:tc>
          <w:tcPr>
            <w:tcW w:type="dxa" w:w="156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Oui</w:t>
            </w:r>
          </w:p>
        </w:tc>
      </w:tr>
      <w:tr>
        <w:trPr>
          <w:cantSplit/>
        </w:trPr>
        <w:tc>
          <w:tcPr>
            <w:tcW w:type="dxa" w:w="18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partners</w:t>
            </w:r>
          </w:p>
        </w:tc>
        <w:tc>
          <w:tcPr>
            <w:tcW w:type="dxa" w:w="60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Nom de la catégorie ou du partenaire</w:t>
            </w:r>
          </w:p>
        </w:tc>
        <w:tc>
          <w:tcPr>
            <w:tcW w:type="dxa" w:w="156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Oui</w:t>
            </w:r>
          </w:p>
        </w:tc>
      </w:tr>
      <w:tr>
        <w:trPr>
          <w:cantSplit/>
        </w:trPr>
        <w:tc>
          <w:tcPr>
            <w:tcW w:type="dxa" w:w="18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testimonials</w:t>
            </w:r>
          </w:p>
        </w:tc>
        <w:tc>
          <w:tcPr>
            <w:tcW w:type="dxa" w:w="60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Nom, fonction, organisation, citation</w:t>
            </w:r>
          </w:p>
        </w:tc>
        <w:tc>
          <w:tcPr>
            <w:tcW w:type="dxa" w:w="156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Oui</w:t>
            </w:r>
          </w:p>
        </w:tc>
      </w:tr>
      <w:tr>
        <w:trPr>
          <w:cantSplit/>
        </w:trPr>
        <w:tc>
          <w:tcPr>
            <w:tcW w:type="dxa" w:w="18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faqs</w:t>
            </w:r>
          </w:p>
        </w:tc>
        <w:tc>
          <w:tcPr>
            <w:tcW w:type="dxa" w:w="60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Question, réponse</w:t>
            </w:r>
          </w:p>
        </w:tc>
        <w:tc>
          <w:tcPr>
            <w:tcW w:type="dxa" w:w="156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Oui</w:t>
            </w:r>
          </w:p>
        </w:tc>
      </w:tr>
      <w:tr>
        <w:trPr>
          <w:cantSplit/>
        </w:trPr>
        <w:tc>
          <w:tcPr>
            <w:tcW w:type="dxa" w:w="18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quotes</w:t>
            </w:r>
          </w:p>
        </w:tc>
        <w:tc>
          <w:tcPr>
            <w:tcW w:type="dxa" w:w="60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Date, statut, coordonnées, trajet, services, message, notes internes</w:t>
            </w:r>
          </w:p>
        </w:tc>
        <w:tc>
          <w:tcPr>
            <w:tcW w:type="dxa" w:w="156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Non</w:t>
            </w:r>
          </w:p>
        </w:tc>
      </w:tr>
      <w:tr>
        <w:trPr>
          <w:cantSplit/>
        </w:trPr>
        <w:tc>
          <w:tcPr>
            <w:tcW w:type="dxa" w:w="18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texts</w:t>
            </w:r>
          </w:p>
        </w:tc>
        <w:tc>
          <w:tcPr>
            <w:tcW w:type="dxa" w:w="60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Textes du site modifiés (clé, français, anglais)</w:t>
            </w:r>
          </w:p>
        </w:tc>
        <w:tc>
          <w:tcPr>
            <w:tcW w:type="dxa" w:w="156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Intégré</w:t>
            </w:r>
          </w:p>
        </w:tc>
      </w:tr>
      <w:tr>
        <w:trPr>
          <w:cantSplit/>
        </w:trPr>
        <w:tc>
          <w:tcPr>
            <w:tcW w:type="dxa" w:w="18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media</w:t>
            </w:r>
          </w:p>
        </w:tc>
        <w:tc>
          <w:tcPr>
            <w:tcW w:type="dxa" w:w="60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Images téléversées (nom, type, taille, contenu)</w:t>
            </w:r>
          </w:p>
        </w:tc>
        <w:tc>
          <w:tcPr>
            <w:tcW w:type="dxa" w:w="156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Non</w:t>
            </w:r>
          </w:p>
        </w:tc>
      </w:tr>
      <w:tr>
        <w:trPr>
          <w:cantSplit/>
        </w:trPr>
        <w:tc>
          <w:tcPr>
            <w:tcW w:type="dxa" w:w="18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migrations</w:t>
            </w:r>
          </w:p>
        </w:tc>
        <w:tc>
          <w:tcPr>
            <w:tcW w:type="dxa" w:w="60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Repères des contenus appliqués une seule fois (ex : contenus finaux des services)</w:t>
            </w:r>
          </w:p>
        </w:tc>
        <w:tc>
          <w:tcPr>
            <w:tcW w:type="dxa" w:w="156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Non</w:t>
            </w:r>
          </w:p>
        </w:tc>
      </w:tr>
    </w:tbl>
    <w:p>
      <w:pPr>
        <w:spacing w:after="120" w:before="100"/>
      </w:pPr>
      <w:r>
        <w:rPr>
          <w:rFonts w:ascii="Calibri" w:cs="Calibri" w:eastAsia="Calibri" w:hAnsi="Calibri"/>
          <w:color w:val="222B36"/>
          <w:sz w:val="21"/>
          <w:szCs w:val="21"/>
        </w:rPr>
        <w:t xml:space="preserve">Pour les tables traduisibles, le français est la valeur de base ; l'anglais est stocké dans une colonne dédiée et remplace le français quand il est renseigné.</w:t>
      </w:r>
    </w:p>
    <w:p>
      <w:pPr>
        <w:pStyle w:val="Heading1"/>
        <w:keepNext/>
        <w:pBdr>
          <w:bottom w:val="single" w:color="8AA4BD" w:sz="6" w:space="4"/>
        </w:pBdr>
        <w:spacing w:after="160" w:before="420"/>
      </w:pPr>
      <w:r>
        <w:rPr>
          <w:rFonts w:ascii="Georgia" w:cs="Georgia" w:eastAsia="Georgia" w:hAnsi="Georgia"/>
          <w:color w:val="0C2646"/>
          <w:sz w:val="34"/>
          <w:szCs w:val="34"/>
        </w:rPr>
        <w:t xml:space="preserve">14. Planning et estimation</w:t>
      </w:r>
    </w:p>
    <w:p>
      <w:pPr>
        <w:spacing w:after="120" w:line="300"/>
      </w:pPr>
      <w:r>
        <w:rPr>
          <w:rFonts w:ascii="Calibri" w:cs="Calibri" w:eastAsia="Calibri" w:hAnsi="Calibri"/>
          <w:color w:val="222B36"/>
          <w:sz w:val="21"/>
          <w:szCs w:val="21"/>
        </w:rPr>
        <w:t xml:space="preserve">Méthode Scrum : neuf sprints, avec à chaque sprint un Sprint Planning, un Daily Scrum, une Sprint Review et une rétrospective. L'estimation totale est de 68 jours.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4100"/>
        <w:gridCol w:w="960"/>
      </w:tblGrid>
      <w:tr>
        <w:trPr>
          <w:tblHeader/>
        </w:trPr>
        <w:tc>
          <w:tcPr>
            <w:tcW w:type="dxa" w:w="900"/>
            <w:tcBorders>
              <w:top w:val="single" w:color="C9D4E0" w:sz="4"/>
              <w:left w:val="single" w:color="C9D4E0" w:sz="4"/>
              <w:bottom w:val="single" w:color="C9D4E0" w:sz="4"/>
              <w:right w:val="single" w:color="C9D4E0" w:sz="4"/>
            </w:tcBorders>
            <w:shd w:fill="0C2646" w:color="auto" w:val="clear"/>
            <w:tcMar>
              <w:top w:type="dxa" w:w="70"/>
              <w:left w:type="dxa" w:w="110"/>
              <w:bottom w:type="dxa" w:w="70"/>
              <w:right w:type="dxa" w:w="110"/>
            </w:tcMar>
          </w:tcPr>
          <w:p>
            <w:pPr>
              <w:spacing w:after="30"/>
            </w:pPr>
            <w:r>
              <w:rPr>
                <w:rFonts w:ascii="Calibri" w:cs="Calibri" w:eastAsia="Calibri" w:hAnsi="Calibri"/>
                <w:b/>
                <w:bCs/>
                <w:color w:val="FFFFFF"/>
                <w:sz w:val="19"/>
                <w:szCs w:val="19"/>
              </w:rPr>
              <w:t xml:space="preserve">Sprint</w:t>
            </w:r>
          </w:p>
        </w:tc>
        <w:tc>
          <w:tcPr>
            <w:tcW w:type="dxa" w:w="3400"/>
            <w:tcBorders>
              <w:top w:val="single" w:color="C9D4E0" w:sz="4"/>
              <w:left w:val="single" w:color="C9D4E0" w:sz="4"/>
              <w:bottom w:val="single" w:color="C9D4E0" w:sz="4"/>
              <w:right w:val="single" w:color="C9D4E0" w:sz="4"/>
            </w:tcBorders>
            <w:shd w:fill="0C2646" w:color="auto" w:val="clear"/>
            <w:tcMar>
              <w:top w:type="dxa" w:w="70"/>
              <w:left w:type="dxa" w:w="110"/>
              <w:bottom w:type="dxa" w:w="70"/>
              <w:right w:type="dxa" w:w="110"/>
            </w:tcMar>
          </w:tcPr>
          <w:p>
            <w:pPr>
              <w:spacing w:after="30"/>
            </w:pPr>
            <w:r>
              <w:rPr>
                <w:rFonts w:ascii="Calibri" w:cs="Calibri" w:eastAsia="Calibri" w:hAnsi="Calibri"/>
                <w:b/>
                <w:bCs/>
                <w:color w:val="FFFFFF"/>
                <w:sz w:val="19"/>
                <w:szCs w:val="19"/>
              </w:rPr>
              <w:t xml:space="preserve">Module</w:t>
            </w:r>
          </w:p>
        </w:tc>
        <w:tc>
          <w:tcPr>
            <w:tcW w:type="dxa" w:w="4100"/>
            <w:tcBorders>
              <w:top w:val="single" w:color="C9D4E0" w:sz="4"/>
              <w:left w:val="single" w:color="C9D4E0" w:sz="4"/>
              <w:bottom w:val="single" w:color="C9D4E0" w:sz="4"/>
              <w:right w:val="single" w:color="C9D4E0" w:sz="4"/>
            </w:tcBorders>
            <w:shd w:fill="0C2646" w:color="auto" w:val="clear"/>
            <w:tcMar>
              <w:top w:type="dxa" w:w="70"/>
              <w:left w:type="dxa" w:w="110"/>
              <w:bottom w:type="dxa" w:w="70"/>
              <w:right w:type="dxa" w:w="110"/>
            </w:tcMar>
          </w:tcPr>
          <w:p>
            <w:pPr>
              <w:spacing w:after="30"/>
            </w:pPr>
            <w:r>
              <w:rPr>
                <w:rFonts w:ascii="Calibri" w:cs="Calibri" w:eastAsia="Calibri" w:hAnsi="Calibri"/>
                <w:b/>
                <w:bCs/>
                <w:color w:val="FFFFFF"/>
                <w:sz w:val="19"/>
                <w:szCs w:val="19"/>
              </w:rPr>
              <w:t xml:space="preserve">Objectif</w:t>
            </w:r>
          </w:p>
        </w:tc>
        <w:tc>
          <w:tcPr>
            <w:tcW w:type="dxa" w:w="960"/>
            <w:tcBorders>
              <w:top w:val="single" w:color="C9D4E0" w:sz="4"/>
              <w:left w:val="single" w:color="C9D4E0" w:sz="4"/>
              <w:bottom w:val="single" w:color="C9D4E0" w:sz="4"/>
              <w:right w:val="single" w:color="C9D4E0" w:sz="4"/>
            </w:tcBorders>
            <w:shd w:fill="0C2646" w:color="auto" w:val="clear"/>
            <w:tcMar>
              <w:top w:type="dxa" w:w="70"/>
              <w:left w:type="dxa" w:w="110"/>
              <w:bottom w:type="dxa" w:w="70"/>
              <w:right w:type="dxa" w:w="110"/>
            </w:tcMar>
          </w:tcPr>
          <w:p>
            <w:pPr>
              <w:spacing w:after="30"/>
            </w:pPr>
            <w:r>
              <w:rPr>
                <w:rFonts w:ascii="Calibri" w:cs="Calibri" w:eastAsia="Calibri" w:hAnsi="Calibri"/>
                <w:b/>
                <w:bCs/>
                <w:color w:val="FFFFFF"/>
                <w:sz w:val="19"/>
                <w:szCs w:val="19"/>
              </w:rPr>
              <w:t xml:space="preserve">Jours</w:t>
            </w:r>
          </w:p>
        </w:tc>
      </w:tr>
      <w:tr>
        <w:trPr>
          <w:cantSplit/>
        </w:trPr>
        <w:tc>
          <w:tcPr>
            <w:tcW w:type="dxa" w:w="9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0</w:t>
            </w:r>
          </w:p>
        </w:tc>
        <w:tc>
          <w:tcPr>
            <w:tcW w:type="dxa" w:w="34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Cadrage du projet</w:t>
            </w:r>
          </w:p>
        </w:tc>
        <w:tc>
          <w:tcPr>
            <w:tcW w:type="dxa" w:w="41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Backlog prêt et environnement installé</w:t>
            </w:r>
          </w:p>
        </w:tc>
        <w:tc>
          <w:tcPr>
            <w:tcW w:type="dxa" w:w="96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9</w:t>
            </w:r>
          </w:p>
        </w:tc>
      </w:tr>
      <w:tr>
        <w:trPr>
          <w:cantSplit/>
        </w:trPr>
        <w:tc>
          <w:tcPr>
            <w:tcW w:type="dxa" w:w="9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1</w:t>
            </w:r>
          </w:p>
        </w:tc>
        <w:tc>
          <w:tcPr>
            <w:tcW w:type="dxa" w:w="34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Identité visuelle et interface</w:t>
            </w:r>
          </w:p>
        </w:tc>
        <w:tc>
          <w:tcPr>
            <w:tcW w:type="dxa" w:w="41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Maquettes validées par le client</w:t>
            </w:r>
          </w:p>
        </w:tc>
        <w:tc>
          <w:tcPr>
            <w:tcW w:type="dxa" w:w="96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8</w:t>
            </w:r>
          </w:p>
        </w:tc>
      </w:tr>
      <w:tr>
        <w:trPr>
          <w:cantSplit/>
        </w:trPr>
        <w:tc>
          <w:tcPr>
            <w:tcW w:type="dxa" w:w="9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2</w:t>
            </w:r>
          </w:p>
        </w:tc>
        <w:tc>
          <w:tcPr>
            <w:tcW w:type="dxa" w:w="34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Authentification et administration</w:t>
            </w:r>
          </w:p>
        </w:tc>
        <w:tc>
          <w:tcPr>
            <w:tcW w:type="dxa" w:w="41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Se connecter et accéder à l'espace admin</w:t>
            </w:r>
          </w:p>
        </w:tc>
        <w:tc>
          <w:tcPr>
            <w:tcW w:type="dxa" w:w="96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6</w:t>
            </w:r>
          </w:p>
        </w:tc>
      </w:tr>
      <w:tr>
        <w:trPr>
          <w:cantSplit/>
        </w:trPr>
        <w:tc>
          <w:tcPr>
            <w:tcW w:type="dxa" w:w="9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3</w:t>
            </w:r>
          </w:p>
        </w:tc>
        <w:tc>
          <w:tcPr>
            <w:tcW w:type="dxa" w:w="34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Accueil</w:t>
            </w:r>
          </w:p>
        </w:tc>
        <w:tc>
          <w:tcPr>
            <w:tcW w:type="dxa" w:w="41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Page d'accueil complète et responsive</w:t>
            </w:r>
          </w:p>
        </w:tc>
        <w:tc>
          <w:tcPr>
            <w:tcW w:type="dxa" w:w="96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8</w:t>
            </w:r>
          </w:p>
        </w:tc>
      </w:tr>
      <w:tr>
        <w:trPr>
          <w:cantSplit/>
        </w:trPr>
        <w:tc>
          <w:tcPr>
            <w:tcW w:type="dxa" w:w="9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4</w:t>
            </w:r>
          </w:p>
        </w:tc>
        <w:tc>
          <w:tcPr>
            <w:tcW w:type="dxa" w:w="34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Services</w:t>
            </w:r>
          </w:p>
        </w:tc>
        <w:tc>
          <w:tcPr>
            <w:tcW w:type="dxa" w:w="41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Toutes les pages services en ligne et modifiables</w:t>
            </w:r>
          </w:p>
        </w:tc>
        <w:tc>
          <w:tcPr>
            <w:tcW w:type="dxa" w:w="96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10</w:t>
            </w:r>
          </w:p>
        </w:tc>
      </w:tr>
      <w:tr>
        <w:trPr>
          <w:cantSplit/>
        </w:trPr>
        <w:tc>
          <w:tcPr>
            <w:tcW w:type="dxa" w:w="9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5</w:t>
            </w:r>
          </w:p>
        </w:tc>
        <w:tc>
          <w:tcPr>
            <w:tcW w:type="dxa" w:w="34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Flotte</w:t>
            </w:r>
          </w:p>
        </w:tc>
        <w:tc>
          <w:tcPr>
            <w:tcW w:type="dxa" w:w="41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Flotte présentée par usage</w:t>
            </w:r>
          </w:p>
        </w:tc>
        <w:tc>
          <w:tcPr>
            <w:tcW w:type="dxa" w:w="96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5</w:t>
            </w:r>
          </w:p>
        </w:tc>
      </w:tr>
      <w:tr>
        <w:trPr>
          <w:cantSplit/>
        </w:trPr>
        <w:tc>
          <w:tcPr>
            <w:tcW w:type="dxa" w:w="9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6</w:t>
            </w:r>
          </w:p>
        </w:tc>
        <w:tc>
          <w:tcPr>
            <w:tcW w:type="dxa" w:w="34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Demande de devis et contact</w:t>
            </w:r>
          </w:p>
        </w:tc>
        <w:tc>
          <w:tcPr>
            <w:tcW w:type="dxa" w:w="41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Recevoir et suivre les demandes</w:t>
            </w:r>
          </w:p>
        </w:tc>
        <w:tc>
          <w:tcPr>
            <w:tcW w:type="dxa" w:w="96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10</w:t>
            </w:r>
          </w:p>
        </w:tc>
      </w:tr>
      <w:tr>
        <w:trPr>
          <w:cantSplit/>
        </w:trPr>
        <w:tc>
          <w:tcPr>
            <w:tcW w:type="dxa" w:w="9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7</w:t>
            </w:r>
          </w:p>
        </w:tc>
        <w:tc>
          <w:tcPr>
            <w:tcW w:type="dxa" w:w="34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Gestion de contenu</w:t>
            </w:r>
          </w:p>
        </w:tc>
        <w:tc>
          <w:tcPr>
            <w:tcW w:type="dxa" w:w="41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Modifier le contenu sans développeur</w:t>
            </w:r>
          </w:p>
        </w:tc>
        <w:tc>
          <w:tcPr>
            <w:tcW w:type="dxa" w:w="96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7</w:t>
            </w:r>
          </w:p>
        </w:tc>
      </w:tr>
      <w:tr>
        <w:trPr>
          <w:cantSplit/>
        </w:trPr>
        <w:tc>
          <w:tcPr>
            <w:tcW w:type="dxa" w:w="9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8</w:t>
            </w:r>
          </w:p>
        </w:tc>
        <w:tc>
          <w:tcPr>
            <w:tcW w:type="dxa" w:w="34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Langues, SEO et performance</w:t>
            </w:r>
          </w:p>
        </w:tc>
        <w:tc>
          <w:tcPr>
            <w:tcW w:type="dxa" w:w="41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Site en français et anglais, bien référencé</w:t>
            </w:r>
          </w:p>
        </w:tc>
        <w:tc>
          <w:tcPr>
            <w:tcW w:type="dxa" w:w="96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5</w:t>
            </w:r>
          </w:p>
        </w:tc>
      </w:tr>
      <w:tr>
        <w:trPr>
          <w:cantSplit/>
        </w:trPr>
        <w:tc>
          <w:tcPr>
            <w:tcW w:type="dxa" w:w="9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
            </w:r>
          </w:p>
        </w:tc>
        <w:tc>
          <w:tcPr>
            <w:tcW w:type="dxa" w:w="34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Total</w:t>
            </w:r>
          </w:p>
        </w:tc>
        <w:tc>
          <w:tcPr>
            <w:tcW w:type="dxa" w:w="41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
            </w:r>
          </w:p>
        </w:tc>
        <w:tc>
          <w:tcPr>
            <w:tcW w:type="dxa" w:w="96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68</w:t>
            </w:r>
          </w:p>
        </w:tc>
      </w:tr>
    </w:tbl>
    <w:p>
      <w:pPr>
        <w:spacing w:after="120" w:before="100"/>
      </w:pPr>
      <w:r>
        <w:rPr>
          <w:rFonts w:ascii="Calibri" w:cs="Calibri" w:eastAsia="Calibri" w:hAnsi="Calibri"/>
          <w:color w:val="222B36"/>
          <w:sz w:val="21"/>
          <w:szCs w:val="21"/>
        </w:rPr>
        <w:t xml:space="preserve">Le détail tâche par tâche se trouve dans « ESTIMATION TS EXCLUSIVE.xlsx » et son suivi dans docs/ESTIMATION-CHECKLIST.md.</w:t>
      </w:r>
    </w:p>
    <w:p>
      <w:pPr>
        <w:pStyle w:val="Heading2"/>
        <w:keepNext/>
        <w:spacing w:after="100" w:before="280"/>
      </w:pPr>
      <w:r>
        <w:rPr>
          <w:rFonts w:ascii="Georgia" w:cs="Georgia" w:eastAsia="Georgia" w:hAnsi="Georgia"/>
          <w:b/>
          <w:bCs/>
          <w:color w:val="0C2646"/>
          <w:sz w:val="26"/>
          <w:szCs w:val="26"/>
        </w:rPr>
        <w:t xml:space="preserve">14.1 État d'avancement au 12 octobre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rPr>
          <w:tblHeader/>
        </w:trPr>
        <w:tc>
          <w:tcPr>
            <w:tcW w:type="dxa" w:w="6800"/>
            <w:tcBorders>
              <w:top w:val="single" w:color="C9D4E0" w:sz="4"/>
              <w:left w:val="single" w:color="C9D4E0" w:sz="4"/>
              <w:bottom w:val="single" w:color="C9D4E0" w:sz="4"/>
              <w:right w:val="single" w:color="C9D4E0" w:sz="4"/>
            </w:tcBorders>
            <w:shd w:fill="0C2646" w:color="auto" w:val="clear"/>
            <w:tcMar>
              <w:top w:type="dxa" w:w="70"/>
              <w:left w:type="dxa" w:w="110"/>
              <w:bottom w:type="dxa" w:w="70"/>
              <w:right w:type="dxa" w:w="110"/>
            </w:tcMar>
          </w:tcPr>
          <w:p>
            <w:pPr>
              <w:spacing w:after="30"/>
            </w:pPr>
            <w:r>
              <w:rPr>
                <w:rFonts w:ascii="Calibri" w:cs="Calibri" w:eastAsia="Calibri" w:hAnsi="Calibri"/>
                <w:b/>
                <w:bCs/>
                <w:color w:val="FFFFFF"/>
                <w:sz w:val="19"/>
                <w:szCs w:val="19"/>
              </w:rPr>
              <w:t xml:space="preserve">Bloc</w:t>
            </w:r>
          </w:p>
        </w:tc>
        <w:tc>
          <w:tcPr>
            <w:tcW w:type="dxa" w:w="2560"/>
            <w:tcBorders>
              <w:top w:val="single" w:color="C9D4E0" w:sz="4"/>
              <w:left w:val="single" w:color="C9D4E0" w:sz="4"/>
              <w:bottom w:val="single" w:color="C9D4E0" w:sz="4"/>
              <w:right w:val="single" w:color="C9D4E0" w:sz="4"/>
            </w:tcBorders>
            <w:shd w:fill="0C2646" w:color="auto" w:val="clear"/>
            <w:tcMar>
              <w:top w:type="dxa" w:w="70"/>
              <w:left w:type="dxa" w:w="110"/>
              <w:bottom w:type="dxa" w:w="70"/>
              <w:right w:type="dxa" w:w="110"/>
            </w:tcMar>
          </w:tcPr>
          <w:p>
            <w:pPr>
              <w:spacing w:after="30"/>
            </w:pPr>
            <w:r>
              <w:rPr>
                <w:rFonts w:ascii="Calibri" w:cs="Calibri" w:eastAsia="Calibri" w:hAnsi="Calibri"/>
                <w:b/>
                <w:bCs/>
                <w:color w:val="FFFFFF"/>
                <w:sz w:val="19"/>
                <w:szCs w:val="19"/>
              </w:rPr>
              <w:t xml:space="preserve">État</w:t>
            </w:r>
          </w:p>
        </w:tc>
      </w:tr>
      <w:tr>
        <w:trPr>
          <w:cantSplit/>
        </w:trPr>
        <w:tc>
          <w:tcPr>
            <w:tcW w:type="dxa" w:w="68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Sprints 0 à 8 (cadrage, design, administration, accueil, services, flotte, devis, contenu, langues et SEO)</w:t>
            </w:r>
          </w:p>
        </w:tc>
        <w:tc>
          <w:tcPr>
            <w:tcW w:type="dxa" w:w="256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Livrés et en ligne</w:t>
            </w:r>
          </w:p>
        </w:tc>
      </w:tr>
      <w:tr>
        <w:trPr>
          <w:cantSplit/>
        </w:trPr>
        <w:tc>
          <w:tcPr>
            <w:tcW w:type="dxa" w:w="68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Amélioration du design (logo vectoriel, cadres, parcours, administration refaite)</w:t>
            </w:r>
          </w:p>
        </w:tc>
        <w:tc>
          <w:tcPr>
            <w:tcW w:type="dxa" w:w="256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Livrée</w:t>
            </w:r>
          </w:p>
        </w:tc>
      </w:tr>
      <w:tr>
        <w:trPr>
          <w:cantSplit/>
        </w:trPr>
        <w:tc>
          <w:tcPr>
            <w:tcW w:type="dxa" w:w="68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Nouveau design d'après le modèle validé par le client (hero sombre, mosaïque, bloc clair, pied de page clair, doré en simple touche)</w:t>
            </w:r>
          </w:p>
        </w:tc>
        <w:tc>
          <w:tcPr>
            <w:tcW w:type="dxa" w:w="256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Livré et en ligne</w:t>
            </w:r>
          </w:p>
        </w:tc>
      </w:tr>
      <w:tr>
        <w:trPr>
          <w:cantSplit/>
        </w:trPr>
        <w:tc>
          <w:tcPr>
            <w:tcW w:type="dxa" w:w="68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Accroches de services plus percutantes, contenu et bouton d'action sur chaque service, conciergerie à part, trois valeurs, numérotation des seuls services</w:t>
            </w:r>
          </w:p>
        </w:tc>
        <w:tc>
          <w:tcPr>
            <w:tcW w:type="dxa" w:w="256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Livrés et en ligne</w:t>
            </w:r>
          </w:p>
        </w:tc>
      </w:tr>
      <w:tr>
        <w:trPr>
          <w:cantSplit/>
        </w:trPr>
        <w:tc>
          <w:tcPr>
            <w:tcW w:type="dxa" w:w="68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Séparation stricte du français et de l'anglais sur tout le site</w:t>
            </w:r>
          </w:p>
        </w:tc>
        <w:tc>
          <w:tcPr>
            <w:tcW w:type="dxa" w:w="256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Livrée et en ligne</w:t>
            </w:r>
          </w:p>
        </w:tc>
      </w:tr>
      <w:tr>
        <w:trPr>
          <w:cantSplit/>
        </w:trPr>
        <w:tc>
          <w:tcPr>
            <w:tcW w:type="dxa" w:w="68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Carte de Madagascar fidèle, section Destinations sans élément coupé, ronds du parcours qui se colorent</w:t>
            </w:r>
          </w:p>
        </w:tc>
        <w:tc>
          <w:tcPr>
            <w:tcW w:type="dxa" w:w="256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Livrés et en ligne</w:t>
            </w:r>
          </w:p>
        </w:tc>
      </w:tr>
      <w:tr>
        <w:trPr>
          <w:cantSplit/>
        </w:trPr>
        <w:tc>
          <w:tcPr>
            <w:tcW w:type="dxa" w:w="68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Contenus finaux du client (slogan, trois valeurs, sept services, À propos)</w:t>
            </w:r>
          </w:p>
        </w:tc>
        <w:tc>
          <w:tcPr>
            <w:tcW w:type="dxa" w:w="256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Intégrés et en ligne</w:t>
            </w:r>
          </w:p>
        </w:tc>
      </w:tr>
      <w:tr>
        <w:trPr>
          <w:cantSplit/>
        </w:trPr>
        <w:tc>
          <w:tcPr>
            <w:tcW w:type="dxa" w:w="68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Flotte finale : quatre véhicules, textes corrigés, photos détourées</w:t>
            </w:r>
          </w:p>
        </w:tc>
        <w:tc>
          <w:tcPr>
            <w:tcW w:type="dxa" w:w="256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Intégrée et en ligne</w:t>
            </w:r>
          </w:p>
        </w:tc>
      </w:tr>
      <w:tr>
        <w:trPr>
          <w:cantSplit/>
        </w:trPr>
        <w:tc>
          <w:tcPr>
            <w:tcW w:type="dxa" w:w="68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Relecture de la traduction anglaise des contenus finaux</w:t>
            </w:r>
          </w:p>
        </w:tc>
        <w:tc>
          <w:tcPr>
            <w:tcW w:type="dxa" w:w="256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À faire par le client</w:t>
            </w:r>
          </w:p>
        </w:tc>
      </w:tr>
      <w:tr>
        <w:trPr>
          <w:cantSplit/>
        </w:trPr>
        <w:tc>
          <w:tcPr>
            <w:tcW w:type="dxa" w:w="68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Envoi réel des emails</w:t>
            </w:r>
          </w:p>
        </w:tc>
        <w:tc>
          <w:tcPr>
            <w:tcW w:type="dxa" w:w="256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À configurer (paramètres SMTP à fournir)</w:t>
            </w:r>
          </w:p>
        </w:tc>
      </w:tr>
      <w:tr>
        <w:trPr>
          <w:cantSplit/>
        </w:trPr>
        <w:tc>
          <w:tcPr>
            <w:tcW w:type="dxa" w:w="68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Photographies propres à l'entreprise, témoignages, réseaux sociaux</w:t>
            </w:r>
          </w:p>
        </w:tc>
        <w:tc>
          <w:tcPr>
            <w:tcW w:type="dxa" w:w="256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À fournir</w:t>
            </w:r>
          </w:p>
        </w:tc>
      </w:tr>
      <w:tr>
        <w:trPr>
          <w:cantSplit/>
        </w:trPr>
        <w:tc>
          <w:tcPr>
            <w:tcW w:type="dxa" w:w="68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Nom de domaine et pages légales</w:t>
            </w:r>
          </w:p>
        </w:tc>
        <w:tc>
          <w:tcPr>
            <w:tcW w:type="dxa" w:w="256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À fournir</w:t>
            </w:r>
          </w:p>
        </w:tc>
      </w:tr>
      <w:tr>
        <w:trPr>
          <w:cantSplit/>
        </w:trPr>
        <w:tc>
          <w:tcPr>
            <w:tcW w:type="dxa" w:w="68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Recette finale par le client</w:t>
            </w:r>
          </w:p>
        </w:tc>
        <w:tc>
          <w:tcPr>
            <w:tcW w:type="dxa" w:w="256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À planifier</w:t>
            </w:r>
          </w:p>
        </w:tc>
      </w:tr>
    </w:tbl>
    <w:p>
      <w:pPr>
        <w:pStyle w:val="Heading1"/>
        <w:keepNext/>
        <w:pBdr>
          <w:bottom w:val="single" w:color="8AA4BD" w:sz="6" w:space="4"/>
        </w:pBdr>
        <w:spacing w:after="160" w:before="420"/>
      </w:pPr>
      <w:r>
        <w:rPr>
          <w:rFonts w:ascii="Georgia" w:cs="Georgia" w:eastAsia="Georgia" w:hAnsi="Georgia"/>
          <w:color w:val="0C2646"/>
          <w:sz w:val="34"/>
          <w:szCs w:val="34"/>
        </w:rPr>
        <w:t xml:space="preserve">15. Livrables</w:t>
      </w:r>
    </w:p>
    <w:p>
      <w:pPr>
        <w:pStyle w:val="ListParagraph"/>
        <w:numPr>
          <w:ilvl w:val="0"/>
          <w:numId w:val="2"/>
        </w:numPr>
        <w:spacing w:after="70" w:line="280"/>
      </w:pPr>
      <w:r>
        <w:rPr>
          <w:rFonts w:ascii="Calibri" w:cs="Calibri" w:eastAsia="Calibri" w:hAnsi="Calibri"/>
          <w:color w:val="222B36"/>
          <w:sz w:val="21"/>
          <w:szCs w:val="21"/>
        </w:rPr>
        <w:t xml:space="preserve">Site public bilingue en ligne et espace d'administration opérationnel.</w:t>
      </w:r>
    </w:p>
    <w:p>
      <w:pPr>
        <w:pStyle w:val="ListParagraph"/>
        <w:numPr>
          <w:ilvl w:val="0"/>
          <w:numId w:val="2"/>
        </w:numPr>
        <w:spacing w:after="70" w:line="280"/>
      </w:pPr>
      <w:r>
        <w:rPr>
          <w:rFonts w:ascii="Calibri" w:cs="Calibri" w:eastAsia="Calibri" w:hAnsi="Calibri"/>
          <w:color w:val="222B36"/>
          <w:sz w:val="21"/>
          <w:szCs w:val="21"/>
        </w:rPr>
        <w:t xml:space="preserve">Code source complet sur GitHub, avec historique des modifications.</w:t>
      </w:r>
    </w:p>
    <w:p>
      <w:pPr>
        <w:pStyle w:val="ListParagraph"/>
        <w:numPr>
          <w:ilvl w:val="0"/>
          <w:numId w:val="2"/>
        </w:numPr>
        <w:spacing w:after="70" w:line="280"/>
      </w:pPr>
      <w:r>
        <w:rPr>
          <w:rFonts w:ascii="Calibri" w:cs="Calibri" w:eastAsia="Calibri" w:hAnsi="Calibri"/>
          <w:color w:val="222B36"/>
          <w:sz w:val="21"/>
          <w:szCs w:val="21"/>
        </w:rPr>
        <w:t xml:space="preserve">Base de données initialisée avec le contenu de départ et les contenus finaux du client (français et anglais).</w:t>
      </w:r>
    </w:p>
    <w:p>
      <w:pPr>
        <w:pStyle w:val="ListParagraph"/>
        <w:numPr>
          <w:ilvl w:val="0"/>
          <w:numId w:val="2"/>
        </w:numPr>
        <w:spacing w:after="70" w:line="280"/>
      </w:pPr>
      <w:r>
        <w:rPr>
          <w:rFonts w:ascii="Calibri" w:cs="Calibri" w:eastAsia="Calibri" w:hAnsi="Calibri"/>
          <w:color w:val="222B36"/>
          <w:sz w:val="21"/>
          <w:szCs w:val="21"/>
        </w:rPr>
        <w:t xml:space="preserve">Logo vectoriel en deux versions (SVG).</w:t>
      </w:r>
    </w:p>
    <w:p>
      <w:pPr>
        <w:pStyle w:val="ListParagraph"/>
        <w:numPr>
          <w:ilvl w:val="0"/>
          <w:numId w:val="2"/>
        </w:numPr>
        <w:spacing w:after="70" w:line="280"/>
      </w:pPr>
      <w:r>
        <w:rPr>
          <w:rFonts w:ascii="Calibri" w:cs="Calibri" w:eastAsia="Calibri" w:hAnsi="Calibri"/>
          <w:color w:val="222B36"/>
          <w:sz w:val="21"/>
          <w:szCs w:val="21"/>
        </w:rPr>
        <w:t xml:space="preserve">Documentation : architecture, backlog, charte graphique, wireframes, suivi de l'estimation, ce cahier des charges, guide de démarrage.</w:t>
      </w:r>
    </w:p>
    <w:p>
      <w:pPr>
        <w:pStyle w:val="ListParagraph"/>
        <w:numPr>
          <w:ilvl w:val="0"/>
          <w:numId w:val="2"/>
        </w:numPr>
        <w:spacing w:after="70" w:line="280"/>
      </w:pPr>
      <w:r>
        <w:rPr>
          <w:rFonts w:ascii="Calibri" w:cs="Calibri" w:eastAsia="Calibri" w:hAnsi="Calibri"/>
          <w:color w:val="222B36"/>
          <w:sz w:val="21"/>
          <w:szCs w:val="21"/>
        </w:rPr>
        <w:t xml:space="preserve">Fichier d'accès administrateur remis en main propre.</w:t>
      </w:r>
    </w:p>
    <w:p>
      <w:pPr>
        <w:pStyle w:val="ListParagraph"/>
        <w:numPr>
          <w:ilvl w:val="0"/>
          <w:numId w:val="2"/>
        </w:numPr>
        <w:spacing w:after="70" w:line="280"/>
      </w:pPr>
      <w:r>
        <w:rPr>
          <w:rFonts w:ascii="Calibri" w:cs="Calibri" w:eastAsia="Calibri" w:hAnsi="Calibri"/>
          <w:color w:val="222B36"/>
          <w:sz w:val="21"/>
          <w:szCs w:val="21"/>
        </w:rPr>
        <w:t xml:space="preserve">Estimation détaillée au format tableur.</w:t>
      </w:r>
    </w:p>
    <w:p>
      <w:pPr>
        <w:pStyle w:val="Heading1"/>
        <w:keepNext/>
        <w:pBdr>
          <w:bottom w:val="single" w:color="8AA4BD" w:sz="6" w:space="4"/>
        </w:pBdr>
        <w:spacing w:after="160" w:before="420"/>
      </w:pPr>
      <w:r>
        <w:rPr>
          <w:rFonts w:ascii="Georgia" w:cs="Georgia" w:eastAsia="Georgia" w:hAnsi="Georgia"/>
          <w:color w:val="0C2646"/>
          <w:sz w:val="34"/>
          <w:szCs w:val="34"/>
        </w:rPr>
        <w:t xml:space="preserve">16. Recette et critères d'acceptation</w:t>
      </w:r>
    </w:p>
    <w:p>
      <w:pPr>
        <w:spacing w:after="120" w:line="300"/>
      </w:pPr>
      <w:r>
        <w:rPr>
          <w:rFonts w:ascii="Calibri" w:cs="Calibri" w:eastAsia="Calibri" w:hAnsi="Calibri"/>
          <w:color w:val="222B36"/>
          <w:sz w:val="21"/>
          <w:szCs w:val="21"/>
        </w:rPr>
        <w:t xml:space="preserve">La recette se fait sur le site en ligne, sur ordinateur, tablette et téléphone. Le projet est accepté lorsque toutes les lignes ci-dessous sont validées.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300"/>
        <w:gridCol w:w="4360"/>
      </w:tblGrid>
      <w:tr>
        <w:trPr>
          <w:tblHeader/>
        </w:trPr>
        <w:tc>
          <w:tcPr>
            <w:tcW w:type="dxa" w:w="700"/>
            <w:tcBorders>
              <w:top w:val="single" w:color="C9D4E0" w:sz="4"/>
              <w:left w:val="single" w:color="C9D4E0" w:sz="4"/>
              <w:bottom w:val="single" w:color="C9D4E0" w:sz="4"/>
              <w:right w:val="single" w:color="C9D4E0" w:sz="4"/>
            </w:tcBorders>
            <w:shd w:fill="0C2646" w:color="auto" w:val="clear"/>
            <w:tcMar>
              <w:top w:type="dxa" w:w="70"/>
              <w:left w:type="dxa" w:w="110"/>
              <w:bottom w:type="dxa" w:w="70"/>
              <w:right w:type="dxa" w:w="110"/>
            </w:tcMar>
          </w:tcPr>
          <w:p>
            <w:pPr>
              <w:spacing w:after="30"/>
            </w:pPr>
            <w:r>
              <w:rPr>
                <w:rFonts w:ascii="Calibri" w:cs="Calibri" w:eastAsia="Calibri" w:hAnsi="Calibri"/>
                <w:b/>
                <w:bCs/>
                <w:color w:val="FFFFFF"/>
                <w:sz w:val="19"/>
                <w:szCs w:val="19"/>
              </w:rPr>
              <w:t xml:space="preserve">N°</w:t>
            </w:r>
          </w:p>
        </w:tc>
        <w:tc>
          <w:tcPr>
            <w:tcW w:type="dxa" w:w="4300"/>
            <w:tcBorders>
              <w:top w:val="single" w:color="C9D4E0" w:sz="4"/>
              <w:left w:val="single" w:color="C9D4E0" w:sz="4"/>
              <w:bottom w:val="single" w:color="C9D4E0" w:sz="4"/>
              <w:right w:val="single" w:color="C9D4E0" w:sz="4"/>
            </w:tcBorders>
            <w:shd w:fill="0C2646" w:color="auto" w:val="clear"/>
            <w:tcMar>
              <w:top w:type="dxa" w:w="70"/>
              <w:left w:type="dxa" w:w="110"/>
              <w:bottom w:type="dxa" w:w="70"/>
              <w:right w:type="dxa" w:w="110"/>
            </w:tcMar>
          </w:tcPr>
          <w:p>
            <w:pPr>
              <w:spacing w:after="30"/>
            </w:pPr>
            <w:r>
              <w:rPr>
                <w:rFonts w:ascii="Calibri" w:cs="Calibri" w:eastAsia="Calibri" w:hAnsi="Calibri"/>
                <w:b/>
                <w:bCs/>
                <w:color w:val="FFFFFF"/>
                <w:sz w:val="19"/>
                <w:szCs w:val="19"/>
              </w:rPr>
              <w:t xml:space="preserve">Contrôle</w:t>
            </w:r>
          </w:p>
        </w:tc>
        <w:tc>
          <w:tcPr>
            <w:tcW w:type="dxa" w:w="4360"/>
            <w:tcBorders>
              <w:top w:val="single" w:color="C9D4E0" w:sz="4"/>
              <w:left w:val="single" w:color="C9D4E0" w:sz="4"/>
              <w:bottom w:val="single" w:color="C9D4E0" w:sz="4"/>
              <w:right w:val="single" w:color="C9D4E0" w:sz="4"/>
            </w:tcBorders>
            <w:shd w:fill="0C2646" w:color="auto" w:val="clear"/>
            <w:tcMar>
              <w:top w:type="dxa" w:w="70"/>
              <w:left w:type="dxa" w:w="110"/>
              <w:bottom w:type="dxa" w:w="70"/>
              <w:right w:type="dxa" w:w="110"/>
            </w:tcMar>
          </w:tcPr>
          <w:p>
            <w:pPr>
              <w:spacing w:after="30"/>
            </w:pPr>
            <w:r>
              <w:rPr>
                <w:rFonts w:ascii="Calibri" w:cs="Calibri" w:eastAsia="Calibri" w:hAnsi="Calibri"/>
                <w:b/>
                <w:bCs/>
                <w:color w:val="FFFFFF"/>
                <w:sz w:val="19"/>
                <w:szCs w:val="19"/>
              </w:rPr>
              <w:t xml:space="preserve">Résultat attendu</w:t>
            </w:r>
          </w:p>
        </w:tc>
      </w:tr>
      <w:tr>
        <w:trPr>
          <w:cantSplit/>
        </w:trPr>
        <w:tc>
          <w:tcPr>
            <w:tcW w:type="dxa" w:w="7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1</w:t>
            </w:r>
          </w:p>
        </w:tc>
        <w:tc>
          <w:tcPr>
            <w:tcW w:type="dxa" w:w="43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Ouvrir l'accueil sur ordinateur et sur téléphone</w:t>
            </w:r>
          </w:p>
        </w:tc>
        <w:tc>
          <w:tcPr>
            <w:tcW w:type="dxa" w:w="436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Hero avec voiture sombre et slogan, chiffres, trois valeurs, aucune zone vide, aucun défilement horizontal</w:t>
            </w:r>
          </w:p>
        </w:tc>
      </w:tr>
      <w:tr>
        <w:trPr>
          <w:cantSplit/>
        </w:trPr>
        <w:tc>
          <w:tcPr>
            <w:tcW w:type="dxa" w:w="7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2</w:t>
            </w:r>
          </w:p>
        </w:tc>
        <w:tc>
          <w:tcPr>
            <w:tcW w:type="dxa" w:w="43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Zoomer le navigateur à 80 %, 100 %, 125 %</w:t>
            </w:r>
          </w:p>
        </w:tc>
        <w:tc>
          <w:tcPr>
            <w:tcW w:type="dxa" w:w="436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Mise en page correcte, toutes les sections visibles</w:t>
            </w:r>
          </w:p>
        </w:tc>
      </w:tr>
      <w:tr>
        <w:trPr>
          <w:cantSplit/>
        </w:trPr>
        <w:tc>
          <w:tcPr>
            <w:tcW w:type="dxa" w:w="7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3</w:t>
            </w:r>
          </w:p>
        </w:tc>
        <w:tc>
          <w:tcPr>
            <w:tcW w:type="dxa" w:w="43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Ouvrir le menu, survoler un service puis une destination</w:t>
            </w:r>
          </w:p>
        </w:tc>
        <w:tc>
          <w:tcPr>
            <w:tcW w:type="dxa" w:w="436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Animation fluide, image associée</w:t>
            </w:r>
          </w:p>
        </w:tc>
      </w:tr>
      <w:tr>
        <w:trPr>
          <w:cantSplit/>
        </w:trPr>
        <w:tc>
          <w:tcPr>
            <w:tcW w:type="dxa" w:w="7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4</w:t>
            </w:r>
          </w:p>
        </w:tc>
        <w:tc>
          <w:tcPr>
            <w:tcW w:type="dxa" w:w="43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Changer de langue sur plusieurs pages</w:t>
            </w:r>
          </w:p>
        </w:tc>
        <w:tc>
          <w:tcPr>
            <w:tcW w:type="dxa" w:w="436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Même page en anglais, contenus traduits</w:t>
            </w:r>
          </w:p>
        </w:tc>
      </w:tr>
      <w:tr>
        <w:trPr>
          <w:cantSplit/>
        </w:trPr>
        <w:tc>
          <w:tcPr>
            <w:tcW w:type="dxa" w:w="7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5</w:t>
            </w:r>
          </w:p>
        </w:tc>
        <w:tc>
          <w:tcPr>
            <w:tcW w:type="dxa" w:w="43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Envoyer une demande de devis complète</w:t>
            </w:r>
          </w:p>
        </w:tc>
        <w:tc>
          <w:tcPr>
            <w:tcW w:type="dxa" w:w="436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Message de confirmation, demande visible dans l'administration</w:t>
            </w:r>
          </w:p>
        </w:tc>
      </w:tr>
      <w:tr>
        <w:trPr>
          <w:cantSplit/>
        </w:trPr>
        <w:tc>
          <w:tcPr>
            <w:tcW w:type="dxa" w:w="7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6</w:t>
            </w:r>
          </w:p>
        </w:tc>
        <w:tc>
          <w:tcPr>
            <w:tcW w:type="dxa" w:w="43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Envoyer un devis avec un email invalide ou sans nom</w:t>
            </w:r>
          </w:p>
        </w:tc>
        <w:tc>
          <w:tcPr>
            <w:tcW w:type="dxa" w:w="436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Message d'erreur clair, rien d'enregistré</w:t>
            </w:r>
          </w:p>
        </w:tc>
      </w:tr>
      <w:tr>
        <w:trPr>
          <w:cantSplit/>
        </w:trPr>
        <w:tc>
          <w:tcPr>
            <w:tcW w:type="dxa" w:w="7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7</w:t>
            </w:r>
          </w:p>
        </w:tc>
        <w:tc>
          <w:tcPr>
            <w:tcW w:type="dxa" w:w="43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Cliquer sur WhatsApp depuis plusieurs pages</w:t>
            </w:r>
          </w:p>
        </w:tc>
        <w:tc>
          <w:tcPr>
            <w:tcW w:type="dxa" w:w="436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Conversation ouverte avec le numéro et le message prérempli</w:t>
            </w:r>
          </w:p>
        </w:tc>
      </w:tr>
      <w:tr>
        <w:trPr>
          <w:cantSplit/>
        </w:trPr>
        <w:tc>
          <w:tcPr>
            <w:tcW w:type="dxa" w:w="7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8</w:t>
            </w:r>
          </w:p>
        </w:tc>
        <w:tc>
          <w:tcPr>
            <w:tcW w:type="dxa" w:w="43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Se connecter à l'administration, changer le statut d'une demande, ajouter une note, exporter en CSV</w:t>
            </w:r>
          </w:p>
        </w:tc>
        <w:tc>
          <w:tcPr>
            <w:tcW w:type="dxa" w:w="436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Modifications enregistrées, fichier CSV correct</w:t>
            </w:r>
          </w:p>
        </w:tc>
      </w:tr>
      <w:tr>
        <w:trPr>
          <w:cantSplit/>
        </w:trPr>
        <w:tc>
          <w:tcPr>
            <w:tcW w:type="dxa" w:w="7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9</w:t>
            </w:r>
          </w:p>
        </w:tc>
        <w:tc>
          <w:tcPr>
            <w:tcW w:type="dxa" w:w="43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Modifier un véhicule, un texte et une image</w:t>
            </w:r>
          </w:p>
        </w:tc>
        <w:tc>
          <w:tcPr>
            <w:tcW w:type="dxa" w:w="436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Changement visible sur le site sans republication</w:t>
            </w:r>
          </w:p>
        </w:tc>
      </w:tr>
      <w:tr>
        <w:trPr>
          <w:cantSplit/>
        </w:trPr>
        <w:tc>
          <w:tcPr>
            <w:tcW w:type="dxa" w:w="7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10</w:t>
            </w:r>
          </w:p>
        </w:tc>
        <w:tc>
          <w:tcPr>
            <w:tcW w:type="dxa" w:w="43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Créer un compte Éditeur, s'y connecter</w:t>
            </w:r>
          </w:p>
        </w:tc>
        <w:tc>
          <w:tcPr>
            <w:tcW w:type="dxa" w:w="436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Accès au contenu, pas à la gestion des comptes</w:t>
            </w:r>
          </w:p>
        </w:tc>
      </w:tr>
      <w:tr>
        <w:trPr>
          <w:cantSplit/>
        </w:trPr>
        <w:tc>
          <w:tcPr>
            <w:tcW w:type="dxa" w:w="7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11</w:t>
            </w:r>
          </w:p>
        </w:tc>
        <w:tc>
          <w:tcPr>
            <w:tcW w:type="dxa" w:w="43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Ouvrir /admin sans être connecté</w:t>
            </w:r>
          </w:p>
        </w:tc>
        <w:tc>
          <w:tcPr>
            <w:tcW w:type="dxa" w:w="436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Redirection vers la connexion</w:t>
            </w:r>
          </w:p>
        </w:tc>
      </w:tr>
      <w:tr>
        <w:trPr>
          <w:cantSplit/>
        </w:trPr>
        <w:tc>
          <w:tcPr>
            <w:tcW w:type="dxa" w:w="7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12</w:t>
            </w:r>
          </w:p>
        </w:tc>
        <w:tc>
          <w:tcPr>
            <w:tcW w:type="dxa" w:w="43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Mesurer avec Lighthouse</w:t>
            </w:r>
          </w:p>
        </w:tc>
        <w:tc>
          <w:tcPr>
            <w:tcW w:type="dxa" w:w="436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Au moins 90 en performance, accessibilité et SEO sur l'accueil</w:t>
            </w:r>
          </w:p>
        </w:tc>
      </w:tr>
      <w:tr>
        <w:trPr>
          <w:cantSplit/>
        </w:trPr>
        <w:tc>
          <w:tcPr>
            <w:tcW w:type="dxa" w:w="7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13</w:t>
            </w:r>
          </w:p>
        </w:tc>
        <w:tc>
          <w:tcPr>
            <w:tcW w:type="dxa" w:w="43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Ouvrir /sitemap.xml et /robots.txt</w:t>
            </w:r>
          </w:p>
        </w:tc>
        <w:tc>
          <w:tcPr>
            <w:tcW w:type="dxa" w:w="436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Toutes les pages listées en français et en anglais, administration exclue</w:t>
            </w:r>
          </w:p>
        </w:tc>
      </w:tr>
      <w:tr>
        <w:trPr>
          <w:cantSplit/>
        </w:trPr>
        <w:tc>
          <w:tcPr>
            <w:tcW w:type="dxa" w:w="7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14</w:t>
            </w:r>
          </w:p>
        </w:tc>
        <w:tc>
          <w:tcPr>
            <w:tcW w:type="dxa" w:w="43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Ouvrir une adresse inexistante</w:t>
            </w:r>
          </w:p>
        </w:tc>
        <w:tc>
          <w:tcPr>
            <w:tcW w:type="dxa" w:w="436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Page 404 de la marque</w:t>
            </w:r>
          </w:p>
        </w:tc>
      </w:tr>
      <w:tr>
        <w:trPr>
          <w:cantSplit/>
        </w:trPr>
        <w:tc>
          <w:tcPr>
            <w:tcW w:type="dxa" w:w="7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15</w:t>
            </w:r>
          </w:p>
        </w:tc>
        <w:tc>
          <w:tcPr>
            <w:tcW w:type="dxa" w:w="43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Ouvrir chacun des sept services et cliquer sur son bouton</w:t>
            </w:r>
          </w:p>
        </w:tc>
        <w:tc>
          <w:tcPr>
            <w:tcW w:type="dxa" w:w="436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Texte conforme au document du client, bouton ouvrant le devis avec le service coché</w:t>
            </w:r>
          </w:p>
        </w:tc>
      </w:tr>
      <w:tr>
        <w:trPr>
          <w:cantSplit/>
        </w:trPr>
        <w:tc>
          <w:tcPr>
            <w:tcW w:type="dxa" w:w="7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16</w:t>
            </w:r>
          </w:p>
        </w:tc>
        <w:tc>
          <w:tcPr>
            <w:tcW w:type="dxa" w:w="43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Parcourir la tuile « Notre flotte » avec les flèches, puis la page Flotte</w:t>
            </w:r>
          </w:p>
        </w:tc>
        <w:tc>
          <w:tcPr>
            <w:tcW w:type="dxa" w:w="436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Les quatre véhicules défilent sans fond parasite ; accroche et description lisibles, texte jamais recouvert par la voiture</w:t>
            </w:r>
          </w:p>
        </w:tc>
      </w:tr>
      <w:tr>
        <w:trPr>
          <w:cantSplit/>
        </w:trPr>
        <w:tc>
          <w:tcPr>
            <w:tcW w:type="dxa" w:w="7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17</w:t>
            </w:r>
          </w:p>
        </w:tc>
        <w:tc>
          <w:tcPr>
            <w:tcW w:type="dxa" w:w="43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Comparer l'accueil au modèle de référence du client</w:t>
            </w:r>
          </w:p>
        </w:tc>
        <w:tc>
          <w:tcPr>
            <w:tcW w:type="dxa" w:w="436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Même structure : hero sombre, mosaïque, bloc clair, pied de page clair ; doré présent seulement en touche discrète</w:t>
            </w:r>
          </w:p>
        </w:tc>
      </w:tr>
      <w:tr>
        <w:trPr>
          <w:cantSplit/>
        </w:trPr>
        <w:tc>
          <w:tcPr>
            <w:tcW w:type="dxa" w:w="7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18</w:t>
            </w:r>
          </w:p>
        </w:tc>
        <w:tc>
          <w:tcPr>
            <w:tcW w:type="dxa" w:w="43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Parcourir le site en français puis en anglais (accueil, services, flotte, entreprises, hôtellerie, événements, à propos, tarifs, contact)</w:t>
            </w:r>
          </w:p>
        </w:tc>
        <w:tc>
          <w:tcPr>
            <w:tcW w:type="dxa" w:w="436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Aucun mot anglais en français, aucun mot français en anglais (hors nom TS EXCLUSIVE et mots malgaches)</w:t>
            </w:r>
          </w:p>
        </w:tc>
      </w:tr>
      <w:tr>
        <w:trPr>
          <w:cantSplit/>
        </w:trPr>
        <w:tc>
          <w:tcPr>
            <w:tcW w:type="dxa" w:w="7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19</w:t>
            </w:r>
          </w:p>
        </w:tc>
        <w:tc>
          <w:tcPr>
            <w:tcW w:type="dxa" w:w="43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Vérifier les numéros sur l'accueil et la page Services</w:t>
            </w:r>
          </w:p>
        </w:tc>
        <w:tc>
          <w:tcPr>
            <w:tcW w:type="dxa" w:w="436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Seuls les services sont numérotés (01 à 06) ; flotte, à propos et parcours n'ont pas de numéro</w:t>
            </w:r>
          </w:p>
        </w:tc>
      </w:tr>
      <w:tr>
        <w:trPr>
          <w:cantSplit/>
        </w:trPr>
        <w:tc>
          <w:tcPr>
            <w:tcW w:type="dxa" w:w="7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20</w:t>
            </w:r>
          </w:p>
        </w:tc>
        <w:tc>
          <w:tcPr>
            <w:tcW w:type="dxa" w:w="43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Repérer le bouton « Voir les offres » dans le hero, sur ordinateur et sur téléphone</w:t>
            </w:r>
          </w:p>
        </w:tc>
        <w:tc>
          <w:tcPr>
            <w:tcW w:type="dxa" w:w="436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Onglet doré visible, qui mène à la page Tarifs</w:t>
            </w:r>
          </w:p>
        </w:tc>
      </w:tr>
      <w:tr>
        <w:trPr>
          <w:cantSplit/>
        </w:trPr>
        <w:tc>
          <w:tcPr>
            <w:tcW w:type="dxa" w:w="7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21</w:t>
            </w:r>
          </w:p>
        </w:tc>
        <w:tc>
          <w:tcPr>
            <w:tcW w:type="dxa" w:w="43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Vérifier chaque service : tuile d'accueil, bloc de la page Services, page de détail</w:t>
            </w:r>
          </w:p>
        </w:tc>
        <w:tc>
          <w:tcPr>
            <w:tcW w:type="dxa" w:w="436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Un bouton d'action visible à chaque endroit, qui ouvre le devis avec le service coché</w:t>
            </w:r>
          </w:p>
        </w:tc>
      </w:tr>
      <w:tr>
        <w:trPr>
          <w:cantSplit/>
        </w:trPr>
        <w:tc>
          <w:tcPr>
            <w:tcW w:type="dxa" w:w="7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22</w:t>
            </w:r>
          </w:p>
        </w:tc>
        <w:tc>
          <w:tcPr>
            <w:tcW w:type="dxa" w:w="43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Ouvrir la section Destinations sur grand écran (1900 px et plus), sur ordinateur portable et sur téléphone</w:t>
            </w:r>
          </w:p>
        </w:tc>
        <w:tc>
          <w:tcPr>
            <w:tcW w:type="dxa" w:w="436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Rien n'est coupé à droite ; la carte a le vrai contour de Madagascar et le repère de la ville survolée est au bon endroit</w:t>
            </w:r>
          </w:p>
        </w:tc>
      </w:tr>
      <w:tr>
        <w:trPr>
          <w:cantSplit/>
        </w:trPr>
        <w:tc>
          <w:tcPr>
            <w:tcW w:type="dxa" w:w="7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23</w:t>
            </w:r>
          </w:p>
        </w:tc>
        <w:tc>
          <w:tcPr>
            <w:tcW w:type="dxa" w:w="43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Faire défiler le parcours « L'expérience TS » vers le bas puis vers le haut</w:t>
            </w:r>
          </w:p>
        </w:tc>
        <w:tc>
          <w:tcPr>
            <w:tcW w:type="dxa" w:w="436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Les ronds se colorent à mesure que la ligne les atteint et se vident quand on remonte</w:t>
            </w:r>
          </w:p>
        </w:tc>
      </w:tr>
    </w:tbl>
    <w:p>
      <w:pPr>
        <w:pStyle w:val="Heading1"/>
        <w:keepNext/>
        <w:pBdr>
          <w:bottom w:val="single" w:color="8AA4BD" w:sz="6" w:space="4"/>
        </w:pBdr>
        <w:spacing w:after="160" w:before="420"/>
      </w:pPr>
      <w:r>
        <w:rPr>
          <w:rFonts w:ascii="Georgia" w:cs="Georgia" w:eastAsia="Georgia" w:hAnsi="Georgia"/>
          <w:color w:val="0C2646"/>
          <w:sz w:val="34"/>
          <w:szCs w:val="34"/>
        </w:rPr>
        <w:t xml:space="preserve">17. Évolutions possibles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C9D4E0" w:sz="4"/>
              <w:left w:val="single" w:color="C9D4E0" w:sz="4"/>
              <w:bottom w:val="single" w:color="C9D4E0" w:sz="4"/>
              <w:right w:val="single" w:color="C9D4E0" w:sz="4"/>
            </w:tcBorders>
            <w:shd w:fill="0C2646" w:color="auto" w:val="clear"/>
            <w:tcMar>
              <w:top w:type="dxa" w:w="70"/>
              <w:left w:type="dxa" w:w="110"/>
              <w:bottom w:type="dxa" w:w="70"/>
              <w:right w:type="dxa" w:w="110"/>
            </w:tcMar>
          </w:tcPr>
          <w:p>
            <w:pPr>
              <w:spacing w:after="30"/>
            </w:pPr>
            <w:r>
              <w:rPr>
                <w:rFonts w:ascii="Calibri" w:cs="Calibri" w:eastAsia="Calibri" w:hAnsi="Calibri"/>
                <w:b/>
                <w:bCs/>
                <w:color w:val="FFFFFF"/>
                <w:sz w:val="19"/>
                <w:szCs w:val="19"/>
              </w:rPr>
              <w:t xml:space="preserve">Évolution</w:t>
            </w:r>
          </w:p>
        </w:tc>
        <w:tc>
          <w:tcPr>
            <w:tcW w:type="dxa" w:w="4160"/>
            <w:tcBorders>
              <w:top w:val="single" w:color="C9D4E0" w:sz="4"/>
              <w:left w:val="single" w:color="C9D4E0" w:sz="4"/>
              <w:bottom w:val="single" w:color="C9D4E0" w:sz="4"/>
              <w:right w:val="single" w:color="C9D4E0" w:sz="4"/>
            </w:tcBorders>
            <w:shd w:fill="0C2646" w:color="auto" w:val="clear"/>
            <w:tcMar>
              <w:top w:type="dxa" w:w="70"/>
              <w:left w:type="dxa" w:w="110"/>
              <w:bottom w:type="dxa" w:w="70"/>
              <w:right w:type="dxa" w:w="110"/>
            </w:tcMar>
          </w:tcPr>
          <w:p>
            <w:pPr>
              <w:spacing w:after="30"/>
            </w:pPr>
            <w:r>
              <w:rPr>
                <w:rFonts w:ascii="Calibri" w:cs="Calibri" w:eastAsia="Calibri" w:hAnsi="Calibri"/>
                <w:b/>
                <w:bCs/>
                <w:color w:val="FFFFFF"/>
                <w:sz w:val="19"/>
                <w:szCs w:val="19"/>
              </w:rPr>
              <w:t xml:space="preserve">Intérêt</w:t>
            </w:r>
          </w:p>
        </w:tc>
      </w:tr>
      <w:tr>
        <w:trPr>
          <w:cantSplit/>
        </w:trPr>
        <w:tc>
          <w:tcPr>
            <w:tcW w:type="dxa" w:w="52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Réservation en ligne avec calendrier de disponibilité</w:t>
            </w:r>
          </w:p>
        </w:tc>
        <w:tc>
          <w:tcPr>
            <w:tcW w:type="dxa" w:w="416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Réduire les échanges pour les courses simples</w:t>
            </w:r>
          </w:p>
        </w:tc>
      </w:tr>
      <w:tr>
        <w:trPr>
          <w:cantSplit/>
        </w:trPr>
        <w:tc>
          <w:tcPr>
            <w:tcW w:type="dxa" w:w="52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Paiement en ligne et acomptes (carte, mobile money)</w:t>
            </w:r>
          </w:p>
        </w:tc>
        <w:tc>
          <w:tcPr>
            <w:tcW w:type="dxa" w:w="416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Sécuriser les réservations</w:t>
            </w:r>
          </w:p>
        </w:tc>
      </w:tr>
      <w:tr>
        <w:trPr>
          <w:cantSplit/>
        </w:trPr>
        <w:tc>
          <w:tcPr>
            <w:tcW w:type="dxa" w:w="52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Espace client avec historique et factures</w:t>
            </w:r>
          </w:p>
        </w:tc>
        <w:tc>
          <w:tcPr>
            <w:tcW w:type="dxa" w:w="416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Fidéliser les clients corporate</w:t>
            </w:r>
          </w:p>
        </w:tc>
      </w:tr>
      <w:tr>
        <w:trPr>
          <w:cantSplit/>
        </w:trPr>
        <w:tc>
          <w:tcPr>
            <w:tcW w:type="dxa" w:w="52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Génération de devis en PDF depuis l'administration</w:t>
            </w:r>
          </w:p>
        </w:tc>
        <w:tc>
          <w:tcPr>
            <w:tcW w:type="dxa" w:w="416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Gagner du temps et uniformiser les réponses</w:t>
            </w:r>
          </w:p>
        </w:tc>
      </w:tr>
      <w:tr>
        <w:trPr>
          <w:cantSplit/>
        </w:trPr>
        <w:tc>
          <w:tcPr>
            <w:tcW w:type="dxa" w:w="52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Blog et guides de voyage</w:t>
            </w:r>
          </w:p>
        </w:tc>
        <w:tc>
          <w:tcPr>
            <w:tcW w:type="dxa" w:w="416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Renforcer le référencement</w:t>
            </w:r>
          </w:p>
        </w:tc>
      </w:tr>
      <w:tr>
        <w:trPr>
          <w:cantSplit/>
        </w:trPr>
        <w:tc>
          <w:tcPr>
            <w:tcW w:type="dxa" w:w="52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Mesure d'audience (Plausible ou Google Analytics)</w:t>
            </w:r>
          </w:p>
        </w:tc>
        <w:tc>
          <w:tcPr>
            <w:tcW w:type="dxa" w:w="416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Suivre les visites et les conversions</w:t>
            </w:r>
          </w:p>
        </w:tc>
      </w:tr>
      <w:tr>
        <w:trPr>
          <w:cantSplit/>
        </w:trPr>
        <w:tc>
          <w:tcPr>
            <w:tcW w:type="dxa" w:w="52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Notifications WhatsApp automatiques à l'équipe</w:t>
            </w:r>
          </w:p>
        </w:tc>
        <w:tc>
          <w:tcPr>
            <w:tcW w:type="dxa" w:w="416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Réagir plus vite aux demandes</w:t>
            </w:r>
          </w:p>
        </w:tc>
      </w:tr>
      <w:tr>
        <w:trPr>
          <w:cantSplit/>
        </w:trPr>
        <w:tc>
          <w:tcPr>
            <w:tcW w:type="dxa" w:w="52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Autres langues (par exemple allemand, italien, malgache)</w:t>
            </w:r>
          </w:p>
        </w:tc>
        <w:tc>
          <w:tcPr>
            <w:tcW w:type="dxa" w:w="416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Toucher davantage de voyageurs</w:t>
            </w:r>
          </w:p>
        </w:tc>
      </w:tr>
      <w:tr>
        <w:trPr>
          <w:cantSplit/>
        </w:trPr>
        <w:tc>
          <w:tcPr>
            <w:tcW w:type="dxa" w:w="52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Photos et vidéo professionnelles de la flotte et des chauffeurs</w:t>
            </w:r>
          </w:p>
        </w:tc>
        <w:tc>
          <w:tcPr>
            <w:tcW w:type="dxa" w:w="416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Améliorer fortement l'impact visuel</w:t>
            </w:r>
          </w:p>
        </w:tc>
      </w:tr>
    </w:tbl>
    <w:p>
      <w:pPr>
        <w:pStyle w:val="Heading1"/>
        <w:keepNext/>
        <w:pBdr>
          <w:bottom w:val="single" w:color="8AA4BD" w:sz="6" w:space="4"/>
        </w:pBdr>
        <w:spacing w:after="160" w:before="420"/>
      </w:pPr>
      <w:r>
        <w:rPr>
          <w:rFonts w:ascii="Georgia" w:cs="Georgia" w:eastAsia="Georgia" w:hAnsi="Georgia"/>
          <w:color w:val="0C2646"/>
          <w:sz w:val="34"/>
          <w:szCs w:val="34"/>
        </w:rPr>
        <w:t xml:space="preserve">18. Risques et hypothèses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2700"/>
        <w:gridCol w:w="3360"/>
      </w:tblGrid>
      <w:tr>
        <w:trPr>
          <w:tblHeader/>
        </w:trPr>
        <w:tc>
          <w:tcPr>
            <w:tcW w:type="dxa" w:w="3300"/>
            <w:tcBorders>
              <w:top w:val="single" w:color="C9D4E0" w:sz="4"/>
              <w:left w:val="single" w:color="C9D4E0" w:sz="4"/>
              <w:bottom w:val="single" w:color="C9D4E0" w:sz="4"/>
              <w:right w:val="single" w:color="C9D4E0" w:sz="4"/>
            </w:tcBorders>
            <w:shd w:fill="0C2646" w:color="auto" w:val="clear"/>
            <w:tcMar>
              <w:top w:type="dxa" w:w="70"/>
              <w:left w:type="dxa" w:w="110"/>
              <w:bottom w:type="dxa" w:w="70"/>
              <w:right w:type="dxa" w:w="110"/>
            </w:tcMar>
          </w:tcPr>
          <w:p>
            <w:pPr>
              <w:spacing w:after="30"/>
            </w:pPr>
            <w:r>
              <w:rPr>
                <w:rFonts w:ascii="Calibri" w:cs="Calibri" w:eastAsia="Calibri" w:hAnsi="Calibri"/>
                <w:b/>
                <w:bCs/>
                <w:color w:val="FFFFFF"/>
                <w:sz w:val="19"/>
                <w:szCs w:val="19"/>
              </w:rPr>
              <w:t xml:space="preserve">Risque ou hypothèse</w:t>
            </w:r>
          </w:p>
        </w:tc>
        <w:tc>
          <w:tcPr>
            <w:tcW w:type="dxa" w:w="2700"/>
            <w:tcBorders>
              <w:top w:val="single" w:color="C9D4E0" w:sz="4"/>
              <w:left w:val="single" w:color="C9D4E0" w:sz="4"/>
              <w:bottom w:val="single" w:color="C9D4E0" w:sz="4"/>
              <w:right w:val="single" w:color="C9D4E0" w:sz="4"/>
            </w:tcBorders>
            <w:shd w:fill="0C2646" w:color="auto" w:val="clear"/>
            <w:tcMar>
              <w:top w:type="dxa" w:w="70"/>
              <w:left w:type="dxa" w:w="110"/>
              <w:bottom w:type="dxa" w:w="70"/>
              <w:right w:type="dxa" w:w="110"/>
            </w:tcMar>
          </w:tcPr>
          <w:p>
            <w:pPr>
              <w:spacing w:after="30"/>
            </w:pPr>
            <w:r>
              <w:rPr>
                <w:rFonts w:ascii="Calibri" w:cs="Calibri" w:eastAsia="Calibri" w:hAnsi="Calibri"/>
                <w:b/>
                <w:bCs/>
                <w:color w:val="FFFFFF"/>
                <w:sz w:val="19"/>
                <w:szCs w:val="19"/>
              </w:rPr>
              <w:t xml:space="preserve">Effet</w:t>
            </w:r>
          </w:p>
        </w:tc>
        <w:tc>
          <w:tcPr>
            <w:tcW w:type="dxa" w:w="3360"/>
            <w:tcBorders>
              <w:top w:val="single" w:color="C9D4E0" w:sz="4"/>
              <w:left w:val="single" w:color="C9D4E0" w:sz="4"/>
              <w:bottom w:val="single" w:color="C9D4E0" w:sz="4"/>
              <w:right w:val="single" w:color="C9D4E0" w:sz="4"/>
            </w:tcBorders>
            <w:shd w:fill="0C2646" w:color="auto" w:val="clear"/>
            <w:tcMar>
              <w:top w:type="dxa" w:w="70"/>
              <w:left w:type="dxa" w:w="110"/>
              <w:bottom w:type="dxa" w:w="70"/>
              <w:right w:type="dxa" w:w="110"/>
            </w:tcMar>
          </w:tcPr>
          <w:p>
            <w:pPr>
              <w:spacing w:after="30"/>
            </w:pPr>
            <w:r>
              <w:rPr>
                <w:rFonts w:ascii="Calibri" w:cs="Calibri" w:eastAsia="Calibri" w:hAnsi="Calibri"/>
                <w:b/>
                <w:bCs/>
                <w:color w:val="FFFFFF"/>
                <w:sz w:val="19"/>
                <w:szCs w:val="19"/>
              </w:rPr>
              <w:t xml:space="preserve">Réponse</w:t>
            </w:r>
          </w:p>
        </w:tc>
      </w:tr>
      <w:tr>
        <w:trPr>
          <w:cantSplit/>
        </w:trPr>
        <w:tc>
          <w:tcPr>
            <w:tcW w:type="dxa" w:w="33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Photographies d'ambiance provisoires</w:t>
            </w:r>
          </w:p>
        </w:tc>
        <w:tc>
          <w:tcPr>
            <w:tcW w:type="dxa" w:w="27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Rendu moins premium</w:t>
            </w:r>
          </w:p>
        </w:tc>
        <w:tc>
          <w:tcPr>
            <w:tcW w:type="dxa" w:w="336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Séance photo professionnelle ou fourniture de visuels haute définition</w:t>
            </w:r>
          </w:p>
        </w:tc>
      </w:tr>
      <w:tr>
        <w:trPr>
          <w:cantSplit/>
        </w:trPr>
        <w:tc>
          <w:tcPr>
            <w:tcW w:type="dxa" w:w="33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Emails non configurés</w:t>
            </w:r>
          </w:p>
        </w:tc>
        <w:tc>
          <w:tcPr>
            <w:tcW w:type="dxa" w:w="27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Pas d'alerte immédiate à l'équipe</w:t>
            </w:r>
          </w:p>
        </w:tc>
        <w:tc>
          <w:tcPr>
            <w:tcW w:type="dxa" w:w="336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Renseigner les paramètres SMTP, vérifier les demandes dans l'administration en attendant</w:t>
            </w:r>
          </w:p>
        </w:tc>
      </w:tr>
      <w:tr>
        <w:trPr>
          <w:cantSplit/>
        </w:trPr>
        <w:tc>
          <w:tcPr>
            <w:tcW w:type="dxa" w:w="33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Mot de passe administrateur provisoire et très simple sur un site public</w:t>
            </w:r>
          </w:p>
        </w:tc>
        <w:tc>
          <w:tcPr>
            <w:tcW w:type="dxa" w:w="27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Accès non maîtrisé à l'administration</w:t>
            </w:r>
          </w:p>
        </w:tc>
        <w:tc>
          <w:tcPr>
            <w:tcW w:type="dxa" w:w="336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Le remplacer avant le lancement officiel, créer des comptes nominatifs ; la limitation des essais de connexion est en place</w:t>
            </w:r>
          </w:p>
        </w:tc>
      </w:tr>
      <w:tr>
        <w:trPr>
          <w:cantSplit/>
        </w:trPr>
        <w:tc>
          <w:tcPr>
            <w:tcW w:type="dxa" w:w="33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Traduction anglaise des contenus finaux rédigée sans validation</w:t>
            </w:r>
          </w:p>
        </w:tc>
        <w:tc>
          <w:tcPr>
            <w:tcW w:type="dxa" w:w="27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Terme ou ton inexact</w:t>
            </w:r>
          </w:p>
        </w:tc>
        <w:tc>
          <w:tcPr>
            <w:tcW w:type="dxa" w:w="336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Relecture par le client avant le lancement</w:t>
            </w:r>
          </w:p>
        </w:tc>
      </w:tr>
      <w:tr>
        <w:trPr>
          <w:cantSplit/>
        </w:trPr>
        <w:tc>
          <w:tcPr>
            <w:tcW w:type="dxa" w:w="33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Contenu saisi dans une seule langue depuis l'administration</w:t>
            </w:r>
          </w:p>
        </w:tc>
        <w:tc>
          <w:tcPr>
            <w:tcW w:type="dxa" w:w="27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Mélange de langues sur le site</w:t>
            </w:r>
          </w:p>
        </w:tc>
        <w:tc>
          <w:tcPr>
            <w:tcW w:type="dxa" w:w="336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Renseigner à chaque fois le français et l'anglais (onglets des fiches), relire les deux versions</w:t>
            </w:r>
          </w:p>
        </w:tc>
      </w:tr>
      <w:tr>
        <w:trPr>
          <w:cantSplit/>
        </w:trPr>
        <w:tc>
          <w:tcPr>
            <w:tcW w:type="dxa" w:w="33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Destination ajoutée dans l'administration sans coordonnées sur la carte</w:t>
            </w:r>
          </w:p>
        </w:tc>
        <w:tc>
          <w:tcPr>
            <w:tcW w:type="dxa" w:w="27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Repère placé au centre de l'île</w:t>
            </w:r>
          </w:p>
        </w:tc>
        <w:tc>
          <w:tcPr>
            <w:tcW w:type="dxa" w:w="336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Fournir la ville à ajouter ; ses coordonnées s'ajoutent à la liste des villes de la carte</w:t>
            </w:r>
          </w:p>
        </w:tc>
      </w:tr>
      <w:tr>
        <w:trPr>
          <w:cantSplit/>
        </w:trPr>
        <w:tc>
          <w:tcPr>
            <w:tcW w:type="dxa" w:w="33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Phrase « offres installation, offres vie quotidienne » de la conciergerie</w:t>
            </w:r>
          </w:p>
        </w:tc>
        <w:tc>
          <w:tcPr>
            <w:tcW w:type="dxa" w:w="27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Offres annoncées mais non détaillées</w:t>
            </w:r>
          </w:p>
        </w:tc>
        <w:tc>
          <w:tcPr>
            <w:tcW w:type="dxa" w:w="336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Fournir le détail pour créer des cartes d'offres, ou retirer la phrase</w:t>
            </w:r>
          </w:p>
        </w:tc>
      </w:tr>
      <w:tr>
        <w:trPr>
          <w:cantSplit/>
        </w:trPr>
        <w:tc>
          <w:tcPr>
            <w:tcW w:type="dxa" w:w="33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Secret de base de données exposé lors des échanges</w:t>
            </w:r>
          </w:p>
        </w:tc>
        <w:tc>
          <w:tcPr>
            <w:tcW w:type="dxa" w:w="27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Risque d'accès aux données</w:t>
            </w:r>
          </w:p>
        </w:tc>
        <w:tc>
          <w:tcPr>
            <w:tcW w:type="dxa" w:w="336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Renouveler le mot de passe Neon avant le lancement officiel et mettre à jour la variable sur Vercel</w:t>
            </w:r>
          </w:p>
        </w:tc>
      </w:tr>
      <w:tr>
        <w:trPr>
          <w:cantSplit/>
        </w:trPr>
        <w:tc>
          <w:tcPr>
            <w:tcW w:type="dxa" w:w="33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Pas de nom de domaine propre</w:t>
            </w:r>
          </w:p>
        </w:tc>
        <w:tc>
          <w:tcPr>
            <w:tcW w:type="dxa" w:w="27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Adresse en vercel.app, moins crédible</w:t>
            </w:r>
          </w:p>
        </w:tc>
        <w:tc>
          <w:tcPr>
            <w:tcW w:type="dxa" w:w="336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Acheter un domaine, le brancher sur Vercel, mettre à jour SITE_URL</w:t>
            </w:r>
          </w:p>
        </w:tc>
      </w:tr>
      <w:tr>
        <w:trPr>
          <w:cantSplit/>
        </w:trPr>
        <w:tc>
          <w:tcPr>
            <w:tcW w:type="dxa" w:w="33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Pages légales absentes</w:t>
            </w:r>
          </w:p>
        </w:tc>
        <w:tc>
          <w:tcPr>
            <w:tcW w:type="dxa" w:w="27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Non-conformité</w:t>
            </w:r>
          </w:p>
        </w:tc>
        <w:tc>
          <w:tcPr>
            <w:tcW w:type="dxa" w:w="336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Fournir ou rédiger mentions légales et politique de confidentialité</w:t>
            </w:r>
          </w:p>
        </w:tc>
      </w:tr>
      <w:tr>
        <w:trPr>
          <w:cantSplit/>
        </w:trPr>
        <w:tc>
          <w:tcPr>
            <w:tcW w:type="dxa" w:w="33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Hypothèse : trafic modéré au lancement</w:t>
            </w:r>
          </w:p>
        </w:tc>
        <w:tc>
          <w:tcPr>
            <w:tcW w:type="dxa" w:w="27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Offre gratuite d'hébergement suffisante</w:t>
            </w:r>
          </w:p>
        </w:tc>
        <w:tc>
          <w:tcPr>
            <w:tcW w:type="dxa" w:w="336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Passer à une offre supérieure si nécessaire</w:t>
            </w:r>
          </w:p>
        </w:tc>
      </w:tr>
    </w:tbl>
    <w:p>
      <w:pPr>
        <w:pStyle w:val="Heading1"/>
        <w:keepNext/>
        <w:pBdr>
          <w:bottom w:val="single" w:color="8AA4BD" w:sz="6" w:space="4"/>
        </w:pBdr>
        <w:spacing w:after="160" w:before="420"/>
      </w:pPr>
      <w:r>
        <w:rPr>
          <w:rFonts w:ascii="Georgia" w:cs="Georgia" w:eastAsia="Georgia" w:hAnsi="Georgia"/>
          <w:color w:val="0C2646"/>
          <w:sz w:val="34"/>
          <w:szCs w:val="34"/>
        </w:rPr>
        <w:t xml:space="preserve">19.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D4E0" w:sz="4"/>
              <w:left w:val="single" w:color="C9D4E0" w:sz="4"/>
              <w:bottom w:val="single" w:color="C9D4E0" w:sz="4"/>
              <w:right w:val="single" w:color="C9D4E0" w:sz="4"/>
            </w:tcBorders>
            <w:shd w:fill="0C2646" w:color="auto" w:val="clear"/>
            <w:tcMar>
              <w:top w:type="dxa" w:w="70"/>
              <w:left w:type="dxa" w:w="110"/>
              <w:bottom w:type="dxa" w:w="70"/>
              <w:right w:type="dxa" w:w="110"/>
            </w:tcMar>
          </w:tcPr>
          <w:p>
            <w:pPr>
              <w:spacing w:after="30"/>
            </w:pPr>
            <w:r>
              <w:rPr>
                <w:rFonts w:ascii="Calibri" w:cs="Calibri" w:eastAsia="Calibri" w:hAnsi="Calibri"/>
                <w:b/>
                <w:bCs/>
                <w:color w:val="FFFFFF"/>
                <w:sz w:val="19"/>
                <w:szCs w:val="19"/>
              </w:rPr>
              <w:t xml:space="preserve">Terme</w:t>
            </w:r>
          </w:p>
        </w:tc>
        <w:tc>
          <w:tcPr>
            <w:tcW w:type="dxa" w:w="6760"/>
            <w:tcBorders>
              <w:top w:val="single" w:color="C9D4E0" w:sz="4"/>
              <w:left w:val="single" w:color="C9D4E0" w:sz="4"/>
              <w:bottom w:val="single" w:color="C9D4E0" w:sz="4"/>
              <w:right w:val="single" w:color="C9D4E0" w:sz="4"/>
            </w:tcBorders>
            <w:shd w:fill="0C2646" w:color="auto" w:val="clear"/>
            <w:tcMar>
              <w:top w:type="dxa" w:w="70"/>
              <w:left w:type="dxa" w:w="110"/>
              <w:bottom w:type="dxa" w:w="70"/>
              <w:right w:type="dxa" w:w="110"/>
            </w:tcMar>
          </w:tcPr>
          <w:p>
            <w:pPr>
              <w:spacing w:after="30"/>
            </w:pPr>
            <w:r>
              <w:rPr>
                <w:rFonts w:ascii="Calibri" w:cs="Calibri" w:eastAsia="Calibri" w:hAnsi="Calibri"/>
                <w:b/>
                <w:bCs/>
                <w:color w:val="FFFFFF"/>
                <w:sz w:val="19"/>
                <w:szCs w:val="19"/>
              </w:rPr>
              <w:t xml:space="preserve">Définition</w:t>
            </w:r>
          </w:p>
        </w:tc>
      </w:tr>
      <w:tr>
        <w:trPr>
          <w:cantSplit/>
        </w:trPr>
        <w:tc>
          <w:tcPr>
            <w:tcW w:type="dxa" w:w="26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Hero</w:t>
            </w:r>
          </w:p>
        </w:tc>
        <w:tc>
          <w:tcPr>
            <w:tcW w:type="dxa" w:w="676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Grande image d'ouverture en haut de la page d'accueil</w:t>
            </w:r>
          </w:p>
        </w:tc>
      </w:tr>
      <w:tr>
        <w:trPr>
          <w:cantSplit/>
        </w:trPr>
        <w:tc>
          <w:tcPr>
            <w:tcW w:type="dxa" w:w="26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Tuile</w:t>
            </w:r>
          </w:p>
        </w:tc>
        <w:tc>
          <w:tcPr>
            <w:tcW w:type="dxa" w:w="676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Bloc rectangulaire de la page d'accueil (services numérotés, flotte, à propos)</w:t>
            </w:r>
          </w:p>
        </w:tc>
      </w:tr>
      <w:tr>
        <w:trPr>
          <w:cantSplit/>
        </w:trPr>
        <w:tc>
          <w:tcPr>
            <w:tcW w:type="dxa" w:w="26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Service à part</w:t>
            </w:r>
          </w:p>
        </w:tc>
        <w:tc>
          <w:tcPr>
            <w:tcW w:type="dxa" w:w="676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Service présenté en dehors de la numérotation et dans son propre bloc (conciergerie privée VIP)</w:t>
            </w:r>
          </w:p>
        </w:tc>
      </w:tr>
      <w:tr>
        <w:trPr>
          <w:cantSplit/>
        </w:trPr>
        <w:tc>
          <w:tcPr>
            <w:tcW w:type="dxa" w:w="26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Détourage</w:t>
            </w:r>
          </w:p>
        </w:tc>
        <w:tc>
          <w:tcPr>
            <w:tcW w:type="dxa" w:w="676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Photo d'un véhicule dont le fond a été supprimé (fond transparent), pour le poser sur n'importe quelle couleur</w:t>
            </w:r>
          </w:p>
        </w:tc>
      </w:tr>
      <w:tr>
        <w:trPr>
          <w:cantSplit/>
        </w:trPr>
        <w:tc>
          <w:tcPr>
            <w:tcW w:type="dxa" w:w="26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Migration</w:t>
            </w:r>
          </w:p>
        </w:tc>
        <w:tc>
          <w:tcPr>
            <w:tcW w:type="dxa" w:w="676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Mise à jour de la base de données appliquée une seule fois</w:t>
            </w:r>
          </w:p>
        </w:tc>
      </w:tr>
      <w:tr>
        <w:trPr>
          <w:cantSplit/>
        </w:trPr>
        <w:tc>
          <w:tcPr>
            <w:tcW w:type="dxa" w:w="26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Sprint</w:t>
            </w:r>
          </w:p>
        </w:tc>
        <w:tc>
          <w:tcPr>
            <w:tcW w:type="dxa" w:w="676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Période de travail Scrum au bout de laquelle une partie du site est livrée</w:t>
            </w:r>
          </w:p>
        </w:tc>
      </w:tr>
      <w:tr>
        <w:trPr>
          <w:cantSplit/>
        </w:trPr>
        <w:tc>
          <w:tcPr>
            <w:tcW w:type="dxa" w:w="26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Backlog</w:t>
            </w:r>
          </w:p>
        </w:tc>
        <w:tc>
          <w:tcPr>
            <w:tcW w:type="dxa" w:w="676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Liste priorisée de tout ce qui doit être réalisé</w:t>
            </w:r>
          </w:p>
        </w:tc>
      </w:tr>
      <w:tr>
        <w:trPr>
          <w:cantSplit/>
        </w:trPr>
        <w:tc>
          <w:tcPr>
            <w:tcW w:type="dxa" w:w="26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CRUD</w:t>
            </w:r>
          </w:p>
        </w:tc>
        <w:tc>
          <w:tcPr>
            <w:tcW w:type="dxa" w:w="676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Créer, lire, modifier, supprimer : les quatre actions de gestion d'un contenu</w:t>
            </w:r>
          </w:p>
        </w:tc>
      </w:tr>
      <w:tr>
        <w:trPr>
          <w:cantSplit/>
        </w:trPr>
        <w:tc>
          <w:tcPr>
            <w:tcW w:type="dxa" w:w="26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SEO</w:t>
            </w:r>
          </w:p>
        </w:tc>
        <w:tc>
          <w:tcPr>
            <w:tcW w:type="dxa" w:w="676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Référencement naturel : être bien placé dans les moteurs de recherche</w:t>
            </w:r>
          </w:p>
        </w:tc>
      </w:tr>
      <w:tr>
        <w:trPr>
          <w:cantSplit/>
        </w:trPr>
        <w:tc>
          <w:tcPr>
            <w:tcW w:type="dxa" w:w="26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hreflang</w:t>
            </w:r>
          </w:p>
        </w:tc>
        <w:tc>
          <w:tcPr>
            <w:tcW w:type="dxa" w:w="676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Balise qui indique aux moteurs de recherche les versions d'une page dans d'autres langues</w:t>
            </w:r>
          </w:p>
        </w:tc>
      </w:tr>
      <w:tr>
        <w:trPr>
          <w:cantSplit/>
        </w:trPr>
        <w:tc>
          <w:tcPr>
            <w:tcW w:type="dxa" w:w="26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SMTP</w:t>
            </w:r>
          </w:p>
        </w:tc>
        <w:tc>
          <w:tcPr>
            <w:tcW w:type="dxa" w:w="676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Protocole d'envoi d'emails</w:t>
            </w:r>
          </w:p>
        </w:tc>
      </w:tr>
      <w:tr>
        <w:trPr>
          <w:cantSplit/>
        </w:trPr>
        <w:tc>
          <w:tcPr>
            <w:tcW w:type="dxa" w:w="260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SVG</w:t>
            </w:r>
          </w:p>
        </w:tc>
        <w:tc>
          <w:tcPr>
            <w:tcW w:type="dxa" w:w="6760"/>
            <w:tcBorders>
              <w:top w:val="single" w:color="C9D4E0" w:sz="4"/>
              <w:left w:val="single" w:color="C9D4E0" w:sz="4"/>
              <w:bottom w:val="single" w:color="C9D4E0" w:sz="4"/>
              <w:right w:val="single" w:color="C9D4E0" w:sz="4"/>
            </w:tcBorders>
            <w:shd w:fill="EEF2F7" w:color="auto" w:val="clear"/>
            <w:tcMar>
              <w:top w:type="dxa" w:w="70"/>
              <w:left w:type="dxa" w:w="110"/>
              <w:bottom w:type="dxa" w:w="70"/>
              <w:right w:type="dxa" w:w="110"/>
            </w:tcMar>
          </w:tcPr>
          <w:p>
            <w:pPr>
              <w:spacing w:after="30"/>
            </w:pPr>
            <w:r>
              <w:rPr>
                <w:rFonts w:ascii="Calibri" w:cs="Calibri" w:eastAsia="Calibri" w:hAnsi="Calibri"/>
                <w:color w:val="222B36"/>
                <w:sz w:val="19"/>
                <w:szCs w:val="19"/>
              </w:rPr>
              <w:t xml:space="preserve">Format d'image vectorielle, net à toutes les tailles</w:t>
            </w:r>
          </w:p>
        </w:tc>
      </w:tr>
      <w:tr>
        <w:trPr>
          <w:cantSplit/>
        </w:trPr>
        <w:tc>
          <w:tcPr>
            <w:tcW w:type="dxa" w:w="260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Tonga soa / Misaotra</w:t>
            </w:r>
          </w:p>
        </w:tc>
        <w:tc>
          <w:tcPr>
            <w:tcW w:type="dxa" w:w="6760"/>
            <w:tcBorders>
              <w:top w:val="single" w:color="C9D4E0" w:sz="4"/>
              <w:left w:val="single" w:color="C9D4E0" w:sz="4"/>
              <w:bottom w:val="single" w:color="C9D4E0" w:sz="4"/>
              <w:right w:val="single" w:color="C9D4E0" w:sz="4"/>
            </w:tcBorders>
            <w:tcMar>
              <w:top w:type="dxa" w:w="70"/>
              <w:left w:type="dxa" w:w="110"/>
              <w:bottom w:type="dxa" w:w="70"/>
              <w:right w:type="dxa" w:w="110"/>
            </w:tcMar>
          </w:tcPr>
          <w:p>
            <w:pPr>
              <w:spacing w:after="30"/>
            </w:pPr>
            <w:r>
              <w:rPr>
                <w:rFonts w:ascii="Calibri" w:cs="Calibri" w:eastAsia="Calibri" w:hAnsi="Calibri"/>
                <w:color w:val="222B36"/>
                <w:sz w:val="19"/>
                <w:szCs w:val="19"/>
              </w:rPr>
              <w:t xml:space="preserve">Bienvenue / Merci, en malgache</w:t>
            </w:r>
          </w:p>
        </w:tc>
      </w:tr>
    </w:tbl>
    <w:sectPr>
      <w:headerReference w:type="default" r:id="rId6"/>
      <w:footerReference w:type="default" r:id="rId7"/>
      <w:pgSz w:w="11906" w:h="16838" w:orient="portrait"/>
      <w:pgMar w:top="1300" w:right="1273" w:bottom="1200" w:left="1273"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7D"/>
        <w:sz w:val="17"/>
        <w:szCs w:val="17"/>
      </w:rPr>
      <w:t xml:space="preserve">Page </w:t>
    </w:r>
    <w:r>
      <w:rPr>
        <w:rFonts w:ascii="Calibri" w:cs="Calibri" w:eastAsia="Calibri" w:hAnsi="Calibri"/>
        <w:color w:val="5B6B7D"/>
        <w:sz w:val="17"/>
        <w:szCs w:val="17"/>
      </w:rPr>
      <w:fldChar w:fldCharType="begin"/>
      <w:instrText xml:space="preserve">PAGE</w:instrText>
      <w:fldChar w:fldCharType="separate"/>
      <w:fldChar w:fldCharType="end"/>
    </w:r>
    <w:r>
      <w:rPr>
        <w:rFonts w:ascii="Calibri" w:cs="Calibri" w:eastAsia="Calibri" w:hAnsi="Calibri"/>
        <w:color w:val="5B6B7D"/>
        <w:sz w:val="17"/>
        <w:szCs w:val="17"/>
      </w:rPr>
      <w:t xml:space="preserve"> / </w:t>
    </w:r>
    <w:r>
      <w:rPr>
        <w:rFonts w:ascii="Calibri" w:cs="Calibri" w:eastAsia="Calibri" w:hAnsi="Calibri"/>
        <w:color w:val="5B6B7D"/>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6B7D"/>
        <w:sz w:val="17"/>
        <w:szCs w:val="17"/>
      </w:rPr>
      <w:t xml:space="preserve">TS EXCLUSIVE · Cahier des charges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rPr>
        <w:color w:val="8AA4BD"/>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TS EXCLUSIVE</dc:title>
  <dc:creator>TS EXCLUSIVE</dc:creator>
  <dc:description>Site web vitrine et espace de gestion</dc:description>
  <cp:lastModifiedBy>Un-named</cp:lastModifiedBy>
  <cp:revision>1</cp:revision>
  <dcterms:created xsi:type="dcterms:W3CDTF">2026-10-13T08:22:53.030Z</dcterms:created>
  <dcterms:modified xsi:type="dcterms:W3CDTF">2026-10-13T08:22:53.045Z</dcterms:modified>
</cp:coreProperties>
</file>

<file path=docProps/custom.xml><?xml version="1.0" encoding="utf-8"?>
<Properties xmlns="http://schemas.openxmlformats.org/officeDocument/2006/custom-properties" xmlns:vt="http://schemas.openxmlformats.org/officeDocument/2006/docPropsVTypes"/>
</file>