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E98" w:rsidRDefault="00476E98" w:rsidP="00476E98">
      <w:pPr>
        <w:pStyle w:val="1"/>
      </w:pPr>
      <w:r>
        <w:t>СОДЕРЖАНИЕ</w:t>
      </w:r>
    </w:p>
    <w:p w:rsidR="00476E98" w:rsidRPr="00476E98" w:rsidRDefault="00476E98" w:rsidP="00476E98">
      <w:pPr>
        <w:pStyle w:val="11"/>
        <w:tabs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</w:rPr>
      </w:pPr>
      <w:r w:rsidRPr="00476E98">
        <w:rPr>
          <w:rFonts w:ascii="Times New Roman" w:hAnsi="Times New Roman" w:cs="Times New Roman"/>
          <w:sz w:val="28"/>
          <w:lang w:val="ru-RU"/>
        </w:rPr>
        <w:fldChar w:fldCharType="begin"/>
      </w:r>
      <w:r w:rsidRPr="00476E98">
        <w:rPr>
          <w:rFonts w:ascii="Times New Roman" w:hAnsi="Times New Roman" w:cs="Times New Roman"/>
          <w:sz w:val="28"/>
          <w:lang w:val="ru-RU"/>
        </w:rPr>
        <w:instrText xml:space="preserve"> TOC \o "1-2" \h \z \u </w:instrText>
      </w:r>
      <w:r w:rsidRPr="00476E98">
        <w:rPr>
          <w:rFonts w:ascii="Times New Roman" w:hAnsi="Times New Roman" w:cs="Times New Roman"/>
          <w:sz w:val="28"/>
          <w:lang w:val="ru-RU"/>
        </w:rPr>
        <w:fldChar w:fldCharType="separate"/>
      </w:r>
      <w:hyperlink w:anchor="_Toc434591929" w:history="1">
        <w:r w:rsidRPr="00476E98">
          <w:rPr>
            <w:rStyle w:val="af"/>
            <w:rFonts w:ascii="Times New Roman" w:hAnsi="Times New Roman" w:cs="Times New Roman"/>
            <w:noProof/>
            <w:sz w:val="28"/>
          </w:rPr>
          <w:t>ВВЕДЕНИЕ</w:t>
        </w:r>
        <w:r w:rsidRPr="00476E98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476E98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476E98">
          <w:rPr>
            <w:rFonts w:ascii="Times New Roman" w:hAnsi="Times New Roman" w:cs="Times New Roman"/>
            <w:noProof/>
            <w:webHidden/>
            <w:sz w:val="28"/>
          </w:rPr>
          <w:instrText xml:space="preserve"> PAGEREF _Toc434591929 \h </w:instrText>
        </w:r>
        <w:r w:rsidRPr="00476E98">
          <w:rPr>
            <w:rFonts w:ascii="Times New Roman" w:hAnsi="Times New Roman" w:cs="Times New Roman"/>
            <w:noProof/>
            <w:webHidden/>
            <w:sz w:val="28"/>
          </w:rPr>
        </w:r>
        <w:r w:rsidRPr="00476E98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B35009">
          <w:rPr>
            <w:rFonts w:ascii="Times New Roman" w:hAnsi="Times New Roman" w:cs="Times New Roman"/>
            <w:noProof/>
            <w:webHidden/>
            <w:sz w:val="28"/>
          </w:rPr>
          <w:t>3</w:t>
        </w:r>
        <w:r w:rsidRPr="00476E98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476E98" w:rsidRPr="00476E98" w:rsidRDefault="00476E98" w:rsidP="00476E98">
      <w:pPr>
        <w:pStyle w:val="11"/>
        <w:tabs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</w:rPr>
      </w:pPr>
      <w:hyperlink w:anchor="_Toc434591930" w:history="1">
        <w:r w:rsidRPr="00476E98">
          <w:rPr>
            <w:rStyle w:val="af"/>
            <w:rFonts w:ascii="Times New Roman" w:hAnsi="Times New Roman" w:cs="Times New Roman"/>
            <w:noProof/>
            <w:sz w:val="28"/>
          </w:rPr>
          <w:t>1. СОВРЕМЕННОЕ СОСТОЯНИЕ И ПРОБЛЕМЫ РОССИЙСКОГО ФИНАНСОВОГО РЫНКА</w:t>
        </w:r>
        <w:r w:rsidRPr="00476E98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476E98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476E98">
          <w:rPr>
            <w:rFonts w:ascii="Times New Roman" w:hAnsi="Times New Roman" w:cs="Times New Roman"/>
            <w:noProof/>
            <w:webHidden/>
            <w:sz w:val="28"/>
          </w:rPr>
          <w:instrText xml:space="preserve"> PAGEREF _Toc434591930 \h </w:instrText>
        </w:r>
        <w:r w:rsidRPr="00476E98">
          <w:rPr>
            <w:rFonts w:ascii="Times New Roman" w:hAnsi="Times New Roman" w:cs="Times New Roman"/>
            <w:noProof/>
            <w:webHidden/>
            <w:sz w:val="28"/>
          </w:rPr>
        </w:r>
        <w:r w:rsidRPr="00476E98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B35009">
          <w:rPr>
            <w:rFonts w:ascii="Times New Roman" w:hAnsi="Times New Roman" w:cs="Times New Roman"/>
            <w:noProof/>
            <w:webHidden/>
            <w:sz w:val="28"/>
          </w:rPr>
          <w:t>4</w:t>
        </w:r>
        <w:r w:rsidRPr="00476E98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476E98" w:rsidRPr="00476E98" w:rsidRDefault="00476E98" w:rsidP="00476E98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</w:rPr>
      </w:pPr>
      <w:hyperlink w:anchor="_Toc434591931" w:history="1">
        <w:r w:rsidRPr="00476E98">
          <w:rPr>
            <w:rStyle w:val="af"/>
            <w:rFonts w:ascii="Times New Roman" w:hAnsi="Times New Roman" w:cs="Times New Roman"/>
            <w:noProof/>
            <w:sz w:val="28"/>
          </w:rPr>
          <w:t>1.1. Современное состояние и проблемы рынка ценных бумаг РФ</w:t>
        </w:r>
        <w:r w:rsidRPr="00476E98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476E98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476E98">
          <w:rPr>
            <w:rFonts w:ascii="Times New Roman" w:hAnsi="Times New Roman" w:cs="Times New Roman"/>
            <w:noProof/>
            <w:webHidden/>
            <w:sz w:val="28"/>
          </w:rPr>
          <w:instrText xml:space="preserve"> PAGEREF _Toc434591931 \h </w:instrText>
        </w:r>
        <w:r w:rsidRPr="00476E98">
          <w:rPr>
            <w:rFonts w:ascii="Times New Roman" w:hAnsi="Times New Roman" w:cs="Times New Roman"/>
            <w:noProof/>
            <w:webHidden/>
            <w:sz w:val="28"/>
          </w:rPr>
        </w:r>
        <w:r w:rsidRPr="00476E98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B35009">
          <w:rPr>
            <w:rFonts w:ascii="Times New Roman" w:hAnsi="Times New Roman" w:cs="Times New Roman"/>
            <w:noProof/>
            <w:webHidden/>
            <w:sz w:val="28"/>
          </w:rPr>
          <w:t>4</w:t>
        </w:r>
        <w:r w:rsidRPr="00476E98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476E98" w:rsidRPr="00476E98" w:rsidRDefault="00476E98" w:rsidP="00476E98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</w:rPr>
      </w:pPr>
      <w:hyperlink w:anchor="_Toc434591932" w:history="1">
        <w:r w:rsidRPr="00476E98">
          <w:rPr>
            <w:rStyle w:val="af"/>
            <w:rFonts w:ascii="Times New Roman" w:hAnsi="Times New Roman" w:cs="Times New Roman"/>
            <w:noProof/>
            <w:sz w:val="28"/>
          </w:rPr>
          <w:t>1.2. Современное состояние и проблемы кредитного рынка РФ</w:t>
        </w:r>
        <w:r w:rsidRPr="00476E98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476E98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476E98">
          <w:rPr>
            <w:rFonts w:ascii="Times New Roman" w:hAnsi="Times New Roman" w:cs="Times New Roman"/>
            <w:noProof/>
            <w:webHidden/>
            <w:sz w:val="28"/>
          </w:rPr>
          <w:instrText xml:space="preserve"> PAGEREF _Toc434591932 \h </w:instrText>
        </w:r>
        <w:r w:rsidRPr="00476E98">
          <w:rPr>
            <w:rFonts w:ascii="Times New Roman" w:hAnsi="Times New Roman" w:cs="Times New Roman"/>
            <w:noProof/>
            <w:webHidden/>
            <w:sz w:val="28"/>
          </w:rPr>
        </w:r>
        <w:r w:rsidRPr="00476E98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B35009">
          <w:rPr>
            <w:rFonts w:ascii="Times New Roman" w:hAnsi="Times New Roman" w:cs="Times New Roman"/>
            <w:noProof/>
            <w:webHidden/>
            <w:sz w:val="28"/>
          </w:rPr>
          <w:t>11</w:t>
        </w:r>
        <w:r w:rsidRPr="00476E98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476E98" w:rsidRPr="00476E98" w:rsidRDefault="00476E98" w:rsidP="00476E98">
      <w:pPr>
        <w:pStyle w:val="21"/>
        <w:tabs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</w:rPr>
      </w:pPr>
      <w:hyperlink w:anchor="_Toc434591933" w:history="1">
        <w:r w:rsidRPr="00476E98">
          <w:rPr>
            <w:rStyle w:val="af"/>
            <w:rFonts w:ascii="Times New Roman" w:hAnsi="Times New Roman" w:cs="Times New Roman"/>
            <w:noProof/>
            <w:sz w:val="28"/>
          </w:rPr>
          <w:t>1.3. Современное состояние и проблемы страхового рынка РФ</w:t>
        </w:r>
        <w:r w:rsidRPr="00476E98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476E98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476E98">
          <w:rPr>
            <w:rFonts w:ascii="Times New Roman" w:hAnsi="Times New Roman" w:cs="Times New Roman"/>
            <w:noProof/>
            <w:webHidden/>
            <w:sz w:val="28"/>
          </w:rPr>
          <w:instrText xml:space="preserve"> PAGEREF _Toc434591933 \h </w:instrText>
        </w:r>
        <w:r w:rsidRPr="00476E98">
          <w:rPr>
            <w:rFonts w:ascii="Times New Roman" w:hAnsi="Times New Roman" w:cs="Times New Roman"/>
            <w:noProof/>
            <w:webHidden/>
            <w:sz w:val="28"/>
          </w:rPr>
        </w:r>
        <w:r w:rsidRPr="00476E98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B35009">
          <w:rPr>
            <w:rFonts w:ascii="Times New Roman" w:hAnsi="Times New Roman" w:cs="Times New Roman"/>
            <w:noProof/>
            <w:webHidden/>
            <w:sz w:val="28"/>
          </w:rPr>
          <w:t>13</w:t>
        </w:r>
        <w:r w:rsidRPr="00476E98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476E98" w:rsidRPr="00476E98" w:rsidRDefault="00476E98" w:rsidP="00476E98">
      <w:pPr>
        <w:pStyle w:val="11"/>
        <w:tabs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</w:rPr>
      </w:pPr>
      <w:hyperlink w:anchor="_Toc434591934" w:history="1">
        <w:r w:rsidRPr="00476E98">
          <w:rPr>
            <w:rStyle w:val="af"/>
            <w:rFonts w:ascii="Times New Roman" w:hAnsi="Times New Roman" w:cs="Times New Roman"/>
            <w:noProof/>
            <w:sz w:val="28"/>
          </w:rPr>
          <w:t>2. ПЕРСПЕКТИВЫ РАЗВИТИЯ</w:t>
        </w:r>
        <w:r>
          <w:rPr>
            <w:rStyle w:val="af"/>
            <w:rFonts w:ascii="Times New Roman" w:hAnsi="Times New Roman" w:cs="Times New Roman"/>
            <w:noProof/>
            <w:sz w:val="28"/>
            <w:lang w:val="ru-RU"/>
          </w:rPr>
          <w:br/>
        </w:r>
        <w:r w:rsidRPr="00476E98">
          <w:rPr>
            <w:rStyle w:val="af"/>
            <w:rFonts w:ascii="Times New Roman" w:hAnsi="Times New Roman" w:cs="Times New Roman"/>
            <w:noProof/>
            <w:sz w:val="28"/>
          </w:rPr>
          <w:t>РОССИЙСКОГО ФИНАНСОВОГО РЫНКА</w:t>
        </w:r>
        <w:r w:rsidRPr="00476E98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476E98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476E98">
          <w:rPr>
            <w:rFonts w:ascii="Times New Roman" w:hAnsi="Times New Roman" w:cs="Times New Roman"/>
            <w:noProof/>
            <w:webHidden/>
            <w:sz w:val="28"/>
          </w:rPr>
          <w:instrText xml:space="preserve"> PAGEREF _Toc434591934 \h </w:instrText>
        </w:r>
        <w:r w:rsidRPr="00476E98">
          <w:rPr>
            <w:rFonts w:ascii="Times New Roman" w:hAnsi="Times New Roman" w:cs="Times New Roman"/>
            <w:noProof/>
            <w:webHidden/>
            <w:sz w:val="28"/>
          </w:rPr>
        </w:r>
        <w:r w:rsidRPr="00476E98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B35009">
          <w:rPr>
            <w:rFonts w:ascii="Times New Roman" w:hAnsi="Times New Roman" w:cs="Times New Roman"/>
            <w:noProof/>
            <w:webHidden/>
            <w:sz w:val="28"/>
          </w:rPr>
          <w:t>15</w:t>
        </w:r>
        <w:r w:rsidRPr="00476E98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476E98" w:rsidRPr="00476E98" w:rsidRDefault="00476E98" w:rsidP="00476E98">
      <w:pPr>
        <w:pStyle w:val="11"/>
        <w:tabs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</w:rPr>
      </w:pPr>
      <w:hyperlink w:anchor="_Toc434591935" w:history="1">
        <w:r w:rsidRPr="00476E98">
          <w:rPr>
            <w:rStyle w:val="af"/>
            <w:rFonts w:ascii="Times New Roman" w:hAnsi="Times New Roman" w:cs="Times New Roman"/>
            <w:noProof/>
            <w:sz w:val="28"/>
          </w:rPr>
          <w:t>ЗАКЛЮЧЕНИЕ</w:t>
        </w:r>
        <w:r w:rsidRPr="00476E98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476E98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476E98">
          <w:rPr>
            <w:rFonts w:ascii="Times New Roman" w:hAnsi="Times New Roman" w:cs="Times New Roman"/>
            <w:noProof/>
            <w:webHidden/>
            <w:sz w:val="28"/>
          </w:rPr>
          <w:instrText xml:space="preserve"> PAGEREF _Toc434591935 \h </w:instrText>
        </w:r>
        <w:r w:rsidRPr="00476E98">
          <w:rPr>
            <w:rFonts w:ascii="Times New Roman" w:hAnsi="Times New Roman" w:cs="Times New Roman"/>
            <w:noProof/>
            <w:webHidden/>
            <w:sz w:val="28"/>
          </w:rPr>
        </w:r>
        <w:r w:rsidRPr="00476E98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B35009">
          <w:rPr>
            <w:rFonts w:ascii="Times New Roman" w:hAnsi="Times New Roman" w:cs="Times New Roman"/>
            <w:noProof/>
            <w:webHidden/>
            <w:sz w:val="28"/>
          </w:rPr>
          <w:t>19</w:t>
        </w:r>
        <w:r w:rsidRPr="00476E98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476E98" w:rsidRPr="00476E98" w:rsidRDefault="00476E98" w:rsidP="00476E98">
      <w:pPr>
        <w:pStyle w:val="11"/>
        <w:tabs>
          <w:tab w:val="right" w:leader="dot" w:pos="9344"/>
        </w:tabs>
        <w:spacing w:line="360" w:lineRule="auto"/>
        <w:rPr>
          <w:rFonts w:ascii="Times New Roman" w:hAnsi="Times New Roman" w:cs="Times New Roman"/>
          <w:noProof/>
          <w:sz w:val="28"/>
        </w:rPr>
      </w:pPr>
      <w:hyperlink w:anchor="_Toc434591936" w:history="1">
        <w:r w:rsidRPr="00476E98">
          <w:rPr>
            <w:rStyle w:val="af"/>
            <w:rFonts w:ascii="Times New Roman" w:hAnsi="Times New Roman" w:cs="Times New Roman"/>
            <w:noProof/>
            <w:sz w:val="28"/>
          </w:rPr>
          <w:t>СПИСОК ИСПОЛЬЗОВАННОЙ ЛИТЕРАТУРЫ</w:t>
        </w:r>
        <w:r w:rsidRPr="00476E98">
          <w:rPr>
            <w:rFonts w:ascii="Times New Roman" w:hAnsi="Times New Roman" w:cs="Times New Roman"/>
            <w:noProof/>
            <w:webHidden/>
            <w:sz w:val="28"/>
          </w:rPr>
          <w:tab/>
        </w:r>
        <w:r w:rsidRPr="00476E98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476E98">
          <w:rPr>
            <w:rFonts w:ascii="Times New Roman" w:hAnsi="Times New Roman" w:cs="Times New Roman"/>
            <w:noProof/>
            <w:webHidden/>
            <w:sz w:val="28"/>
          </w:rPr>
          <w:instrText xml:space="preserve"> PAGEREF _Toc434591936 \h </w:instrText>
        </w:r>
        <w:r w:rsidRPr="00476E98">
          <w:rPr>
            <w:rFonts w:ascii="Times New Roman" w:hAnsi="Times New Roman" w:cs="Times New Roman"/>
            <w:noProof/>
            <w:webHidden/>
            <w:sz w:val="28"/>
          </w:rPr>
        </w:r>
        <w:r w:rsidRPr="00476E98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B35009">
          <w:rPr>
            <w:rFonts w:ascii="Times New Roman" w:hAnsi="Times New Roman" w:cs="Times New Roman"/>
            <w:noProof/>
            <w:webHidden/>
            <w:sz w:val="28"/>
          </w:rPr>
          <w:t>21</w:t>
        </w:r>
        <w:r w:rsidRPr="00476E98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:rsidR="00476E98" w:rsidRDefault="00476E98" w:rsidP="00476E98">
      <w:pPr>
        <w:spacing w:line="360" w:lineRule="auto"/>
        <w:rPr>
          <w:lang w:val="ru-RU"/>
        </w:rPr>
      </w:pPr>
      <w:r w:rsidRPr="00476E98">
        <w:rPr>
          <w:rFonts w:ascii="Times New Roman" w:hAnsi="Times New Roman" w:cs="Times New Roman"/>
          <w:sz w:val="28"/>
          <w:lang w:val="ru-RU"/>
        </w:rPr>
        <w:fldChar w:fldCharType="end"/>
      </w:r>
    </w:p>
    <w:p w:rsidR="00476E98" w:rsidRDefault="00476E98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>
        <w:br w:type="page"/>
      </w:r>
    </w:p>
    <w:p w:rsidR="00736F23" w:rsidRDefault="00736F23" w:rsidP="00736F23">
      <w:pPr>
        <w:pStyle w:val="1"/>
      </w:pPr>
      <w:bookmarkStart w:id="0" w:name="_Toc434591929"/>
      <w:r>
        <w:lastRenderedPageBreak/>
        <w:t>ВВЕДЕНИЕ</w:t>
      </w:r>
      <w:bookmarkEnd w:id="0"/>
    </w:p>
    <w:p w:rsidR="00736F23" w:rsidRDefault="00736F23" w:rsidP="00736F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Финансовый рынок – это рынок, на котором осуществляется перераспределение свободных денежных капиталов и сбережений между различными субъектами экономики путем совершения сделок с финансовыми активами. В качестве финансовых активов могут выступать национальная и иностранная валюта, ценные бумаги, золото и производные финансовые инструменты.</w:t>
      </w:r>
    </w:p>
    <w:p w:rsidR="000C3547" w:rsidRDefault="00D951FB" w:rsidP="00736F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Целью написания эссе является </w:t>
      </w:r>
      <w:r w:rsidR="00AD4395">
        <w:rPr>
          <w:rFonts w:ascii="Times New Roman" w:hAnsi="Times New Roman" w:cs="Times New Roman"/>
          <w:sz w:val="28"/>
          <w:lang w:val="ru-RU"/>
        </w:rPr>
        <w:t xml:space="preserve">анализ современного состояния финансового рынка Российской Федерации, выявление основных проблем в его деятельности и </w:t>
      </w:r>
      <w:r w:rsidR="00AD0CEF">
        <w:rPr>
          <w:rFonts w:ascii="Times New Roman" w:hAnsi="Times New Roman" w:cs="Times New Roman"/>
          <w:sz w:val="28"/>
          <w:lang w:val="ru-RU"/>
        </w:rPr>
        <w:t xml:space="preserve">перспектив его развития. </w:t>
      </w:r>
    </w:p>
    <w:p w:rsidR="00AD0CEF" w:rsidRDefault="00AD0CEF" w:rsidP="00AD0C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 зависимости от объекта купли-продажи финансовый рынок можно подразделить на отдельные сегменты – кредитный рынок, рынок ценных бумаг, валютный рынок, страховой рынок и т.п. Поэтому анализ проблем и тенденций развития финансового рынка целесообразно вести в разрезе отдельных сегментов. Исходя из этого</w:t>
      </w:r>
      <w:r w:rsidR="00C231C3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сформулирую основные цели </w:t>
      </w:r>
      <w:r w:rsidR="00C231C3">
        <w:rPr>
          <w:rFonts w:ascii="Times New Roman" w:hAnsi="Times New Roman" w:cs="Times New Roman"/>
          <w:sz w:val="28"/>
          <w:lang w:val="ru-RU"/>
        </w:rPr>
        <w:t>написания эссе:</w:t>
      </w:r>
    </w:p>
    <w:p w:rsidR="00C231C3" w:rsidRDefault="00C231C3" w:rsidP="00CE247F">
      <w:pPr>
        <w:pStyle w:val="a3"/>
        <w:numPr>
          <w:ilvl w:val="0"/>
          <w:numId w:val="6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lang w:val="ru-RU"/>
        </w:rPr>
      </w:pPr>
      <w:r w:rsidRPr="00CE247F">
        <w:rPr>
          <w:rFonts w:ascii="Times New Roman" w:hAnsi="Times New Roman" w:cs="Times New Roman"/>
          <w:sz w:val="28"/>
          <w:lang w:val="ru-RU"/>
        </w:rPr>
        <w:t>Рассмотреть</w:t>
      </w:r>
      <w:r w:rsidR="00A76600" w:rsidRPr="00CE247F">
        <w:rPr>
          <w:rFonts w:ascii="Times New Roman" w:hAnsi="Times New Roman" w:cs="Times New Roman"/>
          <w:sz w:val="28"/>
          <w:lang w:val="ru-RU"/>
        </w:rPr>
        <w:t xml:space="preserve"> современное состояние </w:t>
      </w:r>
      <w:r w:rsidR="00CE247F" w:rsidRPr="00CE247F">
        <w:rPr>
          <w:rFonts w:ascii="Times New Roman" w:hAnsi="Times New Roman" w:cs="Times New Roman"/>
          <w:sz w:val="28"/>
          <w:lang w:val="ru-RU"/>
        </w:rPr>
        <w:t>и основные проблемы рынка ценных бумаг РФ.</w:t>
      </w:r>
    </w:p>
    <w:p w:rsidR="00CE247F" w:rsidRDefault="00DB2E6B" w:rsidP="00CE247F">
      <w:pPr>
        <w:pStyle w:val="a3"/>
        <w:numPr>
          <w:ilvl w:val="0"/>
          <w:numId w:val="6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Выявить основные проблемы кредитного и страхового рынка Российской Федерации.</w:t>
      </w:r>
    </w:p>
    <w:p w:rsidR="00DB2E6B" w:rsidRPr="00CE247F" w:rsidRDefault="00834D7A" w:rsidP="00CE247F">
      <w:pPr>
        <w:pStyle w:val="a3"/>
        <w:numPr>
          <w:ilvl w:val="0"/>
          <w:numId w:val="6"/>
        </w:numPr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Рассмотреть </w:t>
      </w:r>
      <w:r w:rsidR="00C77262">
        <w:rPr>
          <w:rFonts w:ascii="Times New Roman" w:hAnsi="Times New Roman" w:cs="Times New Roman"/>
          <w:sz w:val="28"/>
          <w:lang w:val="ru-RU"/>
        </w:rPr>
        <w:t>перспективы развития отдельных сегментов, а также финансового рынка в целом.</w:t>
      </w:r>
    </w:p>
    <w:p w:rsidR="00CE247F" w:rsidRDefault="009B369F" w:rsidP="00AD0C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качестве методической базы для написания эссе были использованы учебные пособия по финансовым рынкам и рынку ценных бумаг. </w:t>
      </w:r>
      <w:r w:rsidR="00ED3D26">
        <w:rPr>
          <w:rFonts w:ascii="Times New Roman" w:hAnsi="Times New Roman" w:cs="Times New Roman"/>
          <w:sz w:val="28"/>
          <w:lang w:val="ru-RU"/>
        </w:rPr>
        <w:t xml:space="preserve">Информация </w:t>
      </w:r>
      <w:r w:rsidR="00D436DA">
        <w:rPr>
          <w:rFonts w:ascii="Times New Roman" w:hAnsi="Times New Roman" w:cs="Times New Roman"/>
          <w:sz w:val="28"/>
          <w:lang w:val="ru-RU"/>
        </w:rPr>
        <w:t xml:space="preserve">для анализа </w:t>
      </w:r>
      <w:r w:rsidR="00D95496">
        <w:rPr>
          <w:rFonts w:ascii="Times New Roman" w:hAnsi="Times New Roman" w:cs="Times New Roman"/>
          <w:sz w:val="28"/>
          <w:lang w:val="ru-RU"/>
        </w:rPr>
        <w:t>была взята с официальных сайтов ЦБ РФ, Госкомстата РФ и НАУФОР.</w:t>
      </w:r>
    </w:p>
    <w:p w:rsidR="00AD0CEF" w:rsidRPr="00736F23" w:rsidRDefault="00AD0CEF" w:rsidP="00736F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736F23" w:rsidRDefault="00736F23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ru-RU"/>
        </w:rPr>
      </w:pPr>
      <w:r>
        <w:br w:type="page"/>
      </w:r>
    </w:p>
    <w:p w:rsidR="0052025E" w:rsidRPr="0052025E" w:rsidRDefault="0052025E" w:rsidP="005E0586">
      <w:pPr>
        <w:pStyle w:val="1"/>
      </w:pPr>
      <w:bookmarkStart w:id="1" w:name="_Toc434591930"/>
      <w:r>
        <w:lastRenderedPageBreak/>
        <w:t>1. СОВРЕМЕННОЕ СОСТОЯНИЕ И ПРОБЛЕМЫ</w:t>
      </w:r>
      <w:r>
        <w:br/>
        <w:t>РОССИЙСКОГО ФИНАНСОВО</w:t>
      </w:r>
      <w:r w:rsidR="00792AA2">
        <w:t>ГО</w:t>
      </w:r>
      <w:r>
        <w:t xml:space="preserve"> РЫНКА</w:t>
      </w:r>
      <w:bookmarkEnd w:id="1"/>
    </w:p>
    <w:p w:rsidR="008E5961" w:rsidRPr="0052025E" w:rsidRDefault="00F531CC" w:rsidP="0052025E">
      <w:pPr>
        <w:pStyle w:val="2"/>
      </w:pPr>
      <w:bookmarkStart w:id="2" w:name="_Toc434591931"/>
      <w:r>
        <w:t>1.1</w:t>
      </w:r>
      <w:r w:rsidR="0052025E">
        <w:t xml:space="preserve">. </w:t>
      </w:r>
      <w:r>
        <w:t>Современное состояние и п</w:t>
      </w:r>
      <w:r w:rsidR="0052025E">
        <w:t xml:space="preserve">роблемы </w:t>
      </w:r>
      <w:r>
        <w:t xml:space="preserve">рынка </w:t>
      </w:r>
      <w:r w:rsidR="00244C8D" w:rsidRPr="0052025E">
        <w:t>ценных бумаг</w:t>
      </w:r>
      <w:r>
        <w:t xml:space="preserve"> РФ</w:t>
      </w:r>
      <w:bookmarkEnd w:id="2"/>
    </w:p>
    <w:p w:rsidR="00244C8D" w:rsidRDefault="00572C44" w:rsidP="005E05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Рынок ценных бумаг представляет собой совокупность экономических отношений его участников по поводу выпуска и обращения ценных бумаг. </w:t>
      </w:r>
      <w:r w:rsidR="00C56557">
        <w:rPr>
          <w:rFonts w:ascii="Times New Roman" w:hAnsi="Times New Roman" w:cs="Times New Roman"/>
          <w:sz w:val="28"/>
          <w:lang w:val="ru-RU"/>
        </w:rPr>
        <w:t xml:space="preserve">Его можно подразделить на отдельные сегменты – рынок акций, рынок облигаций и рынок производных финансовых инструментов (деривативов). </w:t>
      </w:r>
      <w:r w:rsidR="00914AB9">
        <w:rPr>
          <w:rFonts w:ascii="Times New Roman" w:hAnsi="Times New Roman" w:cs="Times New Roman"/>
          <w:sz w:val="28"/>
          <w:lang w:val="ru-RU"/>
        </w:rPr>
        <w:t xml:space="preserve">На мой взгляд, важнейшим сегментом фондового рынка является рынок акций, поэтому анализ состояния рынка </w:t>
      </w:r>
      <w:r w:rsidR="00DA689B">
        <w:rPr>
          <w:rFonts w:ascii="Times New Roman" w:hAnsi="Times New Roman" w:cs="Times New Roman"/>
          <w:sz w:val="28"/>
          <w:lang w:val="ru-RU"/>
        </w:rPr>
        <w:t>ценных бумаг целесообразно начать именно с него</w:t>
      </w:r>
      <w:r w:rsidR="001D585C">
        <w:rPr>
          <w:rFonts w:ascii="Times New Roman" w:hAnsi="Times New Roman" w:cs="Times New Roman"/>
          <w:sz w:val="28"/>
          <w:lang w:val="ru-RU"/>
        </w:rPr>
        <w:t xml:space="preserve"> [</w:t>
      </w:r>
      <w:r w:rsidR="001D585C" w:rsidRPr="001D585C">
        <w:rPr>
          <w:rFonts w:ascii="Times New Roman" w:hAnsi="Times New Roman" w:cs="Times New Roman"/>
          <w:sz w:val="28"/>
          <w:lang w:val="ru-RU"/>
        </w:rPr>
        <w:t xml:space="preserve">4, </w:t>
      </w:r>
      <w:r w:rsidR="001D585C">
        <w:rPr>
          <w:rFonts w:ascii="Times New Roman" w:hAnsi="Times New Roman" w:cs="Times New Roman"/>
          <w:sz w:val="28"/>
          <w:lang w:val="en-US"/>
        </w:rPr>
        <w:t>C</w:t>
      </w:r>
      <w:r w:rsidR="001D585C" w:rsidRPr="001D585C">
        <w:rPr>
          <w:rFonts w:ascii="Times New Roman" w:hAnsi="Times New Roman" w:cs="Times New Roman"/>
          <w:sz w:val="28"/>
          <w:lang w:val="ru-RU"/>
        </w:rPr>
        <w:t>.</w:t>
      </w:r>
      <w:r w:rsidR="001D585C">
        <w:rPr>
          <w:rFonts w:ascii="Times New Roman" w:hAnsi="Times New Roman" w:cs="Times New Roman"/>
          <w:sz w:val="28"/>
          <w:lang w:val="en-US"/>
        </w:rPr>
        <w:t> </w:t>
      </w:r>
      <w:r w:rsidR="001D585C" w:rsidRPr="001D585C">
        <w:rPr>
          <w:rFonts w:ascii="Times New Roman" w:hAnsi="Times New Roman" w:cs="Times New Roman"/>
          <w:sz w:val="28"/>
          <w:lang w:val="ru-RU"/>
        </w:rPr>
        <w:t>48</w:t>
      </w:r>
      <w:r w:rsidR="001D585C">
        <w:rPr>
          <w:rFonts w:ascii="Times New Roman" w:hAnsi="Times New Roman" w:cs="Times New Roman"/>
          <w:sz w:val="28"/>
          <w:lang w:val="ru-RU"/>
        </w:rPr>
        <w:t>]</w:t>
      </w:r>
      <w:r w:rsidR="00236A72">
        <w:rPr>
          <w:rFonts w:ascii="Times New Roman" w:hAnsi="Times New Roman" w:cs="Times New Roman"/>
          <w:sz w:val="28"/>
          <w:lang w:val="ru-RU"/>
        </w:rPr>
        <w:t>.</w:t>
      </w:r>
    </w:p>
    <w:p w:rsidR="00236A72" w:rsidRDefault="00B45C80" w:rsidP="005E05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Капитализация организованного рынка акций РФ (по данным Москов</w:t>
      </w:r>
      <w:r w:rsidR="00742772">
        <w:rPr>
          <w:rFonts w:ascii="Times New Roman" w:hAnsi="Times New Roman" w:cs="Times New Roman"/>
          <w:sz w:val="28"/>
          <w:lang w:val="ru-RU"/>
        </w:rPr>
        <w:softHyphen/>
      </w:r>
      <w:r>
        <w:rPr>
          <w:rFonts w:ascii="Times New Roman" w:hAnsi="Times New Roman" w:cs="Times New Roman"/>
          <w:sz w:val="28"/>
          <w:lang w:val="ru-RU"/>
        </w:rPr>
        <w:t xml:space="preserve">ской Биржи) на конец 2014 года составила </w:t>
      </w:r>
      <w:r w:rsidR="007759DB">
        <w:rPr>
          <w:rFonts w:ascii="Times New Roman" w:hAnsi="Times New Roman" w:cs="Times New Roman"/>
          <w:sz w:val="28"/>
          <w:lang w:val="ru-RU"/>
        </w:rPr>
        <w:t>23,2 трлн. руб. или 33% ВВП Российской Федер</w:t>
      </w:r>
      <w:r w:rsidR="00207182">
        <w:rPr>
          <w:rFonts w:ascii="Times New Roman" w:hAnsi="Times New Roman" w:cs="Times New Roman"/>
          <w:sz w:val="28"/>
          <w:lang w:val="ru-RU"/>
        </w:rPr>
        <w:t xml:space="preserve">ации (в 2013 г. </w:t>
      </w:r>
      <w:r w:rsidR="00742772">
        <w:rPr>
          <w:rFonts w:ascii="Times New Roman" w:hAnsi="Times New Roman" w:cs="Times New Roman"/>
          <w:sz w:val="28"/>
          <w:lang w:val="ru-RU"/>
        </w:rPr>
        <w:t>она была равна</w:t>
      </w:r>
      <w:r w:rsidR="00207182">
        <w:rPr>
          <w:rFonts w:ascii="Times New Roman" w:hAnsi="Times New Roman" w:cs="Times New Roman"/>
          <w:sz w:val="28"/>
          <w:lang w:val="ru-RU"/>
        </w:rPr>
        <w:t xml:space="preserve"> 37,9% ВВП). </w:t>
      </w:r>
      <w:r w:rsidR="00296C50">
        <w:rPr>
          <w:rFonts w:ascii="Times New Roman" w:hAnsi="Times New Roman" w:cs="Times New Roman"/>
          <w:sz w:val="28"/>
          <w:lang w:val="ru-RU"/>
        </w:rPr>
        <w:t>Отношение капитализации рынка акций к ВВП ниже 50% обычно означает недооце</w:t>
      </w:r>
      <w:r w:rsidR="00296C50">
        <w:rPr>
          <w:rFonts w:ascii="Times New Roman" w:hAnsi="Times New Roman" w:cs="Times New Roman"/>
          <w:sz w:val="28"/>
          <w:lang w:val="ru-RU"/>
        </w:rPr>
        <w:softHyphen/>
        <w:t xml:space="preserve">ненность рынка акций. </w:t>
      </w:r>
    </w:p>
    <w:p w:rsidR="002E2AA6" w:rsidRDefault="00F62DB7" w:rsidP="005E05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Однако я полагаю, что низкое значение отношения </w:t>
      </w:r>
      <w:r w:rsidR="00F541E6">
        <w:rPr>
          <w:rFonts w:ascii="Times New Roman" w:hAnsi="Times New Roman" w:cs="Times New Roman"/>
          <w:sz w:val="28"/>
          <w:lang w:val="ru-RU"/>
        </w:rPr>
        <w:t xml:space="preserve">капитализации рынка акций </w:t>
      </w:r>
      <w:r w:rsidR="00D414D1">
        <w:rPr>
          <w:rFonts w:ascii="Times New Roman" w:hAnsi="Times New Roman" w:cs="Times New Roman"/>
          <w:sz w:val="28"/>
          <w:lang w:val="ru-RU"/>
        </w:rPr>
        <w:t xml:space="preserve">к ВВП имеет другую причину. </w:t>
      </w:r>
      <w:r w:rsidR="00A548F1">
        <w:rPr>
          <w:rFonts w:ascii="Times New Roman" w:hAnsi="Times New Roman" w:cs="Times New Roman"/>
          <w:sz w:val="28"/>
          <w:lang w:val="ru-RU"/>
        </w:rPr>
        <w:t xml:space="preserve">По данным Федеральной налоговой службы, на 1 июня 2015 г. в России функционировало 26931 открытое акционерное общество. </w:t>
      </w:r>
      <w:r w:rsidR="00F60C26">
        <w:rPr>
          <w:rFonts w:ascii="Times New Roman" w:hAnsi="Times New Roman" w:cs="Times New Roman"/>
          <w:sz w:val="28"/>
          <w:lang w:val="ru-RU"/>
        </w:rPr>
        <w:t xml:space="preserve">В то же время, по данным Московской биржи, на внутреннем российском организованном рынке обращаются акции все лишь </w:t>
      </w:r>
      <w:r w:rsidR="006B13EA">
        <w:rPr>
          <w:rFonts w:ascii="Times New Roman" w:hAnsi="Times New Roman" w:cs="Times New Roman"/>
          <w:sz w:val="28"/>
          <w:lang w:val="ru-RU"/>
        </w:rPr>
        <w:t xml:space="preserve">254 компаний. Таким образом, российский организованный рынок акций охватывает менее 1% </w:t>
      </w:r>
      <w:r w:rsidR="00D725AF">
        <w:rPr>
          <w:rFonts w:ascii="Times New Roman" w:hAnsi="Times New Roman" w:cs="Times New Roman"/>
          <w:sz w:val="28"/>
          <w:lang w:val="ru-RU"/>
        </w:rPr>
        <w:t xml:space="preserve">всех эмитентов. </w:t>
      </w:r>
      <w:r w:rsidR="002E2AA6">
        <w:rPr>
          <w:rFonts w:ascii="Times New Roman" w:hAnsi="Times New Roman" w:cs="Times New Roman"/>
          <w:sz w:val="28"/>
          <w:lang w:val="ru-RU"/>
        </w:rPr>
        <w:t xml:space="preserve">Неудивительно, что при таком ничтожном охвате его капитализация составляет лишь 33% ВВП. </w:t>
      </w:r>
    </w:p>
    <w:p w:rsidR="00731087" w:rsidRPr="00817A19" w:rsidRDefault="002E2AA6" w:rsidP="00817A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Изменение количества российских эмитентов акций, обращающихся на организованном рынке, приведено в табл. 1.</w:t>
      </w:r>
      <w:r w:rsidR="00817A19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2E2AA6" w:rsidRPr="003E2433" w:rsidRDefault="003E2433" w:rsidP="003E2433">
      <w:pPr>
        <w:pStyle w:val="3"/>
      </w:pPr>
      <w:r w:rsidRPr="003E2433">
        <w:lastRenderedPageBreak/>
        <w:t>Таблица 1</w:t>
      </w:r>
    </w:p>
    <w:p w:rsidR="003E2433" w:rsidRDefault="003E2433" w:rsidP="003E2433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Динамика количества эмитентов на российском фондовом рынке</w:t>
      </w:r>
      <w:r w:rsidR="001D585C">
        <w:rPr>
          <w:rStyle w:val="a8"/>
          <w:rFonts w:ascii="Times New Roman" w:hAnsi="Times New Roman" w:cs="Times New Roman"/>
          <w:sz w:val="28"/>
          <w:lang w:val="ru-RU"/>
        </w:rPr>
        <w:footnoteReference w:id="1"/>
      </w:r>
    </w:p>
    <w:tbl>
      <w:tblPr>
        <w:tblW w:w="9101" w:type="dxa"/>
        <w:jc w:val="center"/>
        <w:tblLayout w:type="fixed"/>
        <w:tblLook w:val="04A0"/>
      </w:tblPr>
      <w:tblGrid>
        <w:gridCol w:w="4965"/>
        <w:gridCol w:w="1034"/>
        <w:gridCol w:w="1034"/>
        <w:gridCol w:w="1034"/>
        <w:gridCol w:w="1034"/>
      </w:tblGrid>
      <w:tr w:rsidR="003E2433" w:rsidRPr="00B73039" w:rsidTr="00671BEF">
        <w:trPr>
          <w:trHeight w:val="20"/>
          <w:jc w:val="center"/>
        </w:trPr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433" w:rsidRPr="00B73039" w:rsidRDefault="003E2433" w:rsidP="003E24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B73039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Показатели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433" w:rsidRPr="00B73039" w:rsidRDefault="003E2433" w:rsidP="003E24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B73039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2011 г.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433" w:rsidRPr="00B73039" w:rsidRDefault="003E2433" w:rsidP="003E24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B73039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2012 г.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433" w:rsidRPr="00B73039" w:rsidRDefault="003E2433" w:rsidP="003E24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B73039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2013 г.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E2433" w:rsidRPr="00B73039" w:rsidRDefault="003E2433" w:rsidP="003E24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B73039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2014 г.</w:t>
            </w:r>
          </w:p>
        </w:tc>
      </w:tr>
      <w:tr w:rsidR="003E2433" w:rsidRPr="00B73039" w:rsidTr="00671BEF">
        <w:trPr>
          <w:trHeight w:val="20"/>
          <w:jc w:val="center"/>
        </w:trPr>
        <w:tc>
          <w:tcPr>
            <w:tcW w:w="4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433" w:rsidRPr="00B73039" w:rsidRDefault="003E2433" w:rsidP="003E24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B73039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Количество эмитентов акций: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433" w:rsidRPr="00B73039" w:rsidRDefault="003E2433" w:rsidP="003E24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B73039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433" w:rsidRPr="00B73039" w:rsidRDefault="003E2433" w:rsidP="003E24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B73039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433" w:rsidRPr="00B73039" w:rsidRDefault="003E2433" w:rsidP="003E24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B73039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433" w:rsidRPr="00B73039" w:rsidRDefault="003E2433" w:rsidP="003E24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B73039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 </w:t>
            </w:r>
          </w:p>
        </w:tc>
      </w:tr>
      <w:tr w:rsidR="003E2433" w:rsidRPr="00B73039" w:rsidTr="00671BEF">
        <w:trPr>
          <w:trHeight w:val="20"/>
          <w:jc w:val="center"/>
        </w:trPr>
        <w:tc>
          <w:tcPr>
            <w:tcW w:w="4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433" w:rsidRPr="00B73039" w:rsidRDefault="003E2433" w:rsidP="003E243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B73039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обращающихся на Московской бирже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433" w:rsidRPr="00B73039" w:rsidRDefault="003E2433" w:rsidP="003E24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B73039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320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433" w:rsidRPr="00B73039" w:rsidRDefault="003E2433" w:rsidP="003E24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B73039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275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433" w:rsidRPr="00B73039" w:rsidRDefault="003E2433" w:rsidP="003E24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B73039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273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433" w:rsidRPr="00B73039" w:rsidRDefault="003E2433" w:rsidP="003E24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B73039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254</w:t>
            </w:r>
          </w:p>
        </w:tc>
      </w:tr>
      <w:tr w:rsidR="003E2433" w:rsidRPr="00B73039" w:rsidTr="00671BEF">
        <w:trPr>
          <w:trHeight w:val="20"/>
          <w:jc w:val="center"/>
        </w:trPr>
        <w:tc>
          <w:tcPr>
            <w:tcW w:w="4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433" w:rsidRPr="00B73039" w:rsidRDefault="003E2433" w:rsidP="003E243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B73039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по оценке Standard&amp;Poor</w:t>
            </w:r>
            <w:r w:rsidR="00817A19" w:rsidRPr="00B73039"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uk-UA"/>
              </w:rPr>
              <w:t>’s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433" w:rsidRPr="00B73039" w:rsidRDefault="003E2433" w:rsidP="003E24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B73039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346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433" w:rsidRPr="00B73039" w:rsidRDefault="003E2433" w:rsidP="003E24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B73039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323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433" w:rsidRPr="00B73039" w:rsidRDefault="003E2433" w:rsidP="003E24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B73039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307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433" w:rsidRPr="00B73039" w:rsidRDefault="003E2433" w:rsidP="003E24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B73039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306</w:t>
            </w:r>
          </w:p>
        </w:tc>
      </w:tr>
      <w:tr w:rsidR="003E2433" w:rsidRPr="00B73039" w:rsidTr="00671BEF">
        <w:trPr>
          <w:trHeight w:val="20"/>
          <w:jc w:val="center"/>
        </w:trPr>
        <w:tc>
          <w:tcPr>
            <w:tcW w:w="4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433" w:rsidRPr="00B73039" w:rsidRDefault="003E2433" w:rsidP="003E24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B73039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Темп изменения, %: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433" w:rsidRPr="00B73039" w:rsidRDefault="003E2433" w:rsidP="003E24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B73039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433" w:rsidRPr="00B73039" w:rsidRDefault="003E2433" w:rsidP="003E24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B73039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433" w:rsidRPr="00B73039" w:rsidRDefault="003E2433" w:rsidP="003E24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B73039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433" w:rsidRPr="00B73039" w:rsidRDefault="003E2433" w:rsidP="003E24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B73039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 </w:t>
            </w:r>
          </w:p>
        </w:tc>
      </w:tr>
      <w:tr w:rsidR="003E2433" w:rsidRPr="00B73039" w:rsidTr="00671BEF">
        <w:trPr>
          <w:trHeight w:val="20"/>
          <w:jc w:val="center"/>
        </w:trPr>
        <w:tc>
          <w:tcPr>
            <w:tcW w:w="4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433" w:rsidRPr="00B73039" w:rsidRDefault="003E2433" w:rsidP="003E243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B73039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по оценке Московской биржи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433" w:rsidRPr="00B73039" w:rsidRDefault="003E2433" w:rsidP="003E24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B73039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433" w:rsidRPr="00B73039" w:rsidRDefault="003E2433" w:rsidP="003E24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B73039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-14,1%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433" w:rsidRPr="00B73039" w:rsidRDefault="003E2433" w:rsidP="003E24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B73039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-0,7%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433" w:rsidRPr="00B73039" w:rsidRDefault="003E2433" w:rsidP="003E24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B73039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-7,0%</w:t>
            </w:r>
          </w:p>
        </w:tc>
      </w:tr>
      <w:tr w:rsidR="003E2433" w:rsidRPr="00B73039" w:rsidTr="00671BEF">
        <w:trPr>
          <w:trHeight w:val="20"/>
          <w:jc w:val="center"/>
        </w:trPr>
        <w:tc>
          <w:tcPr>
            <w:tcW w:w="4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E2433" w:rsidRPr="00B73039" w:rsidRDefault="003E2433" w:rsidP="003E2433">
            <w:pPr>
              <w:pStyle w:val="a3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B73039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по оценке Standard&amp;Poor</w:t>
            </w:r>
            <w:r w:rsidR="00817A19" w:rsidRPr="00B73039"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uk-UA"/>
              </w:rPr>
              <w:t>’s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433" w:rsidRPr="00B73039" w:rsidRDefault="003E2433" w:rsidP="003E24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B73039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433" w:rsidRPr="00B73039" w:rsidRDefault="003E2433" w:rsidP="003E24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B73039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-6,6%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433" w:rsidRPr="00B73039" w:rsidRDefault="003E2433" w:rsidP="003E24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B73039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-5,0%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2433" w:rsidRPr="00B73039" w:rsidRDefault="003E2433" w:rsidP="003E24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B73039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-0,3%</w:t>
            </w:r>
          </w:p>
        </w:tc>
      </w:tr>
    </w:tbl>
    <w:p w:rsidR="003E2433" w:rsidRPr="00B73039" w:rsidRDefault="003E2433" w:rsidP="005E05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B73039" w:rsidRPr="00817A19" w:rsidRDefault="00B73039" w:rsidP="00B730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Оценка агентства Standard&amp;Poor</w:t>
      </w:r>
      <w:r w:rsidRPr="00817A19">
        <w:rPr>
          <w:rFonts w:ascii="Times New Roman" w:hAnsi="Times New Roman" w:cs="Times New Roman"/>
          <w:sz w:val="28"/>
          <w:lang w:val="ru-RU"/>
        </w:rPr>
        <w:t>’</w:t>
      </w:r>
      <w:r>
        <w:rPr>
          <w:rFonts w:ascii="Times New Roman" w:hAnsi="Times New Roman" w:cs="Times New Roman"/>
          <w:sz w:val="28"/>
          <w:lang w:val="en-US"/>
        </w:rPr>
        <w:t>s</w:t>
      </w:r>
      <w:r>
        <w:rPr>
          <w:rFonts w:ascii="Times New Roman" w:hAnsi="Times New Roman" w:cs="Times New Roman"/>
          <w:sz w:val="28"/>
          <w:lang w:val="ru-RU"/>
        </w:rPr>
        <w:t xml:space="preserve">, помимо акций, обращающихся на Московской Бирже, включает в себя эмитентов, акции которых допущены к торгам на </w:t>
      </w:r>
      <w:r>
        <w:rPr>
          <w:rFonts w:ascii="Times New Roman" w:hAnsi="Times New Roman" w:cs="Times New Roman"/>
          <w:sz w:val="28"/>
          <w:lang w:val="en-US"/>
        </w:rPr>
        <w:t>NYSE</w:t>
      </w:r>
      <w:r w:rsidRPr="00817A19">
        <w:rPr>
          <w:rFonts w:ascii="Times New Roman" w:hAnsi="Times New Roman" w:cs="Times New Roman"/>
          <w:sz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lang w:val="en-US"/>
        </w:rPr>
        <w:t>NASDAQ</w:t>
      </w:r>
      <w:r>
        <w:rPr>
          <w:rFonts w:ascii="Times New Roman" w:hAnsi="Times New Roman" w:cs="Times New Roman"/>
          <w:sz w:val="28"/>
          <w:lang w:val="ru-RU"/>
        </w:rPr>
        <w:t xml:space="preserve"> и входят в </w:t>
      </w:r>
      <w:r w:rsidRPr="00817A19">
        <w:rPr>
          <w:rFonts w:ascii="Times New Roman" w:hAnsi="Times New Roman" w:cs="Times New Roman"/>
          <w:sz w:val="28"/>
          <w:lang w:val="ru-RU"/>
        </w:rPr>
        <w:t>LSE-listed S&amp;P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817A19">
        <w:rPr>
          <w:rFonts w:ascii="Times New Roman" w:hAnsi="Times New Roman" w:cs="Times New Roman"/>
          <w:sz w:val="28"/>
          <w:lang w:val="ru-RU"/>
        </w:rPr>
        <w:t>EMDB Russiaindex.</w:t>
      </w:r>
    </w:p>
    <w:p w:rsidR="007759DB" w:rsidRDefault="00B42ECD" w:rsidP="005E05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Из таблицы видно, что </w:t>
      </w:r>
      <w:r w:rsidR="008E52D0">
        <w:rPr>
          <w:rFonts w:ascii="Times New Roman" w:hAnsi="Times New Roman" w:cs="Times New Roman"/>
          <w:sz w:val="28"/>
          <w:lang w:val="ru-RU"/>
        </w:rPr>
        <w:t xml:space="preserve">число эмитентов, чьи акции обращаются на бирже, за последние годы постоянно снижается. За период 2011-2014 гг. их количество на внутреннем биржевом рынке снизилось </w:t>
      </w:r>
      <w:r w:rsidR="008E3673">
        <w:rPr>
          <w:rFonts w:ascii="Times New Roman" w:hAnsi="Times New Roman" w:cs="Times New Roman"/>
          <w:sz w:val="28"/>
          <w:lang w:val="ru-RU"/>
        </w:rPr>
        <w:t xml:space="preserve">на 66 компаний или 20,6%. </w:t>
      </w:r>
      <w:r w:rsidR="00035313">
        <w:rPr>
          <w:rFonts w:ascii="Times New Roman" w:hAnsi="Times New Roman" w:cs="Times New Roman"/>
          <w:sz w:val="28"/>
          <w:lang w:val="ru-RU"/>
        </w:rPr>
        <w:t>По оценке S</w:t>
      </w:r>
      <w:r w:rsidR="00035313" w:rsidRPr="008A22EC">
        <w:rPr>
          <w:rFonts w:ascii="Times New Roman" w:hAnsi="Times New Roman" w:cs="Times New Roman"/>
          <w:sz w:val="28"/>
          <w:lang w:val="ru-RU"/>
        </w:rPr>
        <w:t>&amp;</w:t>
      </w:r>
      <w:r w:rsidR="00035313">
        <w:rPr>
          <w:rFonts w:ascii="Times New Roman" w:hAnsi="Times New Roman" w:cs="Times New Roman"/>
          <w:sz w:val="28"/>
          <w:lang w:val="ru-RU"/>
        </w:rPr>
        <w:t xml:space="preserve">P уменьшение составило 40 компаний или 11,6%. </w:t>
      </w:r>
      <w:r w:rsidR="008A22EC">
        <w:rPr>
          <w:rFonts w:ascii="Times New Roman" w:hAnsi="Times New Roman" w:cs="Times New Roman"/>
          <w:sz w:val="28"/>
          <w:lang w:val="ru-RU"/>
        </w:rPr>
        <w:t>Это означает, что уменьшение числа эмитентов на внутреннем рынке сопровождалось увели</w:t>
      </w:r>
      <w:r w:rsidR="00FE64DB">
        <w:rPr>
          <w:rFonts w:ascii="Times New Roman" w:hAnsi="Times New Roman" w:cs="Times New Roman"/>
          <w:sz w:val="28"/>
          <w:lang w:val="ru-RU"/>
        </w:rPr>
        <w:softHyphen/>
      </w:r>
      <w:r w:rsidR="008A22EC">
        <w:rPr>
          <w:rFonts w:ascii="Times New Roman" w:hAnsi="Times New Roman" w:cs="Times New Roman"/>
          <w:sz w:val="28"/>
          <w:lang w:val="ru-RU"/>
        </w:rPr>
        <w:t xml:space="preserve">чением </w:t>
      </w:r>
      <w:r w:rsidR="008914AD">
        <w:rPr>
          <w:rFonts w:ascii="Times New Roman" w:hAnsi="Times New Roman" w:cs="Times New Roman"/>
          <w:sz w:val="28"/>
          <w:lang w:val="ru-RU"/>
        </w:rPr>
        <w:t>российских компаний</w:t>
      </w:r>
      <w:r w:rsidR="00D1560B">
        <w:rPr>
          <w:rFonts w:ascii="Times New Roman" w:hAnsi="Times New Roman" w:cs="Times New Roman"/>
          <w:sz w:val="28"/>
          <w:lang w:val="ru-RU"/>
        </w:rPr>
        <w:t xml:space="preserve">, вышедших на зарубежные фондовые рынки. </w:t>
      </w:r>
    </w:p>
    <w:p w:rsidR="00D1560B" w:rsidRDefault="00A31D10" w:rsidP="005E05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Второй выявленной проблемой фондового рынка РФ оказалась высокая концентрация его капитал</w:t>
      </w:r>
      <w:r w:rsidR="00554C50">
        <w:rPr>
          <w:rFonts w:ascii="Times New Roman" w:hAnsi="Times New Roman" w:cs="Times New Roman"/>
          <w:sz w:val="28"/>
          <w:lang w:val="ru-RU"/>
        </w:rPr>
        <w:t>и</w:t>
      </w:r>
      <w:r>
        <w:rPr>
          <w:rFonts w:ascii="Times New Roman" w:hAnsi="Times New Roman" w:cs="Times New Roman"/>
          <w:sz w:val="28"/>
          <w:lang w:val="ru-RU"/>
        </w:rPr>
        <w:t>з</w:t>
      </w:r>
      <w:r w:rsidR="00554C50">
        <w:rPr>
          <w:rFonts w:ascii="Times New Roman" w:hAnsi="Times New Roman" w:cs="Times New Roman"/>
          <w:sz w:val="28"/>
          <w:lang w:val="ru-RU"/>
        </w:rPr>
        <w:t>а</w:t>
      </w:r>
      <w:r>
        <w:rPr>
          <w:rFonts w:ascii="Times New Roman" w:hAnsi="Times New Roman" w:cs="Times New Roman"/>
          <w:sz w:val="28"/>
          <w:lang w:val="ru-RU"/>
        </w:rPr>
        <w:t>ции.</w:t>
      </w:r>
      <w:r w:rsidR="00554C50">
        <w:rPr>
          <w:rFonts w:ascii="Times New Roman" w:hAnsi="Times New Roman" w:cs="Times New Roman"/>
          <w:sz w:val="28"/>
          <w:lang w:val="ru-RU"/>
        </w:rPr>
        <w:t xml:space="preserve"> По итогам 2014 года 10 наиболее капитали</w:t>
      </w:r>
      <w:r w:rsidR="00554C50">
        <w:rPr>
          <w:rFonts w:ascii="Times New Roman" w:hAnsi="Times New Roman" w:cs="Times New Roman"/>
          <w:sz w:val="28"/>
          <w:lang w:val="ru-RU"/>
        </w:rPr>
        <w:softHyphen/>
        <w:t xml:space="preserve">зированных компаний </w:t>
      </w:r>
      <w:r w:rsidR="005C041D">
        <w:rPr>
          <w:rFonts w:ascii="Times New Roman" w:hAnsi="Times New Roman" w:cs="Times New Roman"/>
          <w:sz w:val="28"/>
          <w:lang w:val="ru-RU"/>
        </w:rPr>
        <w:t>занимают 61% в общей капитализации акций, обращающихся на Московской Бирже (табл. 2).</w:t>
      </w:r>
    </w:p>
    <w:p w:rsidR="00B73039" w:rsidRDefault="00B73039" w:rsidP="00B730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Из таблицы также видно, что 6 из 10 представленных в списке компаний относятся к нефтегазовой отрасли. Следует отметить, что доля нефтегазовых гигантов в общей капитализации рынка акций имеет тенденцию к снижению. </w:t>
      </w:r>
    </w:p>
    <w:p w:rsidR="00B73039" w:rsidRDefault="00B73039" w:rsidP="005E05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5C041D" w:rsidRDefault="005C041D" w:rsidP="005C041D">
      <w:pPr>
        <w:pStyle w:val="3"/>
      </w:pPr>
      <w:r>
        <w:lastRenderedPageBreak/>
        <w:t>Таблица 2</w:t>
      </w:r>
    </w:p>
    <w:p w:rsidR="005C041D" w:rsidRDefault="005C041D" w:rsidP="005C041D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Доля 10 наиболее капитализированных эмитентов</w:t>
      </w:r>
      <w:r>
        <w:rPr>
          <w:rFonts w:ascii="Times New Roman" w:hAnsi="Times New Roman" w:cs="Times New Roman"/>
          <w:sz w:val="28"/>
          <w:lang w:val="ru-RU"/>
        </w:rPr>
        <w:br/>
        <w:t>в общей капитализации рынка акций РФ</w:t>
      </w:r>
      <w:r w:rsidR="001D585C">
        <w:rPr>
          <w:rStyle w:val="a8"/>
          <w:rFonts w:ascii="Times New Roman" w:hAnsi="Times New Roman" w:cs="Times New Roman"/>
          <w:sz w:val="28"/>
          <w:lang w:val="ru-RU"/>
        </w:rPr>
        <w:footnoteReference w:id="2"/>
      </w:r>
    </w:p>
    <w:tbl>
      <w:tblPr>
        <w:tblW w:w="8106" w:type="dxa"/>
        <w:jc w:val="center"/>
        <w:tblCellMar>
          <w:left w:w="28" w:type="dxa"/>
          <w:right w:w="28" w:type="dxa"/>
        </w:tblCellMar>
        <w:tblLook w:val="04A0"/>
      </w:tblPr>
      <w:tblGrid>
        <w:gridCol w:w="362"/>
        <w:gridCol w:w="4061"/>
        <w:gridCol w:w="1668"/>
        <w:gridCol w:w="2015"/>
      </w:tblGrid>
      <w:tr w:rsidR="00F879E0" w:rsidRPr="00B73039" w:rsidTr="00F879E0">
        <w:trPr>
          <w:trHeight w:val="20"/>
          <w:jc w:val="center"/>
        </w:trPr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9E0" w:rsidRPr="00B73039" w:rsidRDefault="00F879E0" w:rsidP="00F879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B73039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№</w:t>
            </w:r>
          </w:p>
        </w:tc>
        <w:tc>
          <w:tcPr>
            <w:tcW w:w="4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9E0" w:rsidRPr="00B73039" w:rsidRDefault="00F879E0" w:rsidP="00F879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B73039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Эмитент</w:t>
            </w:r>
          </w:p>
        </w:tc>
        <w:tc>
          <w:tcPr>
            <w:tcW w:w="1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9E0" w:rsidRPr="00B73039" w:rsidRDefault="00F879E0" w:rsidP="00F879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B73039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Капитализация, млрд. руб.</w:t>
            </w:r>
          </w:p>
        </w:tc>
        <w:tc>
          <w:tcPr>
            <w:tcW w:w="2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879E0" w:rsidRPr="00B73039" w:rsidRDefault="00F879E0" w:rsidP="00F879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B73039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Доля в общей капитализации, %</w:t>
            </w:r>
          </w:p>
        </w:tc>
      </w:tr>
      <w:tr w:rsidR="00F879E0" w:rsidRPr="00B73039" w:rsidTr="00F879E0">
        <w:trPr>
          <w:trHeight w:val="20"/>
          <w:jc w:val="center"/>
        </w:trPr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9E0" w:rsidRPr="00B73039" w:rsidRDefault="00F879E0" w:rsidP="00F879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B73039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1</w:t>
            </w:r>
          </w:p>
        </w:tc>
        <w:tc>
          <w:tcPr>
            <w:tcW w:w="4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79E0" w:rsidRPr="00B73039" w:rsidRDefault="00F879E0" w:rsidP="00F879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B73039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ОАО "Газпром"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9E0" w:rsidRPr="00B73039" w:rsidRDefault="00F879E0" w:rsidP="00F879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B73039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3112,6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9E0" w:rsidRPr="00B73039" w:rsidRDefault="00F879E0" w:rsidP="00F879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B73039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13,40%</w:t>
            </w:r>
          </w:p>
        </w:tc>
      </w:tr>
      <w:tr w:rsidR="00F879E0" w:rsidRPr="00B73039" w:rsidTr="00F879E0">
        <w:trPr>
          <w:trHeight w:val="20"/>
          <w:jc w:val="center"/>
        </w:trPr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9E0" w:rsidRPr="00B73039" w:rsidRDefault="00F879E0" w:rsidP="00F879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B73039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2</w:t>
            </w:r>
          </w:p>
        </w:tc>
        <w:tc>
          <w:tcPr>
            <w:tcW w:w="4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79E0" w:rsidRPr="00B73039" w:rsidRDefault="00F879E0" w:rsidP="00F879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B73039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ОАО "НК Роснефть"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9E0" w:rsidRPr="00B73039" w:rsidRDefault="00F879E0" w:rsidP="00F879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B73039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2071,4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9E0" w:rsidRPr="00B73039" w:rsidRDefault="00F879E0" w:rsidP="00F879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B73039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8,90%</w:t>
            </w:r>
          </w:p>
        </w:tc>
      </w:tr>
      <w:tr w:rsidR="00F879E0" w:rsidRPr="00B73039" w:rsidTr="00F879E0">
        <w:trPr>
          <w:trHeight w:val="20"/>
          <w:jc w:val="center"/>
        </w:trPr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9E0" w:rsidRPr="00B73039" w:rsidRDefault="00F879E0" w:rsidP="00F879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B73039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3</w:t>
            </w:r>
          </w:p>
        </w:tc>
        <w:tc>
          <w:tcPr>
            <w:tcW w:w="4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79E0" w:rsidRPr="00B73039" w:rsidRDefault="00F879E0" w:rsidP="00F879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B73039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ОАО "Нефтяная компания ЛУКОЙЛ"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9E0" w:rsidRPr="00B73039" w:rsidRDefault="00F879E0" w:rsidP="00F879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B73039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1886,1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9E0" w:rsidRPr="00B73039" w:rsidRDefault="00F879E0" w:rsidP="00F879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B73039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8,10%</w:t>
            </w:r>
          </w:p>
        </w:tc>
      </w:tr>
      <w:tr w:rsidR="00F879E0" w:rsidRPr="00B73039" w:rsidTr="00F879E0">
        <w:trPr>
          <w:trHeight w:val="20"/>
          <w:jc w:val="center"/>
        </w:trPr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9E0" w:rsidRPr="00B73039" w:rsidRDefault="00F879E0" w:rsidP="00F879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B73039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4</w:t>
            </w:r>
          </w:p>
        </w:tc>
        <w:tc>
          <w:tcPr>
            <w:tcW w:w="4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79E0" w:rsidRPr="00B73039" w:rsidRDefault="00F879E0" w:rsidP="00F879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B73039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ОАО "НОВАТЭК"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9E0" w:rsidRPr="00B73039" w:rsidRDefault="00F879E0" w:rsidP="00F879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B73039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1323,8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9E0" w:rsidRPr="00B73039" w:rsidRDefault="00F879E0" w:rsidP="00F879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B73039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5,70%</w:t>
            </w:r>
          </w:p>
        </w:tc>
      </w:tr>
      <w:tr w:rsidR="00F879E0" w:rsidRPr="00B73039" w:rsidTr="00F879E0">
        <w:trPr>
          <w:trHeight w:val="20"/>
          <w:jc w:val="center"/>
        </w:trPr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9E0" w:rsidRPr="00B73039" w:rsidRDefault="00F879E0" w:rsidP="00F879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B73039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5</w:t>
            </w:r>
          </w:p>
        </w:tc>
        <w:tc>
          <w:tcPr>
            <w:tcW w:w="4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79E0" w:rsidRPr="00B73039" w:rsidRDefault="00F879E0" w:rsidP="00F879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B73039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ОАО "ГМК Норильский никель"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9E0" w:rsidRPr="00B73039" w:rsidRDefault="00F879E0" w:rsidP="00F879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B73039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1291,6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9E0" w:rsidRPr="00B73039" w:rsidRDefault="00F879E0" w:rsidP="00F879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B73039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5,60%</w:t>
            </w:r>
          </w:p>
        </w:tc>
      </w:tr>
      <w:tr w:rsidR="00F879E0" w:rsidRPr="00B73039" w:rsidTr="00F879E0">
        <w:trPr>
          <w:trHeight w:val="20"/>
          <w:jc w:val="center"/>
        </w:trPr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9E0" w:rsidRPr="00B73039" w:rsidRDefault="00F879E0" w:rsidP="00F879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B73039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6</w:t>
            </w:r>
          </w:p>
        </w:tc>
        <w:tc>
          <w:tcPr>
            <w:tcW w:w="4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79E0" w:rsidRPr="00B73039" w:rsidRDefault="00F879E0" w:rsidP="00F879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B73039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ОАО "Сбербанк России"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9E0" w:rsidRPr="00B73039" w:rsidRDefault="00F879E0" w:rsidP="00F879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B73039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1163,8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9E0" w:rsidRPr="00B73039" w:rsidRDefault="00F879E0" w:rsidP="00F879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B73039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5,00%</w:t>
            </w:r>
          </w:p>
        </w:tc>
      </w:tr>
      <w:tr w:rsidR="00F879E0" w:rsidRPr="00B73039" w:rsidTr="00F879E0">
        <w:trPr>
          <w:trHeight w:val="20"/>
          <w:jc w:val="center"/>
        </w:trPr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9E0" w:rsidRPr="00B73039" w:rsidRDefault="00F879E0" w:rsidP="00F879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B73039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7</w:t>
            </w:r>
          </w:p>
        </w:tc>
        <w:tc>
          <w:tcPr>
            <w:tcW w:w="4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79E0" w:rsidRPr="00B73039" w:rsidRDefault="00F879E0" w:rsidP="00F879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B73039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ПАО "Магнит"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9E0" w:rsidRPr="00B73039" w:rsidRDefault="00F879E0" w:rsidP="00F879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B73039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931,8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9E0" w:rsidRPr="00B73039" w:rsidRDefault="00F879E0" w:rsidP="00F879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B73039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4,00%</w:t>
            </w:r>
          </w:p>
        </w:tc>
      </w:tr>
      <w:tr w:rsidR="00F879E0" w:rsidRPr="00B73039" w:rsidTr="00F879E0">
        <w:trPr>
          <w:trHeight w:val="20"/>
          <w:jc w:val="center"/>
        </w:trPr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9E0" w:rsidRPr="00B73039" w:rsidRDefault="00F879E0" w:rsidP="00F879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B73039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8</w:t>
            </w:r>
          </w:p>
        </w:tc>
        <w:tc>
          <w:tcPr>
            <w:tcW w:w="4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79E0" w:rsidRPr="00B73039" w:rsidRDefault="00F879E0" w:rsidP="00F879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B73039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ОАО "Банк ВТБ"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9E0" w:rsidRPr="00B73039" w:rsidRDefault="00F879E0" w:rsidP="00F879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B73039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856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9E0" w:rsidRPr="00B73039" w:rsidRDefault="00F879E0" w:rsidP="00F879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B73039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3,70%</w:t>
            </w:r>
          </w:p>
        </w:tc>
      </w:tr>
      <w:tr w:rsidR="00F879E0" w:rsidRPr="00B73039" w:rsidTr="00F879E0">
        <w:trPr>
          <w:trHeight w:val="20"/>
          <w:jc w:val="center"/>
        </w:trPr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9E0" w:rsidRPr="00B73039" w:rsidRDefault="00F879E0" w:rsidP="00F879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B73039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9</w:t>
            </w:r>
          </w:p>
        </w:tc>
        <w:tc>
          <w:tcPr>
            <w:tcW w:w="4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79E0" w:rsidRPr="00B73039" w:rsidRDefault="00F879E0" w:rsidP="00F879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B73039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ОАО "Сургутнефтегаз"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9E0" w:rsidRPr="00B73039" w:rsidRDefault="00F879E0" w:rsidP="00F879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B73039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850,6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9E0" w:rsidRPr="00B73039" w:rsidRDefault="00F879E0" w:rsidP="00F879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B73039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3,70%</w:t>
            </w:r>
          </w:p>
        </w:tc>
      </w:tr>
      <w:tr w:rsidR="00F879E0" w:rsidRPr="00B73039" w:rsidTr="00F879E0">
        <w:trPr>
          <w:trHeight w:val="20"/>
          <w:jc w:val="center"/>
        </w:trPr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79E0" w:rsidRPr="00B73039" w:rsidRDefault="00F879E0" w:rsidP="00F879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B73039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10</w:t>
            </w:r>
          </w:p>
        </w:tc>
        <w:tc>
          <w:tcPr>
            <w:tcW w:w="4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879E0" w:rsidRPr="00B73039" w:rsidRDefault="00F879E0" w:rsidP="00F879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B73039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ОАО "Газпромнефть"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9E0" w:rsidRPr="00B73039" w:rsidRDefault="00F879E0" w:rsidP="00F879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B73039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668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9E0" w:rsidRPr="00B73039" w:rsidRDefault="00F879E0" w:rsidP="00F879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B73039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2,90%</w:t>
            </w:r>
          </w:p>
        </w:tc>
      </w:tr>
      <w:tr w:rsidR="00F879E0" w:rsidRPr="00B73039" w:rsidTr="00F879E0">
        <w:trPr>
          <w:trHeight w:val="20"/>
          <w:jc w:val="center"/>
        </w:trPr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9E0" w:rsidRPr="00B73039" w:rsidRDefault="00F879E0" w:rsidP="00F879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val="ru-RU" w:eastAsia="uk-UA"/>
              </w:rPr>
            </w:pPr>
            <w:r w:rsidRPr="00B7303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val="ru-RU" w:eastAsia="uk-UA"/>
              </w:rPr>
              <w:t> </w:t>
            </w:r>
          </w:p>
        </w:tc>
        <w:tc>
          <w:tcPr>
            <w:tcW w:w="4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9E0" w:rsidRPr="00B73039" w:rsidRDefault="00F879E0" w:rsidP="00F879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val="ru-RU" w:eastAsia="uk-UA"/>
              </w:rPr>
            </w:pPr>
            <w:r w:rsidRPr="00B7303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val="ru-RU" w:eastAsia="uk-UA"/>
              </w:rPr>
              <w:t>Итого: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9E0" w:rsidRPr="00B73039" w:rsidRDefault="00F879E0" w:rsidP="00F879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val="ru-RU" w:eastAsia="uk-UA"/>
              </w:rPr>
            </w:pPr>
            <w:r w:rsidRPr="00B7303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val="ru-RU" w:eastAsia="uk-UA"/>
              </w:rPr>
              <w:t>14155,7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79E0" w:rsidRPr="00B73039" w:rsidRDefault="00F879E0" w:rsidP="00F879E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val="ru-RU" w:eastAsia="uk-UA"/>
              </w:rPr>
            </w:pPr>
            <w:r w:rsidRPr="00B7303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val="ru-RU" w:eastAsia="uk-UA"/>
              </w:rPr>
              <w:t>61,0%</w:t>
            </w:r>
          </w:p>
        </w:tc>
      </w:tr>
    </w:tbl>
    <w:p w:rsidR="005C041D" w:rsidRDefault="005C041D" w:rsidP="005E05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F879E0" w:rsidRDefault="00126121" w:rsidP="005E05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Если в 2005 году </w:t>
      </w:r>
      <w:r w:rsidR="007A49D1">
        <w:rPr>
          <w:rFonts w:ascii="Times New Roman" w:hAnsi="Times New Roman" w:cs="Times New Roman"/>
          <w:sz w:val="28"/>
          <w:lang w:val="ru-RU"/>
        </w:rPr>
        <w:t>доля 10 крупнейших эмитентов составляла 77,7% от общей капитализации, то к 2014 г. она снизилась до 61%, что можно считать положи</w:t>
      </w:r>
      <w:r w:rsidR="007A49D1">
        <w:rPr>
          <w:rFonts w:ascii="Times New Roman" w:hAnsi="Times New Roman" w:cs="Times New Roman"/>
          <w:sz w:val="28"/>
          <w:lang w:val="ru-RU"/>
        </w:rPr>
        <w:softHyphen/>
        <w:t>тельной тенденцией развития рынка ценных бумаг (рис. 1).</w:t>
      </w:r>
    </w:p>
    <w:p w:rsidR="007A49D1" w:rsidRDefault="00E30F3A" w:rsidP="00E30F3A">
      <w:pPr>
        <w:keepNext/>
        <w:spacing w:before="120" w:after="12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E30F3A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>
            <wp:extent cx="4572000" cy="2743200"/>
            <wp:effectExtent l="19050" t="0" r="1905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30F3A" w:rsidRDefault="00E30F3A" w:rsidP="00E30F3A">
      <w:pPr>
        <w:spacing w:before="120" w:after="12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Рис. 1. Доля 10 наиболее капитализированных компаний</w:t>
      </w:r>
      <w:r>
        <w:rPr>
          <w:rFonts w:ascii="Times New Roman" w:hAnsi="Times New Roman" w:cs="Times New Roman"/>
          <w:sz w:val="28"/>
          <w:lang w:val="ru-RU"/>
        </w:rPr>
        <w:br/>
        <w:t>в общей капитализации российского рынка акций</w:t>
      </w:r>
      <w:r w:rsidR="001D585C">
        <w:rPr>
          <w:rStyle w:val="a8"/>
          <w:rFonts w:ascii="Times New Roman" w:hAnsi="Times New Roman" w:cs="Times New Roman"/>
          <w:sz w:val="28"/>
          <w:lang w:val="ru-RU"/>
        </w:rPr>
        <w:footnoteReference w:id="3"/>
      </w:r>
    </w:p>
    <w:p w:rsidR="00E30F3A" w:rsidRDefault="00787992" w:rsidP="005E05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Из рисунка видно, что значительный удельный вес в общей капитали</w:t>
      </w:r>
      <w:r>
        <w:rPr>
          <w:rFonts w:ascii="Times New Roman" w:hAnsi="Times New Roman" w:cs="Times New Roman"/>
          <w:sz w:val="28"/>
          <w:lang w:val="ru-RU"/>
        </w:rPr>
        <w:softHyphen/>
        <w:t xml:space="preserve">зации рынка акций РФ в 2006-2014 гг. занимал «Газпром». Однако за этот период его удельный вес снизился с 30,7% в 2006 г. до 13,4% в 2014 году. </w:t>
      </w:r>
      <w:r w:rsidR="000704FC">
        <w:rPr>
          <w:rFonts w:ascii="Times New Roman" w:hAnsi="Times New Roman" w:cs="Times New Roman"/>
          <w:sz w:val="28"/>
          <w:lang w:val="ru-RU"/>
        </w:rPr>
        <w:t xml:space="preserve">Это сокращение </w:t>
      </w:r>
      <w:r w:rsidR="00800A0F">
        <w:rPr>
          <w:rFonts w:ascii="Times New Roman" w:hAnsi="Times New Roman" w:cs="Times New Roman"/>
          <w:sz w:val="28"/>
          <w:lang w:val="ru-RU"/>
        </w:rPr>
        <w:t xml:space="preserve">свидетельствует о развитии </w:t>
      </w:r>
      <w:r w:rsidR="009802EA">
        <w:rPr>
          <w:rFonts w:ascii="Times New Roman" w:hAnsi="Times New Roman" w:cs="Times New Roman"/>
          <w:sz w:val="28"/>
          <w:lang w:val="ru-RU"/>
        </w:rPr>
        <w:t xml:space="preserve">других эмитентов – конкурентов </w:t>
      </w:r>
      <w:r w:rsidR="00FF34AA">
        <w:rPr>
          <w:rFonts w:ascii="Times New Roman" w:hAnsi="Times New Roman" w:cs="Times New Roman"/>
          <w:sz w:val="28"/>
          <w:lang w:val="ru-RU"/>
        </w:rPr>
        <w:t>«Газпрома», что является положительной тенденцией в развитии рынка акций.</w:t>
      </w:r>
    </w:p>
    <w:p w:rsidR="00FF34AA" w:rsidRDefault="0054215A" w:rsidP="005E05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Следует также отметить, что акции 10 перечисленных выше эмитентов являются также </w:t>
      </w:r>
      <w:r w:rsidR="00057626">
        <w:rPr>
          <w:rFonts w:ascii="Times New Roman" w:hAnsi="Times New Roman" w:cs="Times New Roman"/>
          <w:sz w:val="28"/>
          <w:lang w:val="ru-RU"/>
        </w:rPr>
        <w:t xml:space="preserve">и наиболее ликвидными, т.е. сделки с ними совершаются наиболее активно. </w:t>
      </w:r>
      <w:r w:rsidR="00121589">
        <w:rPr>
          <w:rFonts w:ascii="Times New Roman" w:hAnsi="Times New Roman" w:cs="Times New Roman"/>
          <w:sz w:val="28"/>
          <w:lang w:val="ru-RU"/>
        </w:rPr>
        <w:t>Список эмитентов наиболее ликвидных акций по итогам 2014 года представлен в табл. 3.</w:t>
      </w:r>
      <w:r w:rsidR="005B0FC8">
        <w:rPr>
          <w:rFonts w:ascii="Times New Roman" w:hAnsi="Times New Roman" w:cs="Times New Roman"/>
          <w:sz w:val="28"/>
          <w:lang w:val="ru-RU"/>
        </w:rPr>
        <w:t xml:space="preserve"> Из таблицы видно, что список наиболее ликвидных акций практически полностью повторяет список наиболее капита</w:t>
      </w:r>
      <w:r w:rsidR="00D436BC">
        <w:rPr>
          <w:rFonts w:ascii="Times New Roman" w:hAnsi="Times New Roman" w:cs="Times New Roman"/>
          <w:sz w:val="28"/>
          <w:lang w:val="ru-RU"/>
        </w:rPr>
        <w:softHyphen/>
      </w:r>
      <w:r w:rsidR="005B0FC8">
        <w:rPr>
          <w:rFonts w:ascii="Times New Roman" w:hAnsi="Times New Roman" w:cs="Times New Roman"/>
          <w:sz w:val="28"/>
          <w:lang w:val="ru-RU"/>
        </w:rPr>
        <w:t>лизированных эмитентов (за исключением Группы компаний ПИК и ОАО «Татнефть»</w:t>
      </w:r>
      <w:r w:rsidR="00D436BC">
        <w:rPr>
          <w:rFonts w:ascii="Times New Roman" w:hAnsi="Times New Roman" w:cs="Times New Roman"/>
          <w:sz w:val="28"/>
          <w:lang w:val="ru-RU"/>
        </w:rPr>
        <w:t>).</w:t>
      </w:r>
    </w:p>
    <w:p w:rsidR="00121589" w:rsidRDefault="00121589" w:rsidP="00D43A4A">
      <w:pPr>
        <w:pStyle w:val="3"/>
      </w:pPr>
      <w:r>
        <w:t>Таблица 3</w:t>
      </w:r>
    </w:p>
    <w:p w:rsidR="00121589" w:rsidRDefault="00B9549D" w:rsidP="00D43A4A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Список эмитентов наиболее ликвидных акций</w:t>
      </w:r>
      <w:r w:rsidR="00D43A4A">
        <w:rPr>
          <w:rFonts w:ascii="Times New Roman" w:hAnsi="Times New Roman" w:cs="Times New Roman"/>
          <w:sz w:val="28"/>
          <w:lang w:val="ru-RU"/>
        </w:rPr>
        <w:br/>
      </w:r>
      <w:r w:rsidR="006A3B10">
        <w:rPr>
          <w:rFonts w:ascii="Times New Roman" w:hAnsi="Times New Roman" w:cs="Times New Roman"/>
          <w:sz w:val="28"/>
          <w:lang w:val="ru-RU"/>
        </w:rPr>
        <w:t>н</w:t>
      </w:r>
      <w:r>
        <w:rPr>
          <w:rFonts w:ascii="Times New Roman" w:hAnsi="Times New Roman" w:cs="Times New Roman"/>
          <w:sz w:val="28"/>
          <w:lang w:val="ru-RU"/>
        </w:rPr>
        <w:t>а фондовом рынке Московской биржи в 2014 г.</w:t>
      </w:r>
    </w:p>
    <w:tbl>
      <w:tblPr>
        <w:tblW w:w="6105" w:type="dxa"/>
        <w:jc w:val="center"/>
        <w:tblCellMar>
          <w:left w:w="28" w:type="dxa"/>
          <w:right w:w="28" w:type="dxa"/>
        </w:tblCellMar>
        <w:tblLook w:val="04A0"/>
      </w:tblPr>
      <w:tblGrid>
        <w:gridCol w:w="380"/>
        <w:gridCol w:w="3545"/>
        <w:gridCol w:w="2180"/>
      </w:tblGrid>
      <w:tr w:rsidR="005D4F5F" w:rsidRPr="005D4F5F" w:rsidTr="00A900B8">
        <w:trPr>
          <w:trHeight w:val="20"/>
          <w:jc w:val="center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4F5F" w:rsidRPr="005D4F5F" w:rsidRDefault="005D4F5F" w:rsidP="005D4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5D4F5F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№</w:t>
            </w:r>
          </w:p>
        </w:tc>
        <w:tc>
          <w:tcPr>
            <w:tcW w:w="3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4F5F" w:rsidRPr="005D4F5F" w:rsidRDefault="005D4F5F" w:rsidP="005D4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5D4F5F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Эмитент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D4F5F" w:rsidRPr="005D4F5F" w:rsidRDefault="005D4F5F" w:rsidP="005D4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5D4F5F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Доля в суммарном объеме торгов, %</w:t>
            </w:r>
          </w:p>
        </w:tc>
      </w:tr>
      <w:tr w:rsidR="005D4F5F" w:rsidRPr="005D4F5F" w:rsidTr="00A900B8">
        <w:trPr>
          <w:trHeight w:val="2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F5F" w:rsidRPr="005D4F5F" w:rsidRDefault="005D4F5F" w:rsidP="005D4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5D4F5F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1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F5F" w:rsidRPr="005D4F5F" w:rsidRDefault="005D4F5F" w:rsidP="005D4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5D4F5F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ОАО "Газпром"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F5F" w:rsidRPr="005D4F5F" w:rsidRDefault="005D4F5F" w:rsidP="005D4F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5D4F5F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19,50%</w:t>
            </w:r>
          </w:p>
        </w:tc>
      </w:tr>
      <w:tr w:rsidR="005D4F5F" w:rsidRPr="005D4F5F" w:rsidTr="00A900B8">
        <w:trPr>
          <w:trHeight w:val="2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F5F" w:rsidRPr="005D4F5F" w:rsidRDefault="005D4F5F" w:rsidP="005D4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5D4F5F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2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F5F" w:rsidRPr="005D4F5F" w:rsidRDefault="005D4F5F" w:rsidP="005D4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5D4F5F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ОАО "Банк ВТБ"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F5F" w:rsidRPr="005D4F5F" w:rsidRDefault="005D4F5F" w:rsidP="005D4F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5D4F5F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16,80%</w:t>
            </w:r>
          </w:p>
        </w:tc>
      </w:tr>
      <w:tr w:rsidR="005D4F5F" w:rsidRPr="005D4F5F" w:rsidTr="00A900B8">
        <w:trPr>
          <w:trHeight w:val="2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F5F" w:rsidRPr="005D4F5F" w:rsidRDefault="005D4F5F" w:rsidP="005D4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5D4F5F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3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F5F" w:rsidRPr="005D4F5F" w:rsidRDefault="005D4F5F" w:rsidP="005D4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5D4F5F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ОАО "Сбербанк России"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F5F" w:rsidRPr="005D4F5F" w:rsidRDefault="005D4F5F" w:rsidP="005D4F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5D4F5F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16,30%</w:t>
            </w:r>
          </w:p>
        </w:tc>
      </w:tr>
      <w:tr w:rsidR="005D4F5F" w:rsidRPr="005D4F5F" w:rsidTr="00A900B8">
        <w:trPr>
          <w:trHeight w:val="2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F5F" w:rsidRPr="005D4F5F" w:rsidRDefault="005D4F5F" w:rsidP="005D4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5D4F5F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4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F5F" w:rsidRPr="005D4F5F" w:rsidRDefault="005D4F5F" w:rsidP="005D4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5D4F5F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ОАО "ГМК Норильский никель"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F5F" w:rsidRPr="005D4F5F" w:rsidRDefault="005D4F5F" w:rsidP="005D4F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5D4F5F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9%</w:t>
            </w:r>
          </w:p>
        </w:tc>
      </w:tr>
      <w:tr w:rsidR="005D4F5F" w:rsidRPr="005D4F5F" w:rsidTr="00A900B8">
        <w:trPr>
          <w:trHeight w:val="2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F5F" w:rsidRPr="005D4F5F" w:rsidRDefault="005D4F5F" w:rsidP="005D4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5D4F5F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5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F5F" w:rsidRPr="005D4F5F" w:rsidRDefault="005D4F5F" w:rsidP="005D4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5D4F5F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ОАО "НК Роснефть"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F5F" w:rsidRPr="005D4F5F" w:rsidRDefault="005D4F5F" w:rsidP="005D4F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5D4F5F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4,30%</w:t>
            </w:r>
          </w:p>
        </w:tc>
      </w:tr>
      <w:tr w:rsidR="005D4F5F" w:rsidRPr="005D4F5F" w:rsidTr="00A900B8">
        <w:trPr>
          <w:trHeight w:val="2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F5F" w:rsidRPr="005D4F5F" w:rsidRDefault="005D4F5F" w:rsidP="005D4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5D4F5F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6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F5F" w:rsidRPr="005D4F5F" w:rsidRDefault="005D4F5F" w:rsidP="005D4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5D4F5F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ОАО "Сургутнефтегаз"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F5F" w:rsidRPr="005D4F5F" w:rsidRDefault="005D4F5F" w:rsidP="005D4F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5D4F5F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3,90%</w:t>
            </w:r>
          </w:p>
        </w:tc>
      </w:tr>
      <w:tr w:rsidR="005D4F5F" w:rsidRPr="005D4F5F" w:rsidTr="00A900B8">
        <w:trPr>
          <w:trHeight w:val="2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F5F" w:rsidRPr="005D4F5F" w:rsidRDefault="005D4F5F" w:rsidP="005D4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5D4F5F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7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F5F" w:rsidRPr="005D4F5F" w:rsidRDefault="005D4F5F" w:rsidP="005D4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5D4F5F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ОАО "Группа компаний ПИК"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F5F" w:rsidRPr="005D4F5F" w:rsidRDefault="005D4F5F" w:rsidP="005D4F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5D4F5F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3,60%</w:t>
            </w:r>
          </w:p>
        </w:tc>
      </w:tr>
      <w:tr w:rsidR="005D4F5F" w:rsidRPr="005D4F5F" w:rsidTr="00A900B8">
        <w:trPr>
          <w:trHeight w:val="2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F5F" w:rsidRPr="005D4F5F" w:rsidRDefault="005D4F5F" w:rsidP="005D4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5D4F5F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8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F5F" w:rsidRPr="005D4F5F" w:rsidRDefault="005D4F5F" w:rsidP="005D4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5D4F5F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ОАО "ЛУКОЙЛ"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F5F" w:rsidRPr="005D4F5F" w:rsidRDefault="005D4F5F" w:rsidP="005D4F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5D4F5F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3,40%</w:t>
            </w:r>
          </w:p>
        </w:tc>
      </w:tr>
      <w:tr w:rsidR="005D4F5F" w:rsidRPr="005D4F5F" w:rsidTr="00A900B8">
        <w:trPr>
          <w:trHeight w:val="2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F5F" w:rsidRPr="005D4F5F" w:rsidRDefault="005D4F5F" w:rsidP="005D4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5D4F5F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9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F5F" w:rsidRPr="005D4F5F" w:rsidRDefault="005D4F5F" w:rsidP="005D4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5D4F5F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ОАО "Татнефть"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F5F" w:rsidRPr="005D4F5F" w:rsidRDefault="005D4F5F" w:rsidP="005D4F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5D4F5F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3,10%</w:t>
            </w:r>
          </w:p>
        </w:tc>
      </w:tr>
      <w:tr w:rsidR="005D4F5F" w:rsidRPr="005D4F5F" w:rsidTr="00A900B8">
        <w:trPr>
          <w:trHeight w:val="2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F5F" w:rsidRPr="005D4F5F" w:rsidRDefault="005D4F5F" w:rsidP="005D4F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5D4F5F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10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F5F" w:rsidRPr="005D4F5F" w:rsidRDefault="005D4F5F" w:rsidP="005D4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5D4F5F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ПАО "Магнит"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F5F" w:rsidRPr="005D4F5F" w:rsidRDefault="005D4F5F" w:rsidP="005D4F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5D4F5F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2,30%</w:t>
            </w:r>
          </w:p>
        </w:tc>
      </w:tr>
      <w:tr w:rsidR="005D4F5F" w:rsidRPr="00397F72" w:rsidTr="00A900B8">
        <w:trPr>
          <w:trHeight w:val="20"/>
          <w:jc w:val="center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F5F" w:rsidRPr="00397F72" w:rsidRDefault="005D4F5F" w:rsidP="005D4F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val="ru-RU" w:eastAsia="uk-UA"/>
              </w:rPr>
            </w:pPr>
            <w:r w:rsidRPr="00397F72"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val="ru-RU" w:eastAsia="uk-UA"/>
              </w:rPr>
              <w:t> 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F5F" w:rsidRPr="00397F72" w:rsidRDefault="005D4F5F" w:rsidP="005D4F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val="ru-RU" w:eastAsia="uk-UA"/>
              </w:rPr>
            </w:pPr>
            <w:r w:rsidRPr="00397F72"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val="ru-RU" w:eastAsia="uk-UA"/>
              </w:rPr>
              <w:t>Итого: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F5F" w:rsidRPr="00397F72" w:rsidRDefault="005D4F5F" w:rsidP="005D4F5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val="ru-RU" w:eastAsia="uk-UA"/>
              </w:rPr>
            </w:pPr>
            <w:r w:rsidRPr="00397F72">
              <w:rPr>
                <w:rFonts w:ascii="Times New Roman" w:eastAsia="Times New Roman" w:hAnsi="Times New Roman" w:cs="Times New Roman"/>
                <w:b/>
                <w:color w:val="000000"/>
                <w:sz w:val="24"/>
                <w:lang w:val="ru-RU" w:eastAsia="uk-UA"/>
              </w:rPr>
              <w:t>82,20%</w:t>
            </w:r>
          </w:p>
        </w:tc>
      </w:tr>
    </w:tbl>
    <w:p w:rsidR="0098607A" w:rsidRDefault="0098607A" w:rsidP="005E05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CE3946" w:rsidRDefault="00417945" w:rsidP="005E05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Таким образом, 82,2% стоимости всех сделок </w:t>
      </w:r>
      <w:r w:rsidR="00EA04EE">
        <w:rPr>
          <w:rFonts w:ascii="Times New Roman" w:hAnsi="Times New Roman" w:cs="Times New Roman"/>
          <w:sz w:val="28"/>
          <w:lang w:val="ru-RU"/>
        </w:rPr>
        <w:t xml:space="preserve">купли-продажи акций на Московской бирже приходится </w:t>
      </w:r>
      <w:r w:rsidR="00F54F8C">
        <w:rPr>
          <w:rFonts w:ascii="Times New Roman" w:hAnsi="Times New Roman" w:cs="Times New Roman"/>
          <w:sz w:val="28"/>
          <w:lang w:val="ru-RU"/>
        </w:rPr>
        <w:t xml:space="preserve">на акции всего 10 эмитентов. </w:t>
      </w:r>
      <w:r w:rsidR="003503FD">
        <w:rPr>
          <w:rFonts w:ascii="Times New Roman" w:hAnsi="Times New Roman" w:cs="Times New Roman"/>
          <w:sz w:val="28"/>
          <w:lang w:val="ru-RU"/>
        </w:rPr>
        <w:t xml:space="preserve">Следует отметить, </w:t>
      </w:r>
      <w:r w:rsidR="00FA02F2">
        <w:rPr>
          <w:rFonts w:ascii="Times New Roman" w:hAnsi="Times New Roman" w:cs="Times New Roman"/>
          <w:sz w:val="28"/>
          <w:lang w:val="ru-RU"/>
        </w:rPr>
        <w:t xml:space="preserve">что раньше эта доля была значительно больше. Например, в 2005 году доля 10 наиболее ликвидных акций составляла 95,9% от всей </w:t>
      </w:r>
      <w:r w:rsidR="00AB14CF">
        <w:rPr>
          <w:rFonts w:ascii="Times New Roman" w:hAnsi="Times New Roman" w:cs="Times New Roman"/>
          <w:sz w:val="28"/>
          <w:lang w:val="ru-RU"/>
        </w:rPr>
        <w:t>стоимости торгов.</w:t>
      </w:r>
    </w:p>
    <w:p w:rsidR="0008278E" w:rsidRDefault="00400E9D" w:rsidP="005E05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С</w:t>
      </w:r>
      <w:r w:rsidR="007B6896">
        <w:rPr>
          <w:rFonts w:ascii="Times New Roman" w:hAnsi="Times New Roman" w:cs="Times New Roman"/>
          <w:sz w:val="28"/>
          <w:lang w:val="ru-RU"/>
        </w:rPr>
        <w:t xml:space="preserve">ложившаяся </w:t>
      </w:r>
      <w:r>
        <w:rPr>
          <w:rFonts w:ascii="Times New Roman" w:hAnsi="Times New Roman" w:cs="Times New Roman"/>
          <w:sz w:val="28"/>
          <w:lang w:val="ru-RU"/>
        </w:rPr>
        <w:t xml:space="preserve">на фондовом рынке </w:t>
      </w:r>
      <w:r w:rsidR="007B6896">
        <w:rPr>
          <w:rFonts w:ascii="Times New Roman" w:hAnsi="Times New Roman" w:cs="Times New Roman"/>
          <w:sz w:val="28"/>
          <w:lang w:val="ru-RU"/>
        </w:rPr>
        <w:t xml:space="preserve">ситуация </w:t>
      </w:r>
      <w:r w:rsidR="00D866BF">
        <w:rPr>
          <w:rFonts w:ascii="Times New Roman" w:hAnsi="Times New Roman" w:cs="Times New Roman"/>
          <w:sz w:val="28"/>
          <w:lang w:val="ru-RU"/>
        </w:rPr>
        <w:t xml:space="preserve">мешает развитию </w:t>
      </w:r>
      <w:r w:rsidR="0011330F">
        <w:rPr>
          <w:rFonts w:ascii="Times New Roman" w:hAnsi="Times New Roman" w:cs="Times New Roman"/>
          <w:sz w:val="28"/>
          <w:lang w:val="ru-RU"/>
        </w:rPr>
        <w:t>коллектив</w:t>
      </w:r>
      <w:r>
        <w:rPr>
          <w:rFonts w:ascii="Times New Roman" w:hAnsi="Times New Roman" w:cs="Times New Roman"/>
          <w:sz w:val="28"/>
          <w:lang w:val="ru-RU"/>
        </w:rPr>
        <w:softHyphen/>
      </w:r>
      <w:r w:rsidR="0011330F">
        <w:rPr>
          <w:rFonts w:ascii="Times New Roman" w:hAnsi="Times New Roman" w:cs="Times New Roman"/>
          <w:sz w:val="28"/>
          <w:lang w:val="ru-RU"/>
        </w:rPr>
        <w:t xml:space="preserve">ного инвестирования. </w:t>
      </w:r>
      <w:r w:rsidR="00C7729F">
        <w:rPr>
          <w:rFonts w:ascii="Times New Roman" w:hAnsi="Times New Roman" w:cs="Times New Roman"/>
          <w:sz w:val="28"/>
          <w:lang w:val="ru-RU"/>
        </w:rPr>
        <w:t>Институты коллективного инвестирования (паевые инвестиционные фонды, негосударственные пенсионные фонды и пр.)</w:t>
      </w:r>
      <w:r w:rsidR="00477CAF">
        <w:rPr>
          <w:rFonts w:ascii="Times New Roman" w:hAnsi="Times New Roman" w:cs="Times New Roman"/>
          <w:sz w:val="28"/>
          <w:lang w:val="ru-RU"/>
        </w:rPr>
        <w:t xml:space="preserve"> остро ощущают нехватку широкой линейки инструментов инвестирования.</w:t>
      </w:r>
      <w:r w:rsidR="00BB17FA">
        <w:rPr>
          <w:rFonts w:ascii="Times New Roman" w:hAnsi="Times New Roman" w:cs="Times New Roman"/>
          <w:sz w:val="28"/>
          <w:lang w:val="ru-RU"/>
        </w:rPr>
        <w:t xml:space="preserve"> </w:t>
      </w:r>
      <w:r w:rsidR="00294071">
        <w:rPr>
          <w:rFonts w:ascii="Times New Roman" w:hAnsi="Times New Roman" w:cs="Times New Roman"/>
          <w:sz w:val="28"/>
          <w:lang w:val="ru-RU"/>
        </w:rPr>
        <w:t>Число обращающихся на рынке ликвидных акций не может обеспечивать достаточ</w:t>
      </w:r>
      <w:r w:rsidR="001D1E5D">
        <w:rPr>
          <w:rFonts w:ascii="Times New Roman" w:hAnsi="Times New Roman" w:cs="Times New Roman"/>
          <w:sz w:val="28"/>
          <w:lang w:val="ru-RU"/>
        </w:rPr>
        <w:softHyphen/>
      </w:r>
      <w:r w:rsidR="00294071">
        <w:rPr>
          <w:rFonts w:ascii="Times New Roman" w:hAnsi="Times New Roman" w:cs="Times New Roman"/>
          <w:sz w:val="28"/>
          <w:lang w:val="ru-RU"/>
        </w:rPr>
        <w:t xml:space="preserve">ного уровня диверсификации, следовательно, </w:t>
      </w:r>
      <w:r w:rsidR="00601BE1">
        <w:rPr>
          <w:rFonts w:ascii="Times New Roman" w:hAnsi="Times New Roman" w:cs="Times New Roman"/>
          <w:sz w:val="28"/>
          <w:lang w:val="ru-RU"/>
        </w:rPr>
        <w:t xml:space="preserve">вкладывать средства в ПИФы достаточно рискованно. </w:t>
      </w:r>
      <w:r w:rsidR="00705478">
        <w:rPr>
          <w:rFonts w:ascii="Times New Roman" w:hAnsi="Times New Roman" w:cs="Times New Roman"/>
          <w:sz w:val="28"/>
          <w:lang w:val="ru-RU"/>
        </w:rPr>
        <w:t xml:space="preserve">Между тем, в развитой экономике именно сбережения частных лиц </w:t>
      </w:r>
      <w:r w:rsidR="00E44DE2">
        <w:rPr>
          <w:rFonts w:ascii="Times New Roman" w:hAnsi="Times New Roman" w:cs="Times New Roman"/>
          <w:sz w:val="28"/>
          <w:lang w:val="ru-RU"/>
        </w:rPr>
        <w:t xml:space="preserve">являются основным источником </w:t>
      </w:r>
      <w:r w:rsidR="00A40573">
        <w:rPr>
          <w:rFonts w:ascii="Times New Roman" w:hAnsi="Times New Roman" w:cs="Times New Roman"/>
          <w:sz w:val="28"/>
          <w:lang w:val="ru-RU"/>
        </w:rPr>
        <w:t>инвестиций.</w:t>
      </w:r>
    </w:p>
    <w:p w:rsidR="00A40573" w:rsidRDefault="007D38BC" w:rsidP="005E05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По данным НАУФОР, </w:t>
      </w:r>
      <w:r w:rsidR="00AD6626">
        <w:rPr>
          <w:rFonts w:ascii="Times New Roman" w:hAnsi="Times New Roman" w:cs="Times New Roman"/>
          <w:sz w:val="28"/>
          <w:lang w:val="ru-RU"/>
        </w:rPr>
        <w:t>число инвесторов - физических лиц за 2014 год составило 1079,5 тыс. чел., в том числе 62,5 тыс.</w:t>
      </w:r>
      <w:r w:rsidR="000B1C29">
        <w:rPr>
          <w:rFonts w:ascii="Times New Roman" w:hAnsi="Times New Roman" w:cs="Times New Roman"/>
          <w:sz w:val="28"/>
          <w:lang w:val="ru-RU"/>
        </w:rPr>
        <w:t xml:space="preserve"> </w:t>
      </w:r>
      <w:r w:rsidR="00AD6626">
        <w:rPr>
          <w:rFonts w:ascii="Times New Roman" w:hAnsi="Times New Roman" w:cs="Times New Roman"/>
          <w:sz w:val="28"/>
          <w:lang w:val="ru-RU"/>
        </w:rPr>
        <w:t xml:space="preserve">чел. активных инвесторов (к активным инвесторам относят лиц, которые совершают хотя бы одну сделку в месяц). </w:t>
      </w:r>
      <w:r w:rsidR="000B1C29">
        <w:rPr>
          <w:rFonts w:ascii="Times New Roman" w:hAnsi="Times New Roman" w:cs="Times New Roman"/>
          <w:sz w:val="28"/>
          <w:lang w:val="ru-RU"/>
        </w:rPr>
        <w:t xml:space="preserve">В то же время число физических лиц, передавших свои средства в доверительное управление для операций на организованном </w:t>
      </w:r>
      <w:r w:rsidR="00332D56">
        <w:rPr>
          <w:rFonts w:ascii="Times New Roman" w:hAnsi="Times New Roman" w:cs="Times New Roman"/>
          <w:sz w:val="28"/>
          <w:lang w:val="ru-RU"/>
        </w:rPr>
        <w:t xml:space="preserve">фондовом рынке, за 2014 г. составило всего 12,9 тыс. чел. </w:t>
      </w:r>
      <w:r w:rsidR="006A4DAC">
        <w:rPr>
          <w:rFonts w:ascii="Times New Roman" w:hAnsi="Times New Roman" w:cs="Times New Roman"/>
          <w:sz w:val="28"/>
          <w:lang w:val="ru-RU"/>
        </w:rPr>
        <w:t xml:space="preserve">Очевидно, что </w:t>
      </w:r>
      <w:r w:rsidR="00141FB8">
        <w:rPr>
          <w:rFonts w:ascii="Times New Roman" w:hAnsi="Times New Roman" w:cs="Times New Roman"/>
          <w:sz w:val="28"/>
          <w:lang w:val="ru-RU"/>
        </w:rPr>
        <w:t xml:space="preserve">институты </w:t>
      </w:r>
      <w:r w:rsidR="00123548">
        <w:rPr>
          <w:rFonts w:ascii="Times New Roman" w:hAnsi="Times New Roman" w:cs="Times New Roman"/>
          <w:sz w:val="28"/>
          <w:lang w:val="ru-RU"/>
        </w:rPr>
        <w:t>коллектив</w:t>
      </w:r>
      <w:r w:rsidR="00A855AB">
        <w:rPr>
          <w:rFonts w:ascii="Times New Roman" w:hAnsi="Times New Roman" w:cs="Times New Roman"/>
          <w:sz w:val="28"/>
          <w:lang w:val="ru-RU"/>
        </w:rPr>
        <w:softHyphen/>
      </w:r>
      <w:r w:rsidR="00123548">
        <w:rPr>
          <w:rFonts w:ascii="Times New Roman" w:hAnsi="Times New Roman" w:cs="Times New Roman"/>
          <w:sz w:val="28"/>
          <w:lang w:val="ru-RU"/>
        </w:rPr>
        <w:t xml:space="preserve">ного инвестирования </w:t>
      </w:r>
      <w:r w:rsidR="00C116B9">
        <w:rPr>
          <w:rFonts w:ascii="Times New Roman" w:hAnsi="Times New Roman" w:cs="Times New Roman"/>
          <w:sz w:val="28"/>
          <w:lang w:val="ru-RU"/>
        </w:rPr>
        <w:t>не пользуются доверием населения, и люди, желающие инвестировать свободные денежные средства, предпочитают делать это самостоятельно.</w:t>
      </w:r>
    </w:p>
    <w:p w:rsidR="00C116B9" w:rsidRDefault="00496341" w:rsidP="005E05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Еще одной </w:t>
      </w:r>
      <w:r w:rsidR="00597DB5">
        <w:rPr>
          <w:rFonts w:ascii="Times New Roman" w:hAnsi="Times New Roman" w:cs="Times New Roman"/>
          <w:sz w:val="28"/>
          <w:lang w:val="ru-RU"/>
        </w:rPr>
        <w:t>серьезной проблемой, помимо недоверия к институтам коллективного инвестирования, является нацеленность большинства инвес</w:t>
      </w:r>
      <w:r w:rsidR="009E1EE4">
        <w:rPr>
          <w:rFonts w:ascii="Times New Roman" w:hAnsi="Times New Roman" w:cs="Times New Roman"/>
          <w:sz w:val="28"/>
          <w:lang w:val="ru-RU"/>
        </w:rPr>
        <w:softHyphen/>
      </w:r>
      <w:r w:rsidR="00597DB5">
        <w:rPr>
          <w:rFonts w:ascii="Times New Roman" w:hAnsi="Times New Roman" w:cs="Times New Roman"/>
          <w:sz w:val="28"/>
          <w:lang w:val="ru-RU"/>
        </w:rPr>
        <w:t xml:space="preserve">торов на получение спекулятивной прибыли за счет роста стоимости акций. </w:t>
      </w:r>
      <w:r w:rsidR="009E1EE4">
        <w:rPr>
          <w:rFonts w:ascii="Times New Roman" w:hAnsi="Times New Roman" w:cs="Times New Roman"/>
          <w:sz w:val="28"/>
          <w:lang w:val="ru-RU"/>
        </w:rPr>
        <w:t xml:space="preserve">Во-первых, это делает невозможным привлечение финансовых ресурсов для долгосрочных инвестиций, а во-вторых, </w:t>
      </w:r>
      <w:r w:rsidR="004C17BB">
        <w:rPr>
          <w:rFonts w:ascii="Times New Roman" w:hAnsi="Times New Roman" w:cs="Times New Roman"/>
          <w:sz w:val="28"/>
          <w:lang w:val="ru-RU"/>
        </w:rPr>
        <w:t xml:space="preserve">повышает волатильность фондового рынка – ведь инвесторы, нацеленные на получение прибыли в краткосрочном периоде, внимательно следят за колебаниями курса </w:t>
      </w:r>
      <w:r w:rsidR="007A5071">
        <w:rPr>
          <w:rFonts w:ascii="Times New Roman" w:hAnsi="Times New Roman" w:cs="Times New Roman"/>
          <w:sz w:val="28"/>
          <w:lang w:val="ru-RU"/>
        </w:rPr>
        <w:t>и оперативно на них реаги</w:t>
      </w:r>
      <w:r w:rsidR="00A95A25">
        <w:rPr>
          <w:rFonts w:ascii="Times New Roman" w:hAnsi="Times New Roman" w:cs="Times New Roman"/>
          <w:sz w:val="28"/>
          <w:lang w:val="ru-RU"/>
        </w:rPr>
        <w:softHyphen/>
      </w:r>
      <w:r w:rsidR="007A5071">
        <w:rPr>
          <w:rFonts w:ascii="Times New Roman" w:hAnsi="Times New Roman" w:cs="Times New Roman"/>
          <w:sz w:val="28"/>
          <w:lang w:val="ru-RU"/>
        </w:rPr>
        <w:t xml:space="preserve">руют. </w:t>
      </w:r>
    </w:p>
    <w:p w:rsidR="007A5071" w:rsidRDefault="00B85454" w:rsidP="00B854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Внутренний рынок облигаций включает в себя три сегмента – рынок корпоративных, федеральных и субфедеральных и муниципальных облигаций (рис. 2).</w:t>
      </w:r>
    </w:p>
    <w:p w:rsidR="00204B8C" w:rsidRPr="00536121" w:rsidRDefault="00204B8C" w:rsidP="00204B8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Из рисунка видно, что на сегодняшний день наибольший удельный вес в объеме рынка занимают корпоративные облигации. С докризисного 2007 года объем рынка корпоративных облигаций увеличился с 1272 млрд. руб. до 6623 млрд. руб., т.е. более чем в 5 раз. Также значительно возрос объем торгов – с 2716 млрд. руб. в 2007 г. до 4293 млрд. руб. в 2014 г. Таким образом, сегмент корпоративных облигаций достаточно активно развивается</w:t>
      </w:r>
      <w:r w:rsidR="001D585C">
        <w:rPr>
          <w:rFonts w:ascii="Times New Roman" w:hAnsi="Times New Roman" w:cs="Times New Roman"/>
          <w:sz w:val="28"/>
          <w:lang w:val="ru-RU"/>
        </w:rPr>
        <w:t>.</w:t>
      </w:r>
    </w:p>
    <w:p w:rsidR="00204B8C" w:rsidRDefault="00204B8C" w:rsidP="00B854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</w:p>
    <w:p w:rsidR="00B85454" w:rsidRPr="00DB5A5B" w:rsidRDefault="00FC2CA4" w:rsidP="00DB5A5B">
      <w:pPr>
        <w:keepNext/>
        <w:spacing w:before="120" w:after="120" w:line="360" w:lineRule="auto"/>
        <w:jc w:val="center"/>
        <w:rPr>
          <w:rFonts w:ascii="Times New Roman" w:hAnsi="Times New Roman" w:cs="Times New Roman"/>
          <w:noProof/>
          <w:sz w:val="28"/>
          <w:lang w:eastAsia="uk-UA"/>
        </w:rPr>
      </w:pPr>
      <w:r w:rsidRPr="00DB5A5B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>
            <wp:extent cx="4572000" cy="2743200"/>
            <wp:effectExtent l="19050" t="0" r="19050" b="0"/>
            <wp:docPr id="2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C2CA4" w:rsidRDefault="00FC2CA4" w:rsidP="00DB5A5B">
      <w:pPr>
        <w:spacing w:before="120" w:after="12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Рис. 2. Структура российского рынка облигаций</w:t>
      </w:r>
    </w:p>
    <w:p w:rsidR="00065C95" w:rsidRDefault="00536121" w:rsidP="00B854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Сегмент федеральных облигаций также достаточно активно развивается (его объем увеличился с 1250 млрд. руб. в 2007 году до 4693 млрд. руб. в 2014 г., т.е. в 3,8 раза). </w:t>
      </w:r>
      <w:r w:rsidR="00637A8B">
        <w:rPr>
          <w:rFonts w:ascii="Times New Roman" w:hAnsi="Times New Roman" w:cs="Times New Roman"/>
          <w:sz w:val="28"/>
          <w:lang w:val="ru-RU"/>
        </w:rPr>
        <w:t xml:space="preserve">Тем не менее, </w:t>
      </w:r>
      <w:r w:rsidR="00BA0A87">
        <w:rPr>
          <w:rFonts w:ascii="Times New Roman" w:hAnsi="Times New Roman" w:cs="Times New Roman"/>
          <w:sz w:val="28"/>
          <w:lang w:val="ru-RU"/>
        </w:rPr>
        <w:t xml:space="preserve">по объемам и темпам роста он уступает сегменту корпоративных облигаций, и его удельный вес в объеме рынка долговых ценных бумаг постепенно сокращается. </w:t>
      </w:r>
      <w:r w:rsidR="003A08F1">
        <w:rPr>
          <w:rFonts w:ascii="Times New Roman" w:hAnsi="Times New Roman" w:cs="Times New Roman"/>
          <w:sz w:val="28"/>
          <w:lang w:val="ru-RU"/>
        </w:rPr>
        <w:t xml:space="preserve">Это вызвано следующими </w:t>
      </w:r>
      <w:r w:rsidR="003D65D0">
        <w:rPr>
          <w:rFonts w:ascii="Times New Roman" w:hAnsi="Times New Roman" w:cs="Times New Roman"/>
          <w:sz w:val="28"/>
          <w:lang w:val="ru-RU"/>
        </w:rPr>
        <w:t>проблемами:</w:t>
      </w:r>
    </w:p>
    <w:p w:rsidR="003D65D0" w:rsidRDefault="006B7C7D" w:rsidP="006B7C7D">
      <w:pPr>
        <w:pStyle w:val="a3"/>
        <w:numPr>
          <w:ilvl w:val="0"/>
          <w:numId w:val="3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lang w:val="ru-RU"/>
        </w:rPr>
      </w:pPr>
      <w:r w:rsidRPr="006B7C7D">
        <w:rPr>
          <w:rFonts w:ascii="Times New Roman" w:hAnsi="Times New Roman" w:cs="Times New Roman"/>
          <w:sz w:val="28"/>
          <w:lang w:val="ru-RU"/>
        </w:rPr>
        <w:t>Низкая доходность государственных ценных бумаг, вследствие чего более привлекательными для инвесторов являются акции преуспе</w:t>
      </w:r>
      <w:r>
        <w:rPr>
          <w:rFonts w:ascii="Times New Roman" w:hAnsi="Times New Roman" w:cs="Times New Roman"/>
          <w:sz w:val="28"/>
          <w:lang w:val="ru-RU"/>
        </w:rPr>
        <w:softHyphen/>
      </w:r>
      <w:r w:rsidRPr="006B7C7D">
        <w:rPr>
          <w:rFonts w:ascii="Times New Roman" w:hAnsi="Times New Roman" w:cs="Times New Roman"/>
          <w:sz w:val="28"/>
          <w:lang w:val="ru-RU"/>
        </w:rPr>
        <w:t>вающих компаний.</w:t>
      </w:r>
    </w:p>
    <w:p w:rsidR="006B7C7D" w:rsidRPr="006B7C7D" w:rsidRDefault="001E1F6B" w:rsidP="006B7C7D">
      <w:pPr>
        <w:pStyle w:val="a3"/>
        <w:numPr>
          <w:ilvl w:val="0"/>
          <w:numId w:val="3"/>
        </w:numPr>
        <w:spacing w:after="0" w:line="360" w:lineRule="auto"/>
        <w:ind w:left="1134" w:hanging="567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Недостаточность специальных финансовых инструментов, ориентированных на частных инвесторов.</w:t>
      </w:r>
    </w:p>
    <w:p w:rsidR="006B7C7D" w:rsidRDefault="008C5751" w:rsidP="00B854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Наименее развитым сегментом </w:t>
      </w:r>
      <w:r w:rsidR="00D37D94">
        <w:rPr>
          <w:rFonts w:ascii="Times New Roman" w:hAnsi="Times New Roman" w:cs="Times New Roman"/>
          <w:sz w:val="28"/>
          <w:lang w:val="ru-RU"/>
        </w:rPr>
        <w:t>рынка облигаций является сегмент субфедеральных и муниципальных долговых ценных бумаг.</w:t>
      </w:r>
      <w:r w:rsidR="005B2606">
        <w:rPr>
          <w:rFonts w:ascii="Times New Roman" w:hAnsi="Times New Roman" w:cs="Times New Roman"/>
          <w:sz w:val="28"/>
          <w:lang w:val="ru-RU"/>
        </w:rPr>
        <w:t xml:space="preserve"> </w:t>
      </w:r>
      <w:r w:rsidR="004C4BB1">
        <w:rPr>
          <w:rFonts w:ascii="Times New Roman" w:hAnsi="Times New Roman" w:cs="Times New Roman"/>
          <w:sz w:val="28"/>
          <w:lang w:val="ru-RU"/>
        </w:rPr>
        <w:t>Его удельный вес в объеме рынка облигаций в 2014 году составил всего 4,5%. Тем не менее, следует отметить прогресс в развитии этого сегмента – его объем вырос с 221 млрд. руб. в 2007 году до 532 млрд. руб. в 2014 г. (т.е. в 2,4 раза).</w:t>
      </w:r>
    </w:p>
    <w:p w:rsidR="004C4BB1" w:rsidRDefault="00DC1E20" w:rsidP="00B854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Перечислим основные проблемы, в</w:t>
      </w:r>
      <w:r w:rsidR="007722ED">
        <w:rPr>
          <w:rFonts w:ascii="Times New Roman" w:hAnsi="Times New Roman" w:cs="Times New Roman"/>
          <w:sz w:val="28"/>
          <w:lang w:val="ru-RU"/>
        </w:rPr>
        <w:t xml:space="preserve">ыявленные в этом сегменте рынка. Во-первых, если федеральные облигации различны по сроку обращения (т.е. можно выбрать финансовый инструмент </w:t>
      </w:r>
      <w:r w:rsidR="00EE4C7A">
        <w:rPr>
          <w:rFonts w:ascii="Times New Roman" w:hAnsi="Times New Roman" w:cs="Times New Roman"/>
          <w:sz w:val="28"/>
          <w:lang w:val="ru-RU"/>
        </w:rPr>
        <w:t xml:space="preserve">в зависимости от предпочтений инвестора), то субфедеральные облигации в основном представляют собой попытки привлечь долгосрочные финансовые ресурсы и выпускаются на длительные сроки (5-10 лет). </w:t>
      </w:r>
      <w:r w:rsidR="00823DE4">
        <w:rPr>
          <w:rFonts w:ascii="Times New Roman" w:hAnsi="Times New Roman" w:cs="Times New Roman"/>
          <w:sz w:val="28"/>
          <w:lang w:val="ru-RU"/>
        </w:rPr>
        <w:t xml:space="preserve">Поскольку инвесторы в массе своей не готовы к таким долгосрочным вложениям, субфедеральные облигации не пользуются спросом. </w:t>
      </w:r>
    </w:p>
    <w:p w:rsidR="00181562" w:rsidRDefault="00181562" w:rsidP="00B854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Второй проблемой рынка муниципальных облигаций является низкая ликвидность </w:t>
      </w:r>
      <w:r w:rsidR="001F2BE4">
        <w:rPr>
          <w:rFonts w:ascii="Times New Roman" w:hAnsi="Times New Roman" w:cs="Times New Roman"/>
          <w:sz w:val="28"/>
          <w:lang w:val="ru-RU"/>
        </w:rPr>
        <w:t>этого вида ценных бумаг. Она вызвана как сравнительно неболь</w:t>
      </w:r>
      <w:r w:rsidR="001F2BE4">
        <w:rPr>
          <w:rFonts w:ascii="Times New Roman" w:hAnsi="Times New Roman" w:cs="Times New Roman"/>
          <w:sz w:val="28"/>
          <w:lang w:val="ru-RU"/>
        </w:rPr>
        <w:softHyphen/>
        <w:t>шим объемом выпуска, так и неготовностью эмитентов нести расходы по обеспечению ликвидности вторичного рынка своих облигаций.</w:t>
      </w:r>
    </w:p>
    <w:p w:rsidR="001F2BE4" w:rsidRDefault="00F148D0" w:rsidP="00B854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Третьим фактором, тормозящим развитие этого сегмента финансового рынка, является наличие альтернативных источников финансирования для регионов (например, бюджетного кредитования), которые обходятся дешевле облигационных займов.</w:t>
      </w:r>
    </w:p>
    <w:p w:rsidR="00B02BC2" w:rsidRDefault="00B02BC2" w:rsidP="00B854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Помимо проблем, характерных для отдельных сегментов рынка ценных бумаг, следует отметить и проблему, общую для всего фондового рынка. Она заключается в неравномерности покрытия территории страны услугами  финансовых посредников. Основная часть компаний, оказывающих финансовые услуги (брокерские, дилерские, доверительное управление), сосредоточены в Москве. В городах, имеющих население свыше 500 тыс. чел., как правило, </w:t>
      </w:r>
      <w:r w:rsidR="00E72FC0">
        <w:rPr>
          <w:rFonts w:ascii="Times New Roman" w:hAnsi="Times New Roman" w:cs="Times New Roman"/>
          <w:sz w:val="28"/>
          <w:lang w:val="ru-RU"/>
        </w:rPr>
        <w:t xml:space="preserve">присутствуют </w:t>
      </w:r>
      <w:r w:rsidR="00741297">
        <w:rPr>
          <w:rFonts w:ascii="Times New Roman" w:hAnsi="Times New Roman" w:cs="Times New Roman"/>
          <w:sz w:val="28"/>
          <w:lang w:val="ru-RU"/>
        </w:rPr>
        <w:t xml:space="preserve">филиалы </w:t>
      </w:r>
      <w:r w:rsidR="00D147E6">
        <w:rPr>
          <w:rFonts w:ascii="Times New Roman" w:hAnsi="Times New Roman" w:cs="Times New Roman"/>
          <w:sz w:val="28"/>
          <w:lang w:val="ru-RU"/>
        </w:rPr>
        <w:t>подобных компаний, головные офисы которых находятся в столице.</w:t>
      </w:r>
      <w:r w:rsidR="00571187">
        <w:rPr>
          <w:rFonts w:ascii="Times New Roman" w:hAnsi="Times New Roman" w:cs="Times New Roman"/>
          <w:sz w:val="28"/>
          <w:lang w:val="ru-RU"/>
        </w:rPr>
        <w:t xml:space="preserve"> Население менее крупных населенных </w:t>
      </w:r>
      <w:r w:rsidR="00571187">
        <w:rPr>
          <w:rFonts w:ascii="Times New Roman" w:hAnsi="Times New Roman" w:cs="Times New Roman"/>
          <w:sz w:val="28"/>
          <w:lang w:val="ru-RU"/>
        </w:rPr>
        <w:lastRenderedPageBreak/>
        <w:t xml:space="preserve">пунктов вообще не имеет доступа к </w:t>
      </w:r>
      <w:r w:rsidR="00687362">
        <w:rPr>
          <w:rFonts w:ascii="Times New Roman" w:hAnsi="Times New Roman" w:cs="Times New Roman"/>
          <w:sz w:val="28"/>
          <w:lang w:val="ru-RU"/>
        </w:rPr>
        <w:t>услугам финансовых посредников</w:t>
      </w:r>
      <w:r w:rsidR="001D585C">
        <w:rPr>
          <w:rFonts w:ascii="Times New Roman" w:hAnsi="Times New Roman" w:cs="Times New Roman"/>
          <w:sz w:val="28"/>
          <w:lang w:val="ru-RU"/>
        </w:rPr>
        <w:t xml:space="preserve"> [</w:t>
      </w:r>
      <w:r w:rsidR="001D585C" w:rsidRPr="001D585C">
        <w:rPr>
          <w:rFonts w:ascii="Times New Roman" w:hAnsi="Times New Roman" w:cs="Times New Roman"/>
          <w:sz w:val="28"/>
          <w:lang w:val="ru-RU"/>
        </w:rPr>
        <w:t xml:space="preserve">2, </w:t>
      </w:r>
      <w:r w:rsidR="001D585C">
        <w:rPr>
          <w:rFonts w:ascii="Times New Roman" w:hAnsi="Times New Roman" w:cs="Times New Roman"/>
          <w:sz w:val="28"/>
          <w:lang w:val="en-US"/>
        </w:rPr>
        <w:t>C</w:t>
      </w:r>
      <w:r w:rsidR="001D585C" w:rsidRPr="001D585C">
        <w:rPr>
          <w:rFonts w:ascii="Times New Roman" w:hAnsi="Times New Roman" w:cs="Times New Roman"/>
          <w:sz w:val="28"/>
          <w:lang w:val="ru-RU"/>
        </w:rPr>
        <w:t>.</w:t>
      </w:r>
      <w:r w:rsidR="001D585C">
        <w:rPr>
          <w:rFonts w:ascii="Times New Roman" w:hAnsi="Times New Roman" w:cs="Times New Roman"/>
          <w:sz w:val="28"/>
          <w:lang w:val="en-US"/>
        </w:rPr>
        <w:t> </w:t>
      </w:r>
      <w:r w:rsidR="001D585C" w:rsidRPr="001D585C">
        <w:rPr>
          <w:rFonts w:ascii="Times New Roman" w:hAnsi="Times New Roman" w:cs="Times New Roman"/>
          <w:sz w:val="28"/>
          <w:lang w:val="ru-RU"/>
        </w:rPr>
        <w:t>62</w:t>
      </w:r>
      <w:r w:rsidR="001D585C">
        <w:rPr>
          <w:rFonts w:ascii="Times New Roman" w:hAnsi="Times New Roman" w:cs="Times New Roman"/>
          <w:sz w:val="28"/>
          <w:lang w:val="ru-RU"/>
        </w:rPr>
        <w:t>]</w:t>
      </w:r>
      <w:r w:rsidR="00687362">
        <w:rPr>
          <w:rFonts w:ascii="Times New Roman" w:hAnsi="Times New Roman" w:cs="Times New Roman"/>
          <w:sz w:val="28"/>
          <w:lang w:val="ru-RU"/>
        </w:rPr>
        <w:t>.</w:t>
      </w:r>
    </w:p>
    <w:p w:rsidR="00F531CC" w:rsidRDefault="00F531CC" w:rsidP="00F531CC">
      <w:pPr>
        <w:pStyle w:val="2"/>
      </w:pPr>
      <w:bookmarkStart w:id="3" w:name="_Toc434591932"/>
      <w:r>
        <w:t>1.2. Современное состояние и проблемы кредитного рынка</w:t>
      </w:r>
      <w:r w:rsidR="00920749">
        <w:t xml:space="preserve"> РФ</w:t>
      </w:r>
      <w:bookmarkEnd w:id="3"/>
    </w:p>
    <w:p w:rsidR="00F531CC" w:rsidRDefault="00BC57F0" w:rsidP="005E05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Кредитный рынок – это совокупность экономических отношений по поводу купли-продажи ссудного капитала в целях обеспечения непрерывности осуществления воспроизводственного процесса, а также удовлетворения потребностей в нем государства и населения</w:t>
      </w:r>
      <w:r w:rsidR="000645C3">
        <w:rPr>
          <w:rStyle w:val="a8"/>
          <w:rFonts w:ascii="Times New Roman" w:hAnsi="Times New Roman" w:cs="Times New Roman"/>
          <w:sz w:val="28"/>
          <w:lang w:val="ru-RU"/>
        </w:rPr>
        <w:footnoteReference w:id="4"/>
      </w:r>
      <w:r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4B393E" w:rsidRDefault="005C2723" w:rsidP="005E05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 Российской Федерации кредитный рынок является наиболее развитым сегментом финансового рынка. В экономической литературе выделяют три модели финансовых рынков – американскую (рыночную), европейскую (банковскую) и смешанную. В соответствии с этой классификацией </w:t>
      </w:r>
      <w:r w:rsidR="00824CCC">
        <w:rPr>
          <w:rFonts w:ascii="Times New Roman" w:hAnsi="Times New Roman" w:cs="Times New Roman"/>
          <w:sz w:val="28"/>
          <w:lang w:val="ru-RU"/>
        </w:rPr>
        <w:t>финан</w:t>
      </w:r>
      <w:r w:rsidR="00824CCC">
        <w:rPr>
          <w:rFonts w:ascii="Times New Roman" w:hAnsi="Times New Roman" w:cs="Times New Roman"/>
          <w:sz w:val="28"/>
          <w:lang w:val="ru-RU"/>
        </w:rPr>
        <w:softHyphen/>
        <w:t xml:space="preserve">совый рынок РФ можно отнести к европейской или банковской модели. Отличительными ее особенностями является относительная ограниченность рынка ценных бумаг, широкое участие в финансовых операциях банковских учреждений, невысокая доля финансирования за счет облигационных займов, а также низкая доля акционерного капитала. </w:t>
      </w:r>
      <w:r w:rsidR="001F2093">
        <w:rPr>
          <w:rFonts w:ascii="Times New Roman" w:hAnsi="Times New Roman" w:cs="Times New Roman"/>
          <w:sz w:val="28"/>
          <w:lang w:val="ru-RU"/>
        </w:rPr>
        <w:t xml:space="preserve">Эти черты соответствуют </w:t>
      </w:r>
      <w:r w:rsidR="004505E9">
        <w:rPr>
          <w:rFonts w:ascii="Times New Roman" w:hAnsi="Times New Roman" w:cs="Times New Roman"/>
          <w:sz w:val="28"/>
          <w:lang w:val="ru-RU"/>
        </w:rPr>
        <w:t>рассмот</w:t>
      </w:r>
      <w:r w:rsidR="004505E9">
        <w:rPr>
          <w:rFonts w:ascii="Times New Roman" w:hAnsi="Times New Roman" w:cs="Times New Roman"/>
          <w:sz w:val="28"/>
          <w:lang w:val="ru-RU"/>
        </w:rPr>
        <w:softHyphen/>
        <w:t>ренным ранее проблемам рынка ценных бумаг</w:t>
      </w:r>
      <w:r w:rsidR="001D585C" w:rsidRPr="001D585C">
        <w:rPr>
          <w:rFonts w:ascii="Times New Roman" w:hAnsi="Times New Roman" w:cs="Times New Roman"/>
          <w:sz w:val="28"/>
          <w:lang w:val="ru-RU"/>
        </w:rPr>
        <w:t xml:space="preserve"> [4, </w:t>
      </w:r>
      <w:r w:rsidR="001D585C">
        <w:rPr>
          <w:rFonts w:ascii="Times New Roman" w:hAnsi="Times New Roman" w:cs="Times New Roman"/>
          <w:sz w:val="28"/>
          <w:lang w:val="en-US"/>
        </w:rPr>
        <w:t>C</w:t>
      </w:r>
      <w:r w:rsidR="001D585C" w:rsidRPr="001D585C">
        <w:rPr>
          <w:rFonts w:ascii="Times New Roman" w:hAnsi="Times New Roman" w:cs="Times New Roman"/>
          <w:sz w:val="28"/>
          <w:lang w:val="ru-RU"/>
        </w:rPr>
        <w:t>.</w:t>
      </w:r>
      <w:r w:rsidR="001D585C">
        <w:rPr>
          <w:rFonts w:ascii="Times New Roman" w:hAnsi="Times New Roman" w:cs="Times New Roman"/>
          <w:sz w:val="28"/>
          <w:lang w:val="en-US"/>
        </w:rPr>
        <w:t> </w:t>
      </w:r>
      <w:r w:rsidR="001D585C" w:rsidRPr="001D585C">
        <w:rPr>
          <w:rFonts w:ascii="Times New Roman" w:hAnsi="Times New Roman" w:cs="Times New Roman"/>
          <w:sz w:val="28"/>
          <w:lang w:val="ru-RU"/>
        </w:rPr>
        <w:t>79]</w:t>
      </w:r>
      <w:r w:rsidR="004505E9">
        <w:rPr>
          <w:rFonts w:ascii="Times New Roman" w:hAnsi="Times New Roman" w:cs="Times New Roman"/>
          <w:sz w:val="28"/>
          <w:lang w:val="ru-RU"/>
        </w:rPr>
        <w:t>.</w:t>
      </w:r>
    </w:p>
    <w:p w:rsidR="001156EB" w:rsidRDefault="001156EB" w:rsidP="005E05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Кредитный рынок представляет собой совокупность:</w:t>
      </w:r>
    </w:p>
    <w:p w:rsidR="001156EB" w:rsidRDefault="001156EB" w:rsidP="001156EB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банковского кредитного рынка;</w:t>
      </w:r>
    </w:p>
    <w:p w:rsidR="001156EB" w:rsidRDefault="001156EB" w:rsidP="001156EB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кредитного рынка небанковских кредитно-финансовых институтов;</w:t>
      </w:r>
    </w:p>
    <w:p w:rsidR="001156EB" w:rsidRDefault="001156EB" w:rsidP="001156EB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кредитного рынка нефинансовых организаций;</w:t>
      </w:r>
    </w:p>
    <w:p w:rsidR="001156EB" w:rsidRPr="001156EB" w:rsidRDefault="001156EB" w:rsidP="001156EB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кредитного рынка государства.</w:t>
      </w:r>
    </w:p>
    <w:p w:rsidR="004505E9" w:rsidRDefault="001156EB" w:rsidP="005E05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Основным сегментом российского кредитного рынка является банковский сектор</w:t>
      </w:r>
      <w:r w:rsidR="00EF506D">
        <w:rPr>
          <w:rFonts w:ascii="Times New Roman" w:hAnsi="Times New Roman" w:cs="Times New Roman"/>
          <w:sz w:val="28"/>
          <w:lang w:val="ru-RU"/>
        </w:rPr>
        <w:t xml:space="preserve">. </w:t>
      </w:r>
      <w:r w:rsidR="00F000C5">
        <w:rPr>
          <w:rFonts w:ascii="Times New Roman" w:hAnsi="Times New Roman" w:cs="Times New Roman"/>
          <w:sz w:val="28"/>
          <w:lang w:val="ru-RU"/>
        </w:rPr>
        <w:t xml:space="preserve">Главной проблемой развития банковского сектора РФ является нехватка и высокая стоимость внутренних денежных ресурсов. </w:t>
      </w:r>
      <w:r w:rsidR="00F973AB">
        <w:rPr>
          <w:rFonts w:ascii="Times New Roman" w:hAnsi="Times New Roman" w:cs="Times New Roman"/>
          <w:sz w:val="28"/>
          <w:lang w:val="ru-RU"/>
        </w:rPr>
        <w:t xml:space="preserve">Она определяется как умеренными темпами роста экономики, так и </w:t>
      </w:r>
      <w:r w:rsidR="00F973AB">
        <w:rPr>
          <w:rFonts w:ascii="Times New Roman" w:hAnsi="Times New Roman" w:cs="Times New Roman"/>
          <w:sz w:val="28"/>
          <w:lang w:val="ru-RU"/>
        </w:rPr>
        <w:lastRenderedPageBreak/>
        <w:t xml:space="preserve">сберегательным поведением населения страны. </w:t>
      </w:r>
      <w:r w:rsidR="007305C4">
        <w:rPr>
          <w:rFonts w:ascii="Times New Roman" w:hAnsi="Times New Roman" w:cs="Times New Roman"/>
          <w:sz w:val="28"/>
          <w:lang w:val="ru-RU"/>
        </w:rPr>
        <w:t xml:space="preserve">Особенно заметна нехватка </w:t>
      </w:r>
      <w:r w:rsidR="00EA1EC8">
        <w:rPr>
          <w:rFonts w:ascii="Times New Roman" w:hAnsi="Times New Roman" w:cs="Times New Roman"/>
          <w:sz w:val="28"/>
          <w:lang w:val="ru-RU"/>
        </w:rPr>
        <w:t xml:space="preserve">долгосрочных финансовых ресурсов, что объясняется в первую очередь тем, что население предпочитает короткие депозиты длинным. </w:t>
      </w:r>
    </w:p>
    <w:p w:rsidR="008C1F97" w:rsidRDefault="0074497A" w:rsidP="005E05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Из рис. </w:t>
      </w:r>
      <w:r w:rsidR="00204B8C">
        <w:rPr>
          <w:rFonts w:ascii="Times New Roman" w:hAnsi="Times New Roman" w:cs="Times New Roman"/>
          <w:sz w:val="28"/>
          <w:lang w:val="ru-RU"/>
        </w:rPr>
        <w:t>3</w:t>
      </w:r>
      <w:r>
        <w:rPr>
          <w:rFonts w:ascii="Times New Roman" w:hAnsi="Times New Roman" w:cs="Times New Roman"/>
          <w:sz w:val="28"/>
          <w:lang w:val="ru-RU"/>
        </w:rPr>
        <w:t xml:space="preserve"> видно, что доля </w:t>
      </w:r>
      <w:r w:rsidR="0039245D">
        <w:rPr>
          <w:rFonts w:ascii="Times New Roman" w:hAnsi="Times New Roman" w:cs="Times New Roman"/>
          <w:sz w:val="28"/>
          <w:lang w:val="ru-RU"/>
        </w:rPr>
        <w:t>долгосрочных вкладов (свыше 3-х лет) в общей сумме депозитов физических лиц составляет лишь 5,7%. Наиболее распро</w:t>
      </w:r>
      <w:r w:rsidR="00C46D2E">
        <w:rPr>
          <w:rFonts w:ascii="Times New Roman" w:hAnsi="Times New Roman" w:cs="Times New Roman"/>
          <w:sz w:val="28"/>
          <w:lang w:val="ru-RU"/>
        </w:rPr>
        <w:softHyphen/>
      </w:r>
      <w:r w:rsidR="0039245D">
        <w:rPr>
          <w:rFonts w:ascii="Times New Roman" w:hAnsi="Times New Roman" w:cs="Times New Roman"/>
          <w:sz w:val="28"/>
          <w:lang w:val="ru-RU"/>
        </w:rPr>
        <w:t xml:space="preserve">странены депозиты на срок от 1 до 3-х лет (41,2%), а также на срок от  полугода до года (27,6%). </w:t>
      </w:r>
      <w:r w:rsidR="00C46D2E">
        <w:rPr>
          <w:rFonts w:ascii="Times New Roman" w:hAnsi="Times New Roman" w:cs="Times New Roman"/>
          <w:sz w:val="28"/>
          <w:lang w:val="ru-RU"/>
        </w:rPr>
        <w:t>Также довольно большой удельный вес имеют депозиты до востребования (15,3%).</w:t>
      </w:r>
    </w:p>
    <w:p w:rsidR="008C1F97" w:rsidRPr="000870EF" w:rsidRDefault="0039245D" w:rsidP="000870EF">
      <w:pPr>
        <w:keepNext/>
        <w:spacing w:before="120" w:after="120" w:line="360" w:lineRule="auto"/>
        <w:jc w:val="center"/>
        <w:rPr>
          <w:rFonts w:ascii="Times New Roman" w:hAnsi="Times New Roman" w:cs="Times New Roman"/>
          <w:noProof/>
          <w:sz w:val="28"/>
          <w:lang w:eastAsia="uk-UA"/>
        </w:rPr>
      </w:pPr>
      <w:r w:rsidRPr="0039245D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>
            <wp:extent cx="4572000" cy="2743200"/>
            <wp:effectExtent l="19050" t="0" r="19050" b="0"/>
            <wp:docPr id="4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66A18" w:rsidRDefault="00166A18" w:rsidP="000870EF">
      <w:pPr>
        <w:spacing w:before="120" w:after="12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Рис. </w:t>
      </w:r>
      <w:r w:rsidR="00204B8C">
        <w:rPr>
          <w:rFonts w:ascii="Times New Roman" w:hAnsi="Times New Roman" w:cs="Times New Roman"/>
          <w:sz w:val="28"/>
          <w:lang w:val="ru-RU"/>
        </w:rPr>
        <w:t>3</w:t>
      </w:r>
      <w:r>
        <w:rPr>
          <w:rFonts w:ascii="Times New Roman" w:hAnsi="Times New Roman" w:cs="Times New Roman"/>
          <w:sz w:val="28"/>
          <w:lang w:val="ru-RU"/>
        </w:rPr>
        <w:t>. Структура депозитов физических лиц в первом полугодии 2015 г.</w:t>
      </w:r>
      <w:r w:rsidR="000870EF" w:rsidRPr="0074497A">
        <w:rPr>
          <w:vertAlign w:val="superscript"/>
        </w:rPr>
        <w:footnoteReference w:id="5"/>
      </w:r>
    </w:p>
    <w:p w:rsidR="00166A18" w:rsidRDefault="002A7E6E" w:rsidP="005E05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Еще одной трудностью при формировании долгосрочных пассивов банка является то, что, согласно ст. 837 Гражданского Кодекса РФ, физические лица могут </w:t>
      </w:r>
      <w:r w:rsidR="00610312">
        <w:rPr>
          <w:rFonts w:ascii="Times New Roman" w:hAnsi="Times New Roman" w:cs="Times New Roman"/>
          <w:sz w:val="28"/>
          <w:lang w:val="ru-RU"/>
        </w:rPr>
        <w:t xml:space="preserve">в любой момент отозвать даже срочный депозит. </w:t>
      </w:r>
    </w:p>
    <w:p w:rsidR="00BF2359" w:rsidRDefault="0009755F" w:rsidP="005E05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Второй характерной особенностью банковского сектора </w:t>
      </w:r>
      <w:r w:rsidR="00DA5AEC">
        <w:rPr>
          <w:rFonts w:ascii="Times New Roman" w:hAnsi="Times New Roman" w:cs="Times New Roman"/>
          <w:sz w:val="28"/>
          <w:lang w:val="ru-RU"/>
        </w:rPr>
        <w:t xml:space="preserve">финансового рынка РФ является доминирование банков, контролируемых государством. </w:t>
      </w:r>
      <w:r w:rsidR="00A16FEA">
        <w:rPr>
          <w:rFonts w:ascii="Times New Roman" w:hAnsi="Times New Roman" w:cs="Times New Roman"/>
          <w:sz w:val="28"/>
          <w:lang w:val="ru-RU"/>
        </w:rPr>
        <w:t xml:space="preserve">На 1 января 2015 года крупнейшими по величине активов банками были «Сбербанк России», «Банк ВТБ», «Газпромбанк», «ВТБ 24» и ФК «Открытие». </w:t>
      </w:r>
      <w:r w:rsidR="00E530B0">
        <w:rPr>
          <w:rFonts w:ascii="Times New Roman" w:hAnsi="Times New Roman" w:cs="Times New Roman"/>
          <w:sz w:val="28"/>
          <w:lang w:val="ru-RU"/>
        </w:rPr>
        <w:t>Их доля в общей сумме активов коммерческих банков составила 53,6%</w:t>
      </w:r>
      <w:r w:rsidR="00941801">
        <w:rPr>
          <w:rStyle w:val="a8"/>
          <w:rFonts w:ascii="Times New Roman" w:hAnsi="Times New Roman" w:cs="Times New Roman"/>
          <w:sz w:val="28"/>
          <w:lang w:val="ru-RU"/>
        </w:rPr>
        <w:footnoteReference w:id="6"/>
      </w:r>
      <w:r w:rsidR="00E530B0">
        <w:rPr>
          <w:rFonts w:ascii="Times New Roman" w:hAnsi="Times New Roman" w:cs="Times New Roman"/>
          <w:sz w:val="28"/>
          <w:lang w:val="ru-RU"/>
        </w:rPr>
        <w:t>.</w:t>
      </w:r>
      <w:r w:rsidR="004050FD" w:rsidRPr="00B85454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0F47C1" w:rsidRDefault="000F47C1" w:rsidP="005E05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«Сбербанк России» контролируется государством, так как более 50% его акций принадлежат </w:t>
      </w:r>
      <w:r w:rsidR="004226F5">
        <w:rPr>
          <w:rFonts w:ascii="Times New Roman" w:hAnsi="Times New Roman" w:cs="Times New Roman"/>
          <w:sz w:val="28"/>
          <w:lang w:val="ru-RU"/>
        </w:rPr>
        <w:t xml:space="preserve">ЦБ РФ, «Банк ВТБ» и «ВТБ 24» входят в Группу ВТБ, главным акционером которой является </w:t>
      </w:r>
      <w:r w:rsidR="00E963EC">
        <w:rPr>
          <w:rFonts w:ascii="Times New Roman" w:hAnsi="Times New Roman" w:cs="Times New Roman"/>
          <w:sz w:val="28"/>
          <w:lang w:val="ru-RU"/>
        </w:rPr>
        <w:t xml:space="preserve">Федеральное Агентство по управлению государственным имуществом. </w:t>
      </w:r>
      <w:r w:rsidR="00FC5FAB">
        <w:rPr>
          <w:rFonts w:ascii="Times New Roman" w:hAnsi="Times New Roman" w:cs="Times New Roman"/>
          <w:sz w:val="28"/>
          <w:lang w:val="ru-RU"/>
        </w:rPr>
        <w:t>«Газпромбанк» также контролируется государ</w:t>
      </w:r>
      <w:r w:rsidR="00FC5FAB">
        <w:rPr>
          <w:rFonts w:ascii="Times New Roman" w:hAnsi="Times New Roman" w:cs="Times New Roman"/>
          <w:sz w:val="28"/>
          <w:lang w:val="ru-RU"/>
        </w:rPr>
        <w:softHyphen/>
        <w:t>ством, поскольку 35,5% обыкновенных акций принадлежит ПАО «Газпром», и 10,2% обыкновенных акций – Внешэкономбанку.</w:t>
      </w:r>
      <w:r w:rsidR="00740F8F">
        <w:rPr>
          <w:rFonts w:ascii="Times New Roman" w:hAnsi="Times New Roman" w:cs="Times New Roman"/>
          <w:sz w:val="28"/>
          <w:lang w:val="ru-RU"/>
        </w:rPr>
        <w:t xml:space="preserve"> Таким образом, единствен</w:t>
      </w:r>
      <w:r w:rsidR="00257493">
        <w:rPr>
          <w:rFonts w:ascii="Times New Roman" w:hAnsi="Times New Roman" w:cs="Times New Roman"/>
          <w:sz w:val="28"/>
          <w:lang w:val="ru-RU"/>
        </w:rPr>
        <w:softHyphen/>
      </w:r>
      <w:r w:rsidR="00740F8F">
        <w:rPr>
          <w:rFonts w:ascii="Times New Roman" w:hAnsi="Times New Roman" w:cs="Times New Roman"/>
          <w:sz w:val="28"/>
          <w:lang w:val="ru-RU"/>
        </w:rPr>
        <w:t>ным из пяти крупней</w:t>
      </w:r>
      <w:r w:rsidR="00B27571">
        <w:rPr>
          <w:rFonts w:ascii="Times New Roman" w:hAnsi="Times New Roman" w:cs="Times New Roman"/>
          <w:sz w:val="28"/>
          <w:lang w:val="ru-RU"/>
        </w:rPr>
        <w:t>ших банков без участия государства</w:t>
      </w:r>
      <w:r w:rsidR="00CF025B">
        <w:rPr>
          <w:rFonts w:ascii="Times New Roman" w:hAnsi="Times New Roman" w:cs="Times New Roman"/>
          <w:sz w:val="28"/>
          <w:lang w:val="ru-RU"/>
        </w:rPr>
        <w:t xml:space="preserve"> является ФК «Открытие».</w:t>
      </w:r>
    </w:p>
    <w:p w:rsidR="005054DF" w:rsidRDefault="005054DF" w:rsidP="005E05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 другим проблемам банковского сектора можно отнести низкую капитальную базу многих банков и недостаточные темпы концентрации капитала в частных банковских организациях, что препятствует предоставле</w:t>
      </w:r>
      <w:r>
        <w:rPr>
          <w:rFonts w:ascii="Times New Roman" w:hAnsi="Times New Roman" w:cs="Times New Roman"/>
          <w:sz w:val="28"/>
          <w:lang w:val="ru-RU"/>
        </w:rPr>
        <w:softHyphen/>
        <w:t xml:space="preserve">нию крупных долгосрочных кредитов реальному сектору. </w:t>
      </w:r>
    </w:p>
    <w:p w:rsidR="006124ED" w:rsidRDefault="006124ED" w:rsidP="005E05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Еще одной проблемой является чрезмерная концентрация банковских организаций в столице. По данным ЦБ РФ, на начало 2015 года </w:t>
      </w:r>
      <w:r w:rsidR="003772B8">
        <w:rPr>
          <w:rFonts w:ascii="Times New Roman" w:hAnsi="Times New Roman" w:cs="Times New Roman"/>
          <w:sz w:val="28"/>
          <w:lang w:val="ru-RU"/>
        </w:rPr>
        <w:t>55% от всех кредитных организаций были сосредоточены в Москве и Московской области.</w:t>
      </w:r>
      <w:r w:rsidR="00DE5C02">
        <w:rPr>
          <w:rFonts w:ascii="Times New Roman" w:hAnsi="Times New Roman" w:cs="Times New Roman"/>
          <w:sz w:val="28"/>
          <w:lang w:val="ru-RU"/>
        </w:rPr>
        <w:t xml:space="preserve"> </w:t>
      </w:r>
      <w:r w:rsidR="00E63F1F">
        <w:rPr>
          <w:rFonts w:ascii="Times New Roman" w:hAnsi="Times New Roman" w:cs="Times New Roman"/>
          <w:sz w:val="28"/>
          <w:lang w:val="ru-RU"/>
        </w:rPr>
        <w:t>Однако стоит отметить, что большинство банков, расположенных в Москве, имеют филиалы и представ</w:t>
      </w:r>
      <w:r w:rsidR="0087224F">
        <w:rPr>
          <w:rFonts w:ascii="Times New Roman" w:hAnsi="Times New Roman" w:cs="Times New Roman"/>
          <w:sz w:val="28"/>
          <w:lang w:val="ru-RU"/>
        </w:rPr>
        <w:t>ительства в регионах РФ.</w:t>
      </w:r>
      <w:r w:rsidR="002E04EF">
        <w:rPr>
          <w:rFonts w:ascii="Times New Roman" w:hAnsi="Times New Roman" w:cs="Times New Roman"/>
          <w:sz w:val="28"/>
          <w:lang w:val="ru-RU"/>
        </w:rPr>
        <w:t xml:space="preserve"> Ситуация с покрытием населения услугами банковских учреждений гораздо лучше, чем с покрытием </w:t>
      </w:r>
      <w:r w:rsidR="00EA36BB">
        <w:rPr>
          <w:rFonts w:ascii="Times New Roman" w:hAnsi="Times New Roman" w:cs="Times New Roman"/>
          <w:sz w:val="28"/>
          <w:lang w:val="ru-RU"/>
        </w:rPr>
        <w:t>услугами финансовых посредников.</w:t>
      </w:r>
    </w:p>
    <w:p w:rsidR="003772B8" w:rsidRDefault="00803E2B" w:rsidP="00803E2B">
      <w:pPr>
        <w:pStyle w:val="2"/>
      </w:pPr>
      <w:bookmarkStart w:id="4" w:name="_Toc434591933"/>
      <w:r>
        <w:t>1.3. Современное состояние и проблемы страхового рынка РФ</w:t>
      </w:r>
      <w:bookmarkEnd w:id="4"/>
    </w:p>
    <w:p w:rsidR="00803E2B" w:rsidRDefault="00803E2B" w:rsidP="005E05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Страховой рынок – это совокупность денежных отношений между страховщиком и страхователем по поводу удовлетворения потребностей страхователя, во-первых, в страховой защите при наступлении страховых случаев, а во-вторых, как в сбережениях, так и в удовлетворении потребностей страховщика в капитализации страхового фонда и получении дохода</w:t>
      </w:r>
      <w:r w:rsidR="001D585C" w:rsidRPr="001D585C">
        <w:rPr>
          <w:rFonts w:ascii="Times New Roman" w:hAnsi="Times New Roman" w:cs="Times New Roman"/>
          <w:sz w:val="28"/>
          <w:lang w:val="ru-RU"/>
        </w:rPr>
        <w:t xml:space="preserve"> [4, </w:t>
      </w:r>
      <w:r w:rsidR="001D585C">
        <w:rPr>
          <w:rFonts w:ascii="Times New Roman" w:hAnsi="Times New Roman" w:cs="Times New Roman"/>
          <w:sz w:val="28"/>
          <w:lang w:val="en-US"/>
        </w:rPr>
        <w:t>C</w:t>
      </w:r>
      <w:r w:rsidR="001D585C" w:rsidRPr="001D585C">
        <w:rPr>
          <w:rFonts w:ascii="Times New Roman" w:hAnsi="Times New Roman" w:cs="Times New Roman"/>
          <w:sz w:val="28"/>
          <w:lang w:val="ru-RU"/>
        </w:rPr>
        <w:t>.</w:t>
      </w:r>
      <w:r w:rsidR="001D585C">
        <w:rPr>
          <w:rFonts w:ascii="Times New Roman" w:hAnsi="Times New Roman" w:cs="Times New Roman"/>
          <w:sz w:val="28"/>
          <w:lang w:val="en-US"/>
        </w:rPr>
        <w:t> </w:t>
      </w:r>
      <w:r w:rsidR="001D585C" w:rsidRPr="001D585C">
        <w:rPr>
          <w:rFonts w:ascii="Times New Roman" w:hAnsi="Times New Roman" w:cs="Times New Roman"/>
          <w:sz w:val="28"/>
          <w:lang w:val="ru-RU"/>
        </w:rPr>
        <w:t>284]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803E2B" w:rsidRDefault="006A3519" w:rsidP="005E05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Одной из проблем развития российского страхового рынка является проблема территориальной диспропорции, характерная и для рассмотренных ранее сегментов финансового рынка. Большая часть страховых компаний </w:t>
      </w:r>
      <w:r>
        <w:rPr>
          <w:rFonts w:ascii="Times New Roman" w:hAnsi="Times New Roman" w:cs="Times New Roman"/>
          <w:sz w:val="28"/>
          <w:lang w:val="ru-RU"/>
        </w:rPr>
        <w:lastRenderedPageBreak/>
        <w:t xml:space="preserve">сосредоточена в Центральном федеральном округе РФ, а некоторые регионы вовсе не покрыты </w:t>
      </w:r>
      <w:r w:rsidR="00194FE9">
        <w:rPr>
          <w:rFonts w:ascii="Times New Roman" w:hAnsi="Times New Roman" w:cs="Times New Roman"/>
          <w:sz w:val="28"/>
          <w:lang w:val="ru-RU"/>
        </w:rPr>
        <w:t>страховыми организациями.</w:t>
      </w:r>
      <w:r w:rsidR="00314ECE">
        <w:rPr>
          <w:rFonts w:ascii="Times New Roman" w:hAnsi="Times New Roman" w:cs="Times New Roman"/>
          <w:sz w:val="28"/>
          <w:lang w:val="ru-RU"/>
        </w:rPr>
        <w:t xml:space="preserve"> </w:t>
      </w:r>
      <w:r w:rsidR="007E6BB2">
        <w:rPr>
          <w:rFonts w:ascii="Times New Roman" w:hAnsi="Times New Roman" w:cs="Times New Roman"/>
          <w:sz w:val="28"/>
          <w:lang w:val="ru-RU"/>
        </w:rPr>
        <w:t>Эти диспропорции приводят к выпадению из сферы страхования жителей сельской местности, а также отдельных регионов страны.</w:t>
      </w:r>
    </w:p>
    <w:p w:rsidR="00CD0CA0" w:rsidRDefault="00B91472" w:rsidP="005E05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Следует отметить также и концентрацию капитала </w:t>
      </w:r>
      <w:r w:rsidR="003A3F12">
        <w:rPr>
          <w:rFonts w:ascii="Times New Roman" w:hAnsi="Times New Roman" w:cs="Times New Roman"/>
          <w:sz w:val="28"/>
          <w:lang w:val="ru-RU"/>
        </w:rPr>
        <w:t xml:space="preserve">в крупных страховых организациях – за последние годы число страховых организаций сократилось, что объясняется в первую очередь </w:t>
      </w:r>
      <w:r w:rsidR="00375524">
        <w:rPr>
          <w:rFonts w:ascii="Times New Roman" w:hAnsi="Times New Roman" w:cs="Times New Roman"/>
          <w:sz w:val="28"/>
          <w:lang w:val="ru-RU"/>
        </w:rPr>
        <w:t>укрупнением существующих комп</w:t>
      </w:r>
      <w:r w:rsidR="00326C89">
        <w:rPr>
          <w:rFonts w:ascii="Times New Roman" w:hAnsi="Times New Roman" w:cs="Times New Roman"/>
          <w:sz w:val="28"/>
          <w:lang w:val="ru-RU"/>
        </w:rPr>
        <w:t xml:space="preserve">аний путем создания страховых групп и холдингов. </w:t>
      </w:r>
      <w:r w:rsidR="006E4763">
        <w:rPr>
          <w:rFonts w:ascii="Times New Roman" w:hAnsi="Times New Roman" w:cs="Times New Roman"/>
          <w:sz w:val="28"/>
          <w:lang w:val="ru-RU"/>
        </w:rPr>
        <w:t xml:space="preserve">Однако </w:t>
      </w:r>
      <w:r w:rsidR="00F37E12">
        <w:rPr>
          <w:rFonts w:ascii="Times New Roman" w:hAnsi="Times New Roman" w:cs="Times New Roman"/>
          <w:sz w:val="28"/>
          <w:lang w:val="ru-RU"/>
        </w:rPr>
        <w:t xml:space="preserve">эта тенденция является не проблемой страхового рынка, а скорее способом </w:t>
      </w:r>
      <w:r w:rsidR="00362B9E">
        <w:rPr>
          <w:rFonts w:ascii="Times New Roman" w:hAnsi="Times New Roman" w:cs="Times New Roman"/>
          <w:sz w:val="28"/>
          <w:lang w:val="ru-RU"/>
        </w:rPr>
        <w:t xml:space="preserve">преодолеть недостаточную капитализацию страхового бизнеса. </w:t>
      </w:r>
    </w:p>
    <w:p w:rsidR="008664E9" w:rsidRDefault="008664E9" w:rsidP="005E05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Кроме того, важнейшей проблемой </w:t>
      </w:r>
      <w:r w:rsidR="0017668C">
        <w:rPr>
          <w:rFonts w:ascii="Times New Roman" w:hAnsi="Times New Roman" w:cs="Times New Roman"/>
          <w:sz w:val="28"/>
          <w:lang w:val="ru-RU"/>
        </w:rPr>
        <w:t>страхового рынка является неразвитость рынка ценных бумаг – недостаточный выбор финансовых инстру</w:t>
      </w:r>
      <w:r w:rsidR="00120EB6">
        <w:rPr>
          <w:rFonts w:ascii="Times New Roman" w:hAnsi="Times New Roman" w:cs="Times New Roman"/>
          <w:sz w:val="28"/>
          <w:lang w:val="ru-RU"/>
        </w:rPr>
        <w:softHyphen/>
      </w:r>
      <w:r w:rsidR="0017668C">
        <w:rPr>
          <w:rFonts w:ascii="Times New Roman" w:hAnsi="Times New Roman" w:cs="Times New Roman"/>
          <w:sz w:val="28"/>
          <w:lang w:val="ru-RU"/>
        </w:rPr>
        <w:t>ментов для инвестирования</w:t>
      </w:r>
      <w:r w:rsidR="00FC3E2E">
        <w:rPr>
          <w:rFonts w:ascii="Times New Roman" w:hAnsi="Times New Roman" w:cs="Times New Roman"/>
          <w:sz w:val="28"/>
          <w:lang w:val="ru-RU"/>
        </w:rPr>
        <w:t xml:space="preserve">, </w:t>
      </w:r>
      <w:r w:rsidR="00745EB4">
        <w:rPr>
          <w:rFonts w:ascii="Times New Roman" w:hAnsi="Times New Roman" w:cs="Times New Roman"/>
          <w:sz w:val="28"/>
          <w:lang w:val="ru-RU"/>
        </w:rPr>
        <w:t xml:space="preserve">высокая волатильность. </w:t>
      </w:r>
      <w:r w:rsidR="00172EAD">
        <w:rPr>
          <w:rFonts w:ascii="Times New Roman" w:hAnsi="Times New Roman" w:cs="Times New Roman"/>
          <w:sz w:val="28"/>
          <w:lang w:val="ru-RU"/>
        </w:rPr>
        <w:t xml:space="preserve">Ведь </w:t>
      </w:r>
      <w:r w:rsidR="00724E5A">
        <w:rPr>
          <w:rFonts w:ascii="Times New Roman" w:hAnsi="Times New Roman" w:cs="Times New Roman"/>
          <w:sz w:val="28"/>
          <w:lang w:val="ru-RU"/>
        </w:rPr>
        <w:t>одна из главных целей деятельности страховых</w:t>
      </w:r>
      <w:r w:rsidR="00172EAD">
        <w:rPr>
          <w:rFonts w:ascii="Times New Roman" w:hAnsi="Times New Roman" w:cs="Times New Roman"/>
          <w:sz w:val="28"/>
          <w:lang w:val="ru-RU"/>
        </w:rPr>
        <w:t xml:space="preserve"> компан</w:t>
      </w:r>
      <w:r w:rsidR="00724E5A">
        <w:rPr>
          <w:rFonts w:ascii="Times New Roman" w:hAnsi="Times New Roman" w:cs="Times New Roman"/>
          <w:sz w:val="28"/>
          <w:lang w:val="ru-RU"/>
        </w:rPr>
        <w:t>ий – это капитализация вложенных средств и получение дохода</w:t>
      </w:r>
      <w:r w:rsidR="009F62CB">
        <w:rPr>
          <w:rFonts w:ascii="Times New Roman" w:hAnsi="Times New Roman" w:cs="Times New Roman"/>
          <w:sz w:val="28"/>
          <w:lang w:val="ru-RU"/>
        </w:rPr>
        <w:t xml:space="preserve">, за счет которого </w:t>
      </w:r>
      <w:r w:rsidR="00A92E91">
        <w:rPr>
          <w:rFonts w:ascii="Times New Roman" w:hAnsi="Times New Roman" w:cs="Times New Roman"/>
          <w:sz w:val="28"/>
          <w:lang w:val="ru-RU"/>
        </w:rPr>
        <w:t xml:space="preserve">будут осуществляться страховые выплаты клиентам. </w:t>
      </w:r>
    </w:p>
    <w:p w:rsidR="00E37E2E" w:rsidRDefault="00E37E2E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:rsidR="00062473" w:rsidRDefault="00E37E2E" w:rsidP="00E37E2E">
      <w:pPr>
        <w:pStyle w:val="1"/>
      </w:pPr>
      <w:bookmarkStart w:id="5" w:name="_Toc434591934"/>
      <w:r>
        <w:lastRenderedPageBreak/>
        <w:t>2. ПЕРСПЕКТИВЫ РАЗВИТИЯ</w:t>
      </w:r>
      <w:r>
        <w:br/>
        <w:t>РОССИЙСКОГО ФИНАНСОВОГО РЫНКА</w:t>
      </w:r>
      <w:bookmarkEnd w:id="5"/>
      <w:r>
        <w:t xml:space="preserve"> </w:t>
      </w:r>
    </w:p>
    <w:p w:rsidR="00E37E2E" w:rsidRDefault="000E7391" w:rsidP="005E05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Анализ состояния российского финансового рынка помог выявить его основные проблемы. Они заключаются, прежде всего, в</w:t>
      </w:r>
      <w:r w:rsidR="006244B0">
        <w:rPr>
          <w:rFonts w:ascii="Times New Roman" w:hAnsi="Times New Roman" w:cs="Times New Roman"/>
          <w:sz w:val="28"/>
          <w:lang w:val="ru-RU"/>
        </w:rPr>
        <w:t xml:space="preserve"> недоверии населения к финансовым институтам и нежелании инвестировать временно свободные средства на длительный срок. </w:t>
      </w:r>
      <w:r w:rsidR="00147362">
        <w:rPr>
          <w:rFonts w:ascii="Times New Roman" w:hAnsi="Times New Roman" w:cs="Times New Roman"/>
          <w:sz w:val="28"/>
          <w:lang w:val="ru-RU"/>
        </w:rPr>
        <w:t xml:space="preserve">Те инвесторы, которые все же </w:t>
      </w:r>
      <w:r w:rsidR="00860412">
        <w:rPr>
          <w:rFonts w:ascii="Times New Roman" w:hAnsi="Times New Roman" w:cs="Times New Roman"/>
          <w:sz w:val="28"/>
          <w:lang w:val="ru-RU"/>
        </w:rPr>
        <w:t>активно инвести</w:t>
      </w:r>
      <w:r w:rsidR="00E800CF">
        <w:rPr>
          <w:rFonts w:ascii="Times New Roman" w:hAnsi="Times New Roman" w:cs="Times New Roman"/>
          <w:sz w:val="28"/>
          <w:lang w:val="ru-RU"/>
        </w:rPr>
        <w:softHyphen/>
      </w:r>
      <w:r w:rsidR="00860412">
        <w:rPr>
          <w:rFonts w:ascii="Times New Roman" w:hAnsi="Times New Roman" w:cs="Times New Roman"/>
          <w:sz w:val="28"/>
          <w:lang w:val="ru-RU"/>
        </w:rPr>
        <w:t xml:space="preserve">руют средства, в основном преследуют цель получить спекулятивную прибыль, т.е. </w:t>
      </w:r>
      <w:r w:rsidR="00B428D1">
        <w:rPr>
          <w:rFonts w:ascii="Times New Roman" w:hAnsi="Times New Roman" w:cs="Times New Roman"/>
          <w:sz w:val="28"/>
          <w:lang w:val="ru-RU"/>
        </w:rPr>
        <w:t>не согласны вкладывать деньги в долгосрочные финансовые инструменты.</w:t>
      </w:r>
    </w:p>
    <w:p w:rsidR="00B428D1" w:rsidRDefault="00642B1C" w:rsidP="005E05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Однако несмотря на существующие проблемы, российский финансовый рынок является частью мирового финансового рынка и постепенно интегри</w:t>
      </w:r>
      <w:r w:rsidR="00E9572C">
        <w:rPr>
          <w:rFonts w:ascii="Times New Roman" w:hAnsi="Times New Roman" w:cs="Times New Roman"/>
          <w:sz w:val="28"/>
          <w:lang w:val="ru-RU"/>
        </w:rPr>
        <w:softHyphen/>
      </w:r>
      <w:r>
        <w:rPr>
          <w:rFonts w:ascii="Times New Roman" w:hAnsi="Times New Roman" w:cs="Times New Roman"/>
          <w:sz w:val="28"/>
          <w:lang w:val="ru-RU"/>
        </w:rPr>
        <w:t xml:space="preserve">руется в мировую финансовую систему. </w:t>
      </w:r>
      <w:r w:rsidR="00554CFA">
        <w:rPr>
          <w:rFonts w:ascii="Times New Roman" w:hAnsi="Times New Roman" w:cs="Times New Roman"/>
          <w:sz w:val="28"/>
          <w:lang w:val="ru-RU"/>
        </w:rPr>
        <w:t xml:space="preserve">Это выражается и в инвестировании средств российских компаний в зарубежные активы, и в выходе российских эмитентов на мировые фондовые биржи – LSE, NYCE, NASDAQ и пр. </w:t>
      </w:r>
      <w:r w:rsidR="00775DDD">
        <w:rPr>
          <w:rFonts w:ascii="Times New Roman" w:hAnsi="Times New Roman" w:cs="Times New Roman"/>
          <w:sz w:val="28"/>
          <w:lang w:val="ru-RU"/>
        </w:rPr>
        <w:t>На российском рынке также действуют иностранные игроки – иностранные страховые компании, банки и пр.</w:t>
      </w:r>
    </w:p>
    <w:p w:rsidR="001D585C" w:rsidRPr="001D585C" w:rsidRDefault="0009588B" w:rsidP="005E05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Организованный рынок ценных бумаг Российской Федерации </w:t>
      </w:r>
      <w:r w:rsidR="00BE2603">
        <w:rPr>
          <w:rFonts w:ascii="Times New Roman" w:hAnsi="Times New Roman" w:cs="Times New Roman"/>
          <w:sz w:val="28"/>
          <w:lang w:val="ru-RU"/>
        </w:rPr>
        <w:t xml:space="preserve">содержит небольшое количество ликвидных и надежных видов финансовых инструментов, однако их количество </w:t>
      </w:r>
      <w:r w:rsidR="001B0D47">
        <w:rPr>
          <w:rFonts w:ascii="Times New Roman" w:hAnsi="Times New Roman" w:cs="Times New Roman"/>
          <w:sz w:val="28"/>
          <w:lang w:val="ru-RU"/>
        </w:rPr>
        <w:t>постепенно</w:t>
      </w:r>
      <w:r w:rsidR="00BE2603">
        <w:rPr>
          <w:rFonts w:ascii="Times New Roman" w:hAnsi="Times New Roman" w:cs="Times New Roman"/>
          <w:sz w:val="28"/>
          <w:lang w:val="ru-RU"/>
        </w:rPr>
        <w:t xml:space="preserve"> увеличивается. </w:t>
      </w:r>
      <w:r w:rsidR="001B0D47">
        <w:rPr>
          <w:rFonts w:ascii="Times New Roman" w:hAnsi="Times New Roman" w:cs="Times New Roman"/>
          <w:sz w:val="28"/>
          <w:lang w:val="ru-RU"/>
        </w:rPr>
        <w:t xml:space="preserve">Одной из перспективных тенденций развития </w:t>
      </w:r>
      <w:r w:rsidR="000D56B9">
        <w:rPr>
          <w:rFonts w:ascii="Times New Roman" w:hAnsi="Times New Roman" w:cs="Times New Roman"/>
          <w:sz w:val="28"/>
          <w:lang w:val="ru-RU"/>
        </w:rPr>
        <w:t xml:space="preserve">рынка ценных бумаг является создание на Московской межбанковской валютной бирже (ММВБ) сектора инновационных и растущих компаний (ИРК). </w:t>
      </w:r>
      <w:r w:rsidR="001D2FF8">
        <w:rPr>
          <w:rFonts w:ascii="Times New Roman" w:hAnsi="Times New Roman" w:cs="Times New Roman"/>
          <w:sz w:val="28"/>
          <w:lang w:val="ru-RU"/>
        </w:rPr>
        <w:t>Она предназначена для акций высокотехно</w:t>
      </w:r>
      <w:r w:rsidR="001D2FF8">
        <w:rPr>
          <w:rFonts w:ascii="Times New Roman" w:hAnsi="Times New Roman" w:cs="Times New Roman"/>
          <w:sz w:val="28"/>
          <w:lang w:val="ru-RU"/>
        </w:rPr>
        <w:softHyphen/>
        <w:t>логичных компаний из таких отраслей, как телекоммуникации, интернет, электроника, разработка</w:t>
      </w:r>
      <w:r w:rsidR="006600AD">
        <w:rPr>
          <w:rFonts w:ascii="Times New Roman" w:hAnsi="Times New Roman" w:cs="Times New Roman"/>
          <w:sz w:val="28"/>
          <w:lang w:val="ru-RU"/>
        </w:rPr>
        <w:t xml:space="preserve"> программного обеспечения</w:t>
      </w:r>
      <w:r w:rsidR="001D2FF8">
        <w:rPr>
          <w:rFonts w:ascii="Times New Roman" w:hAnsi="Times New Roman" w:cs="Times New Roman"/>
          <w:sz w:val="28"/>
          <w:lang w:val="ru-RU"/>
        </w:rPr>
        <w:t xml:space="preserve">. </w:t>
      </w:r>
      <w:r w:rsidR="00C42BF6">
        <w:rPr>
          <w:rFonts w:ascii="Times New Roman" w:hAnsi="Times New Roman" w:cs="Times New Roman"/>
          <w:sz w:val="28"/>
          <w:lang w:val="ru-RU"/>
        </w:rPr>
        <w:t>Еще одним критерием «пригодности» компании является темп прироста выручки – он должен быть не менее 20%</w:t>
      </w:r>
      <w:r w:rsidR="001D585C" w:rsidRPr="001D585C">
        <w:rPr>
          <w:rFonts w:ascii="Times New Roman" w:hAnsi="Times New Roman" w:cs="Times New Roman"/>
          <w:sz w:val="28"/>
          <w:lang w:val="ru-RU"/>
        </w:rPr>
        <w:t xml:space="preserve"> [1, </w:t>
      </w:r>
      <w:r w:rsidR="001D585C">
        <w:rPr>
          <w:rFonts w:ascii="Times New Roman" w:hAnsi="Times New Roman" w:cs="Times New Roman"/>
          <w:sz w:val="28"/>
          <w:lang w:val="en-US"/>
        </w:rPr>
        <w:t>C</w:t>
      </w:r>
      <w:r w:rsidR="001D585C" w:rsidRPr="001D585C">
        <w:rPr>
          <w:rFonts w:ascii="Times New Roman" w:hAnsi="Times New Roman" w:cs="Times New Roman"/>
          <w:sz w:val="28"/>
          <w:lang w:val="ru-RU"/>
        </w:rPr>
        <w:t>.</w:t>
      </w:r>
      <w:r w:rsidR="001D585C">
        <w:rPr>
          <w:rFonts w:ascii="Times New Roman" w:hAnsi="Times New Roman" w:cs="Times New Roman"/>
          <w:sz w:val="28"/>
          <w:lang w:val="en-US"/>
        </w:rPr>
        <w:t> </w:t>
      </w:r>
      <w:r w:rsidR="001D585C" w:rsidRPr="001D585C">
        <w:rPr>
          <w:rFonts w:ascii="Times New Roman" w:hAnsi="Times New Roman" w:cs="Times New Roman"/>
          <w:sz w:val="28"/>
          <w:lang w:val="ru-RU"/>
        </w:rPr>
        <w:t>163]</w:t>
      </w:r>
      <w:r w:rsidR="00C42BF6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775DDD" w:rsidRDefault="006600AD" w:rsidP="005E05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После объединения бирж ММВБ и РТС площадка продолжила свое функционирование под названием «Рынок инноваций и инвестиций» (РИИ). </w:t>
      </w:r>
      <w:r w:rsidR="00511AFC">
        <w:rPr>
          <w:rFonts w:ascii="Times New Roman" w:hAnsi="Times New Roman" w:cs="Times New Roman"/>
          <w:sz w:val="28"/>
          <w:lang w:val="ru-RU"/>
        </w:rPr>
        <w:t xml:space="preserve">Кроме того, для совсем маленьких компаний, у которых мало средств на </w:t>
      </w:r>
      <w:r w:rsidR="00511AFC">
        <w:rPr>
          <w:rFonts w:ascii="Times New Roman" w:hAnsi="Times New Roman" w:cs="Times New Roman"/>
          <w:sz w:val="28"/>
          <w:lang w:val="ru-RU"/>
        </w:rPr>
        <w:lastRenderedPageBreak/>
        <w:t xml:space="preserve">проведение размещения акций, была создана вторая площадка – РИИ2. </w:t>
      </w:r>
      <w:r w:rsidR="004E101D">
        <w:rPr>
          <w:rFonts w:ascii="Times New Roman" w:hAnsi="Times New Roman" w:cs="Times New Roman"/>
          <w:sz w:val="28"/>
          <w:lang w:val="ru-RU"/>
        </w:rPr>
        <w:t>Таким  образом, на фондовый рынок обеспечивается приход новых – небольших, но перспективных – компаний.</w:t>
      </w:r>
    </w:p>
    <w:p w:rsidR="004E101D" w:rsidRDefault="00282467" w:rsidP="005E05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Как уже говорилось ранее, серьезной проблемой, сдерживающей развитие </w:t>
      </w:r>
      <w:r w:rsidR="001409E7">
        <w:rPr>
          <w:rFonts w:ascii="Times New Roman" w:hAnsi="Times New Roman" w:cs="Times New Roman"/>
          <w:sz w:val="28"/>
          <w:lang w:val="ru-RU"/>
        </w:rPr>
        <w:t xml:space="preserve">коллективного инвестирования, является </w:t>
      </w:r>
      <w:r w:rsidR="00963EAB">
        <w:rPr>
          <w:rFonts w:ascii="Times New Roman" w:hAnsi="Times New Roman" w:cs="Times New Roman"/>
          <w:sz w:val="28"/>
          <w:lang w:val="ru-RU"/>
        </w:rPr>
        <w:t>слишком маленький выбор финан</w:t>
      </w:r>
      <w:r w:rsidR="00591706">
        <w:rPr>
          <w:rFonts w:ascii="Times New Roman" w:hAnsi="Times New Roman" w:cs="Times New Roman"/>
          <w:sz w:val="28"/>
          <w:lang w:val="ru-RU"/>
        </w:rPr>
        <w:softHyphen/>
      </w:r>
      <w:r w:rsidR="00963EAB">
        <w:rPr>
          <w:rFonts w:ascii="Times New Roman" w:hAnsi="Times New Roman" w:cs="Times New Roman"/>
          <w:sz w:val="28"/>
          <w:lang w:val="ru-RU"/>
        </w:rPr>
        <w:t xml:space="preserve">совых инструментов. </w:t>
      </w:r>
      <w:r w:rsidR="00E26C35">
        <w:rPr>
          <w:rFonts w:ascii="Times New Roman" w:hAnsi="Times New Roman" w:cs="Times New Roman"/>
          <w:sz w:val="28"/>
          <w:lang w:val="ru-RU"/>
        </w:rPr>
        <w:t>Поэтому открытые ПИФы, предлагающие клиентам инвестирование средств в акции и облигации, постепенно вытесняются с инвестиционного рынка закрытыми паевыми инвестиционными фондами (табл. 4).</w:t>
      </w:r>
    </w:p>
    <w:p w:rsidR="00E26C35" w:rsidRDefault="006E7ECC" w:rsidP="006E7ECC">
      <w:pPr>
        <w:pStyle w:val="3"/>
      </w:pPr>
      <w:r>
        <w:t>Таблица 4</w:t>
      </w:r>
    </w:p>
    <w:p w:rsidR="006E7ECC" w:rsidRDefault="006E7ECC" w:rsidP="006E7ECC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Количество ПИФов по видам и категориям на 1 января 2015 г.</w:t>
      </w:r>
      <w:r w:rsidR="001D585C">
        <w:rPr>
          <w:rStyle w:val="a8"/>
          <w:rFonts w:ascii="Times New Roman" w:hAnsi="Times New Roman" w:cs="Times New Roman"/>
          <w:sz w:val="28"/>
          <w:lang w:val="ru-RU"/>
        </w:rPr>
        <w:footnoteReference w:id="7"/>
      </w:r>
    </w:p>
    <w:tbl>
      <w:tblPr>
        <w:tblW w:w="8507" w:type="dxa"/>
        <w:jc w:val="center"/>
        <w:tblCellMar>
          <w:left w:w="28" w:type="dxa"/>
          <w:right w:w="28" w:type="dxa"/>
        </w:tblCellMar>
        <w:tblLook w:val="04A0"/>
      </w:tblPr>
      <w:tblGrid>
        <w:gridCol w:w="3789"/>
        <w:gridCol w:w="1225"/>
        <w:gridCol w:w="1540"/>
        <w:gridCol w:w="1174"/>
        <w:gridCol w:w="779"/>
      </w:tblGrid>
      <w:tr w:rsidR="007D1238" w:rsidRPr="007D1238" w:rsidTr="007D1238">
        <w:trPr>
          <w:trHeight w:val="20"/>
          <w:jc w:val="center"/>
        </w:trPr>
        <w:tc>
          <w:tcPr>
            <w:tcW w:w="3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238" w:rsidRPr="007D1238" w:rsidRDefault="007D1238" w:rsidP="007D1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7D1238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Тип фондов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238" w:rsidRPr="007D1238" w:rsidRDefault="007D1238" w:rsidP="007D1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7D1238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Открытые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238" w:rsidRPr="007D1238" w:rsidRDefault="007D1238" w:rsidP="007D1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7D1238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Интервальные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238" w:rsidRPr="007D1238" w:rsidRDefault="007D1238" w:rsidP="007D1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7D1238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Закрытые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238" w:rsidRPr="007D1238" w:rsidRDefault="007D1238" w:rsidP="007D1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val="ru-RU" w:eastAsia="uk-UA"/>
              </w:rPr>
            </w:pPr>
            <w:r w:rsidRPr="007D123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val="ru-RU" w:eastAsia="uk-UA"/>
              </w:rPr>
              <w:t>Всего</w:t>
            </w:r>
          </w:p>
        </w:tc>
      </w:tr>
      <w:tr w:rsidR="007D1238" w:rsidRPr="007D1238" w:rsidTr="007D1238">
        <w:trPr>
          <w:trHeight w:val="20"/>
          <w:jc w:val="center"/>
        </w:trPr>
        <w:tc>
          <w:tcPr>
            <w:tcW w:w="3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238" w:rsidRPr="007D1238" w:rsidRDefault="007D1238" w:rsidP="007D12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7D1238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Акции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238" w:rsidRPr="007D1238" w:rsidRDefault="007D1238" w:rsidP="007D12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7D1238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130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238" w:rsidRPr="007D1238" w:rsidRDefault="007D1238" w:rsidP="007D12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7D1238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16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238" w:rsidRPr="007D1238" w:rsidRDefault="007D1238" w:rsidP="007D12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7D1238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25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238" w:rsidRPr="007D1238" w:rsidRDefault="007D1238" w:rsidP="007D12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val="ru-RU" w:eastAsia="uk-UA"/>
              </w:rPr>
            </w:pPr>
            <w:r w:rsidRPr="007D123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val="ru-RU" w:eastAsia="uk-UA"/>
              </w:rPr>
              <w:t>171</w:t>
            </w:r>
          </w:p>
        </w:tc>
      </w:tr>
      <w:tr w:rsidR="007D1238" w:rsidRPr="007D1238" w:rsidTr="007D1238">
        <w:trPr>
          <w:trHeight w:val="20"/>
          <w:jc w:val="center"/>
        </w:trPr>
        <w:tc>
          <w:tcPr>
            <w:tcW w:w="3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238" w:rsidRPr="007D1238" w:rsidRDefault="007D1238" w:rsidP="007D12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7D1238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Облигации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238" w:rsidRPr="007D1238" w:rsidRDefault="007D1238" w:rsidP="007D12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7D1238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79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238" w:rsidRPr="007D1238" w:rsidRDefault="007D1238" w:rsidP="007D12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7D1238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238" w:rsidRPr="007D1238" w:rsidRDefault="007D1238" w:rsidP="007D12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7D1238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238" w:rsidRPr="007D1238" w:rsidRDefault="007D1238" w:rsidP="007D12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val="ru-RU" w:eastAsia="uk-UA"/>
              </w:rPr>
            </w:pPr>
            <w:r w:rsidRPr="007D123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val="ru-RU" w:eastAsia="uk-UA"/>
              </w:rPr>
              <w:t>81</w:t>
            </w:r>
          </w:p>
        </w:tc>
      </w:tr>
      <w:tr w:rsidR="007D1238" w:rsidRPr="007D1238" w:rsidTr="007D1238">
        <w:trPr>
          <w:trHeight w:val="20"/>
          <w:jc w:val="center"/>
        </w:trPr>
        <w:tc>
          <w:tcPr>
            <w:tcW w:w="3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238" w:rsidRPr="007D1238" w:rsidRDefault="007D1238" w:rsidP="007D12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7D1238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Смешанный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238" w:rsidRPr="007D1238" w:rsidRDefault="007D1238" w:rsidP="007D12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7D1238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82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238" w:rsidRPr="007D1238" w:rsidRDefault="007D1238" w:rsidP="007D12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7D1238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14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238" w:rsidRPr="007D1238" w:rsidRDefault="007D1238" w:rsidP="007D12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7D1238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36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238" w:rsidRPr="007D1238" w:rsidRDefault="007D1238" w:rsidP="007D12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val="ru-RU" w:eastAsia="uk-UA"/>
              </w:rPr>
            </w:pPr>
            <w:r w:rsidRPr="007D123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val="ru-RU" w:eastAsia="uk-UA"/>
              </w:rPr>
              <w:t>132</w:t>
            </w:r>
          </w:p>
        </w:tc>
      </w:tr>
      <w:tr w:rsidR="007D1238" w:rsidRPr="007D1238" w:rsidTr="007D1238">
        <w:trPr>
          <w:trHeight w:val="20"/>
          <w:jc w:val="center"/>
        </w:trPr>
        <w:tc>
          <w:tcPr>
            <w:tcW w:w="3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238" w:rsidRPr="007D1238" w:rsidRDefault="007D1238" w:rsidP="007D12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7D1238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Индексный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238" w:rsidRPr="007D1238" w:rsidRDefault="007D1238" w:rsidP="007D12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7D1238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24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238" w:rsidRPr="007D1238" w:rsidRDefault="007D1238" w:rsidP="007D12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7D1238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238" w:rsidRPr="007D1238" w:rsidRDefault="007D1238" w:rsidP="007D12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7D1238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238" w:rsidRPr="007D1238" w:rsidRDefault="007D1238" w:rsidP="007D12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val="ru-RU" w:eastAsia="uk-UA"/>
              </w:rPr>
            </w:pPr>
            <w:r w:rsidRPr="007D123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val="ru-RU" w:eastAsia="uk-UA"/>
              </w:rPr>
              <w:t>24</w:t>
            </w:r>
          </w:p>
        </w:tc>
      </w:tr>
      <w:tr w:rsidR="007D1238" w:rsidRPr="007D1238" w:rsidTr="007D1238">
        <w:trPr>
          <w:trHeight w:val="20"/>
          <w:jc w:val="center"/>
        </w:trPr>
        <w:tc>
          <w:tcPr>
            <w:tcW w:w="3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238" w:rsidRPr="007D1238" w:rsidRDefault="007D1238" w:rsidP="007D12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7D1238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Денежный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238" w:rsidRPr="007D1238" w:rsidRDefault="007D1238" w:rsidP="007D12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7D1238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238" w:rsidRPr="007D1238" w:rsidRDefault="007D1238" w:rsidP="007D12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7D1238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 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238" w:rsidRPr="007D1238" w:rsidRDefault="007D1238" w:rsidP="007D12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7D1238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238" w:rsidRPr="007D1238" w:rsidRDefault="007D1238" w:rsidP="007D12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val="ru-RU" w:eastAsia="uk-UA"/>
              </w:rPr>
            </w:pPr>
            <w:r w:rsidRPr="007D123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val="ru-RU" w:eastAsia="uk-UA"/>
              </w:rPr>
              <w:t>10</w:t>
            </w:r>
          </w:p>
        </w:tc>
      </w:tr>
      <w:tr w:rsidR="007D1238" w:rsidRPr="007D1238" w:rsidTr="007D1238">
        <w:trPr>
          <w:trHeight w:val="20"/>
          <w:jc w:val="center"/>
        </w:trPr>
        <w:tc>
          <w:tcPr>
            <w:tcW w:w="3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238" w:rsidRPr="007D1238" w:rsidRDefault="007D1238" w:rsidP="007D12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7D1238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Фондов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238" w:rsidRPr="007D1238" w:rsidRDefault="007D1238" w:rsidP="007D12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7D1238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51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238" w:rsidRPr="007D1238" w:rsidRDefault="007D1238" w:rsidP="007D12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7D1238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2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238" w:rsidRPr="007D1238" w:rsidRDefault="007D1238" w:rsidP="007D12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7D1238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238" w:rsidRPr="007D1238" w:rsidRDefault="007D1238" w:rsidP="007D12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val="ru-RU" w:eastAsia="uk-UA"/>
              </w:rPr>
            </w:pPr>
            <w:r w:rsidRPr="007D123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val="ru-RU" w:eastAsia="uk-UA"/>
              </w:rPr>
              <w:t>53</w:t>
            </w:r>
          </w:p>
        </w:tc>
      </w:tr>
      <w:tr w:rsidR="007D1238" w:rsidRPr="007D1238" w:rsidTr="007D1238">
        <w:trPr>
          <w:trHeight w:val="20"/>
          <w:jc w:val="center"/>
        </w:trPr>
        <w:tc>
          <w:tcPr>
            <w:tcW w:w="3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238" w:rsidRPr="007D1238" w:rsidRDefault="007D1238" w:rsidP="007D12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7D1238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Товарного рынка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238" w:rsidRPr="007D1238" w:rsidRDefault="007D1238" w:rsidP="007D12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7D1238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238" w:rsidRPr="007D1238" w:rsidRDefault="007D1238" w:rsidP="007D12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7D1238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5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238" w:rsidRPr="007D1238" w:rsidRDefault="007D1238" w:rsidP="007D12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7D1238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 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238" w:rsidRPr="007D1238" w:rsidRDefault="007D1238" w:rsidP="007D12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val="ru-RU" w:eastAsia="uk-UA"/>
              </w:rPr>
            </w:pPr>
            <w:r w:rsidRPr="007D123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val="ru-RU" w:eastAsia="uk-UA"/>
              </w:rPr>
              <w:t>5</w:t>
            </w:r>
          </w:p>
        </w:tc>
      </w:tr>
      <w:tr w:rsidR="007D1238" w:rsidRPr="007D1238" w:rsidTr="007D1238">
        <w:trPr>
          <w:trHeight w:val="20"/>
          <w:jc w:val="center"/>
        </w:trPr>
        <w:tc>
          <w:tcPr>
            <w:tcW w:w="3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238" w:rsidRPr="007D1238" w:rsidRDefault="007D1238" w:rsidP="007D12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7D1238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Хедж-фонд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238" w:rsidRPr="007D1238" w:rsidRDefault="007D1238" w:rsidP="007D12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7D1238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238" w:rsidRPr="007D1238" w:rsidRDefault="007D1238" w:rsidP="007D12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7D1238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13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238" w:rsidRPr="007D1238" w:rsidRDefault="007D1238" w:rsidP="007D12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7D1238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18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238" w:rsidRPr="007D1238" w:rsidRDefault="007D1238" w:rsidP="007D12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val="ru-RU" w:eastAsia="uk-UA"/>
              </w:rPr>
            </w:pPr>
            <w:r w:rsidRPr="007D123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val="ru-RU" w:eastAsia="uk-UA"/>
              </w:rPr>
              <w:t>31</w:t>
            </w:r>
          </w:p>
        </w:tc>
      </w:tr>
      <w:tr w:rsidR="007D1238" w:rsidRPr="007D1238" w:rsidTr="007D1238">
        <w:trPr>
          <w:trHeight w:val="20"/>
          <w:jc w:val="center"/>
        </w:trPr>
        <w:tc>
          <w:tcPr>
            <w:tcW w:w="3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238" w:rsidRPr="007D1238" w:rsidRDefault="007D1238" w:rsidP="007D12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7D1238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Недвижимость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238" w:rsidRPr="007D1238" w:rsidRDefault="007D1238" w:rsidP="007D12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7D1238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238" w:rsidRPr="007D1238" w:rsidRDefault="007D1238" w:rsidP="007D12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7D1238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 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238" w:rsidRPr="007D1238" w:rsidRDefault="007D1238" w:rsidP="007D12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7D1238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650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238" w:rsidRPr="007D1238" w:rsidRDefault="007D1238" w:rsidP="007D12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val="ru-RU" w:eastAsia="uk-UA"/>
              </w:rPr>
            </w:pPr>
            <w:r w:rsidRPr="007D123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val="ru-RU" w:eastAsia="uk-UA"/>
              </w:rPr>
              <w:t>650</w:t>
            </w:r>
          </w:p>
        </w:tc>
      </w:tr>
      <w:tr w:rsidR="007D1238" w:rsidRPr="007D1238" w:rsidTr="007D1238">
        <w:trPr>
          <w:trHeight w:val="20"/>
          <w:jc w:val="center"/>
        </w:trPr>
        <w:tc>
          <w:tcPr>
            <w:tcW w:w="3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238" w:rsidRPr="007D1238" w:rsidRDefault="007D1238" w:rsidP="007D12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7D1238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Ипотечный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238" w:rsidRPr="007D1238" w:rsidRDefault="007D1238" w:rsidP="007D12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7D1238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238" w:rsidRPr="007D1238" w:rsidRDefault="007D1238" w:rsidP="007D12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7D1238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 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238" w:rsidRPr="007D1238" w:rsidRDefault="007D1238" w:rsidP="007D12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7D1238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9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238" w:rsidRPr="007D1238" w:rsidRDefault="007D1238" w:rsidP="007D12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val="ru-RU" w:eastAsia="uk-UA"/>
              </w:rPr>
            </w:pPr>
            <w:r w:rsidRPr="007D123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val="ru-RU" w:eastAsia="uk-UA"/>
              </w:rPr>
              <w:t>9</w:t>
            </w:r>
          </w:p>
        </w:tc>
      </w:tr>
      <w:tr w:rsidR="007D1238" w:rsidRPr="007D1238" w:rsidTr="007D1238">
        <w:trPr>
          <w:trHeight w:val="20"/>
          <w:jc w:val="center"/>
        </w:trPr>
        <w:tc>
          <w:tcPr>
            <w:tcW w:w="3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238" w:rsidRPr="007D1238" w:rsidRDefault="007D1238" w:rsidP="007D12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7D1238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Венчурный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238" w:rsidRPr="007D1238" w:rsidRDefault="007D1238" w:rsidP="007D12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7D1238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238" w:rsidRPr="007D1238" w:rsidRDefault="007D1238" w:rsidP="007D12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7D1238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 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238" w:rsidRPr="007D1238" w:rsidRDefault="007D1238" w:rsidP="007D12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7D1238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58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238" w:rsidRPr="007D1238" w:rsidRDefault="007D1238" w:rsidP="007D12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val="ru-RU" w:eastAsia="uk-UA"/>
              </w:rPr>
            </w:pPr>
            <w:r w:rsidRPr="007D123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val="ru-RU" w:eastAsia="uk-UA"/>
              </w:rPr>
              <w:t>58</w:t>
            </w:r>
          </w:p>
        </w:tc>
      </w:tr>
      <w:tr w:rsidR="007D1238" w:rsidRPr="007D1238" w:rsidTr="007D1238">
        <w:trPr>
          <w:trHeight w:val="20"/>
          <w:jc w:val="center"/>
        </w:trPr>
        <w:tc>
          <w:tcPr>
            <w:tcW w:w="3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238" w:rsidRPr="007D1238" w:rsidRDefault="007D1238" w:rsidP="007D12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7D1238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Прямых инвестиций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238" w:rsidRPr="007D1238" w:rsidRDefault="007D1238" w:rsidP="007D12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7D1238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238" w:rsidRPr="007D1238" w:rsidRDefault="007D1238" w:rsidP="007D12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7D1238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 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238" w:rsidRPr="007D1238" w:rsidRDefault="007D1238" w:rsidP="007D12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7D1238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45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238" w:rsidRPr="007D1238" w:rsidRDefault="007D1238" w:rsidP="007D12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val="ru-RU" w:eastAsia="uk-UA"/>
              </w:rPr>
            </w:pPr>
            <w:r w:rsidRPr="007D123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val="ru-RU" w:eastAsia="uk-UA"/>
              </w:rPr>
              <w:t>45</w:t>
            </w:r>
          </w:p>
        </w:tc>
      </w:tr>
      <w:tr w:rsidR="007D1238" w:rsidRPr="007D1238" w:rsidTr="007D1238">
        <w:trPr>
          <w:trHeight w:val="20"/>
          <w:jc w:val="center"/>
        </w:trPr>
        <w:tc>
          <w:tcPr>
            <w:tcW w:w="3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238" w:rsidRPr="007D1238" w:rsidRDefault="007D1238" w:rsidP="007D12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7D1238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Рентный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238" w:rsidRPr="007D1238" w:rsidRDefault="007D1238" w:rsidP="007D12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7D1238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238" w:rsidRPr="007D1238" w:rsidRDefault="007D1238" w:rsidP="007D12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7D1238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 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238" w:rsidRPr="007D1238" w:rsidRDefault="007D1238" w:rsidP="007D12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7D1238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83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238" w:rsidRPr="007D1238" w:rsidRDefault="007D1238" w:rsidP="007D12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val="ru-RU" w:eastAsia="uk-UA"/>
              </w:rPr>
            </w:pPr>
            <w:r w:rsidRPr="007D123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val="ru-RU" w:eastAsia="uk-UA"/>
              </w:rPr>
              <w:t>83</w:t>
            </w:r>
          </w:p>
        </w:tc>
      </w:tr>
      <w:tr w:rsidR="007D1238" w:rsidRPr="007D1238" w:rsidTr="007D1238">
        <w:trPr>
          <w:trHeight w:val="20"/>
          <w:jc w:val="center"/>
        </w:trPr>
        <w:tc>
          <w:tcPr>
            <w:tcW w:w="3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238" w:rsidRPr="007D1238" w:rsidRDefault="007D1238" w:rsidP="007D12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7D1238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Кредитный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238" w:rsidRPr="007D1238" w:rsidRDefault="007D1238" w:rsidP="007D12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7D1238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238" w:rsidRPr="007D1238" w:rsidRDefault="007D1238" w:rsidP="007D12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7D1238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 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238" w:rsidRPr="007D1238" w:rsidRDefault="007D1238" w:rsidP="007D12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7D1238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84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238" w:rsidRPr="007D1238" w:rsidRDefault="007D1238" w:rsidP="007D12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val="ru-RU" w:eastAsia="uk-UA"/>
              </w:rPr>
            </w:pPr>
            <w:r w:rsidRPr="007D123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val="ru-RU" w:eastAsia="uk-UA"/>
              </w:rPr>
              <w:t>84</w:t>
            </w:r>
          </w:p>
        </w:tc>
      </w:tr>
      <w:tr w:rsidR="007D1238" w:rsidRPr="007D1238" w:rsidTr="007D1238">
        <w:trPr>
          <w:trHeight w:val="20"/>
          <w:jc w:val="center"/>
        </w:trPr>
        <w:tc>
          <w:tcPr>
            <w:tcW w:w="3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238" w:rsidRPr="007D1238" w:rsidRDefault="007D1238" w:rsidP="007D12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7D1238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Художественных ценностей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238" w:rsidRPr="007D1238" w:rsidRDefault="007D1238" w:rsidP="007D12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7D1238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238" w:rsidRPr="007D1238" w:rsidRDefault="007D1238" w:rsidP="007D12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7D1238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 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238" w:rsidRPr="007D1238" w:rsidRDefault="007D1238" w:rsidP="007D12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7D1238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238" w:rsidRPr="007D1238" w:rsidRDefault="007D1238" w:rsidP="007D12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val="ru-RU" w:eastAsia="uk-UA"/>
              </w:rPr>
            </w:pPr>
            <w:r w:rsidRPr="007D123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val="ru-RU" w:eastAsia="uk-UA"/>
              </w:rPr>
              <w:t>2</w:t>
            </w:r>
          </w:p>
        </w:tc>
      </w:tr>
      <w:tr w:rsidR="007D1238" w:rsidRPr="007D1238" w:rsidTr="007D1238">
        <w:trPr>
          <w:trHeight w:val="20"/>
          <w:jc w:val="center"/>
        </w:trPr>
        <w:tc>
          <w:tcPr>
            <w:tcW w:w="3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238" w:rsidRPr="007D1238" w:rsidRDefault="007D1238" w:rsidP="007D12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7D1238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Долгосрочных прямых инвестиций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238" w:rsidRPr="007D1238" w:rsidRDefault="007D1238" w:rsidP="007D12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7D1238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238" w:rsidRPr="007D1238" w:rsidRDefault="007D1238" w:rsidP="007D12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7D1238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 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238" w:rsidRPr="007D1238" w:rsidRDefault="007D1238" w:rsidP="007D12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</w:pPr>
            <w:r w:rsidRPr="007D1238">
              <w:rPr>
                <w:rFonts w:ascii="Times New Roman" w:eastAsia="Times New Roman" w:hAnsi="Times New Roman" w:cs="Times New Roman"/>
                <w:color w:val="000000"/>
                <w:sz w:val="24"/>
                <w:lang w:val="ru-RU" w:eastAsia="uk-UA"/>
              </w:rPr>
              <w:t>92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238" w:rsidRPr="007D1238" w:rsidRDefault="007D1238" w:rsidP="007D12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val="ru-RU" w:eastAsia="uk-UA"/>
              </w:rPr>
            </w:pPr>
            <w:r w:rsidRPr="007D123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val="ru-RU" w:eastAsia="uk-UA"/>
              </w:rPr>
              <w:t>92</w:t>
            </w:r>
          </w:p>
        </w:tc>
      </w:tr>
      <w:tr w:rsidR="007D1238" w:rsidRPr="007D1238" w:rsidTr="007D1238">
        <w:trPr>
          <w:trHeight w:val="20"/>
          <w:jc w:val="center"/>
        </w:trPr>
        <w:tc>
          <w:tcPr>
            <w:tcW w:w="37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238" w:rsidRPr="007D1238" w:rsidRDefault="007D1238" w:rsidP="007D12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val="ru-RU" w:eastAsia="uk-UA"/>
              </w:rPr>
            </w:pPr>
            <w:r w:rsidRPr="007D123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val="ru-RU" w:eastAsia="uk-UA"/>
              </w:rPr>
              <w:t>Всего: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238" w:rsidRPr="007D1238" w:rsidRDefault="007D1238" w:rsidP="007D12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val="ru-RU" w:eastAsia="uk-UA"/>
              </w:rPr>
            </w:pPr>
            <w:r w:rsidRPr="007D123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val="ru-RU" w:eastAsia="uk-UA"/>
              </w:rPr>
              <w:t>376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238" w:rsidRPr="007D1238" w:rsidRDefault="007D1238" w:rsidP="007D12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val="ru-RU" w:eastAsia="uk-UA"/>
              </w:rPr>
            </w:pPr>
            <w:r w:rsidRPr="007D123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val="ru-RU" w:eastAsia="uk-UA"/>
              </w:rPr>
              <w:t>50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238" w:rsidRPr="007D1238" w:rsidRDefault="007D1238" w:rsidP="007D12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val="ru-RU" w:eastAsia="uk-UA"/>
              </w:rPr>
            </w:pPr>
            <w:r w:rsidRPr="007D123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val="ru-RU" w:eastAsia="uk-UA"/>
              </w:rPr>
              <w:t>1104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D1238" w:rsidRPr="007D1238" w:rsidRDefault="007D1238" w:rsidP="007D12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val="ru-RU" w:eastAsia="uk-UA"/>
              </w:rPr>
            </w:pPr>
            <w:r w:rsidRPr="007D123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lang w:val="ru-RU" w:eastAsia="uk-UA"/>
              </w:rPr>
              <w:t>1530</w:t>
            </w:r>
          </w:p>
        </w:tc>
      </w:tr>
    </w:tbl>
    <w:p w:rsidR="006E7ECC" w:rsidRDefault="006E7ECC" w:rsidP="005E05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8E6F5B" w:rsidRDefault="008E6F5B" w:rsidP="005E05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Из таблицы видно, что большое распространение на сегодняшний день получили ПИФы недвижимости, а также </w:t>
      </w:r>
      <w:r w:rsidR="00936CAD">
        <w:rPr>
          <w:rFonts w:ascii="Times New Roman" w:hAnsi="Times New Roman" w:cs="Times New Roman"/>
          <w:sz w:val="28"/>
          <w:lang w:val="ru-RU"/>
        </w:rPr>
        <w:t xml:space="preserve">рентные и кредитные фонды и фонды долгосрочных прямых инвестиций. </w:t>
      </w:r>
      <w:r w:rsidR="00A16501">
        <w:rPr>
          <w:rFonts w:ascii="Times New Roman" w:hAnsi="Times New Roman" w:cs="Times New Roman"/>
          <w:sz w:val="28"/>
          <w:lang w:val="ru-RU"/>
        </w:rPr>
        <w:t xml:space="preserve">На начало 2015 года стоимость чистых активов ПИФов недвижимости составила 177853 млн. руб. или 30,1% от общей стоимости чистых активов всех действующих ПИФов. </w:t>
      </w:r>
      <w:r w:rsidR="000948A4">
        <w:rPr>
          <w:rFonts w:ascii="Times New Roman" w:hAnsi="Times New Roman" w:cs="Times New Roman"/>
          <w:sz w:val="28"/>
          <w:lang w:val="ru-RU"/>
        </w:rPr>
        <w:t xml:space="preserve">Примерно </w:t>
      </w:r>
      <w:r w:rsidR="000948A4">
        <w:rPr>
          <w:rFonts w:ascii="Times New Roman" w:hAnsi="Times New Roman" w:cs="Times New Roman"/>
          <w:sz w:val="28"/>
          <w:lang w:val="ru-RU"/>
        </w:rPr>
        <w:lastRenderedPageBreak/>
        <w:t>такую же долю в чистых активах (30,9%) занимают и рентные паевые инвестиционные фонды.</w:t>
      </w:r>
    </w:p>
    <w:p w:rsidR="000948A4" w:rsidRDefault="003E6D45" w:rsidP="005E05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Деятельность рентных ПИФов основана на инвестировании средств фонда в недвижимость, владение которой будет приносить пайщикам доход. </w:t>
      </w:r>
      <w:r w:rsidR="007B43DF">
        <w:rPr>
          <w:rFonts w:ascii="Times New Roman" w:hAnsi="Times New Roman" w:cs="Times New Roman"/>
          <w:sz w:val="28"/>
          <w:lang w:val="ru-RU"/>
        </w:rPr>
        <w:t xml:space="preserve">ПИФы недвижимости </w:t>
      </w:r>
      <w:r w:rsidR="00FD1639">
        <w:rPr>
          <w:rFonts w:ascii="Times New Roman" w:hAnsi="Times New Roman" w:cs="Times New Roman"/>
          <w:sz w:val="28"/>
          <w:lang w:val="ru-RU"/>
        </w:rPr>
        <w:t>помимо инвестирования средств в имеющ</w:t>
      </w:r>
      <w:r w:rsidR="00547A15">
        <w:rPr>
          <w:rFonts w:ascii="Times New Roman" w:hAnsi="Times New Roman" w:cs="Times New Roman"/>
          <w:sz w:val="28"/>
          <w:lang w:val="ru-RU"/>
        </w:rPr>
        <w:t>ие</w:t>
      </w:r>
      <w:r w:rsidR="00FD1639">
        <w:rPr>
          <w:rFonts w:ascii="Times New Roman" w:hAnsi="Times New Roman" w:cs="Times New Roman"/>
          <w:sz w:val="28"/>
          <w:lang w:val="ru-RU"/>
        </w:rPr>
        <w:t xml:space="preserve">ся </w:t>
      </w:r>
      <w:r w:rsidR="00547A15">
        <w:rPr>
          <w:rFonts w:ascii="Times New Roman" w:hAnsi="Times New Roman" w:cs="Times New Roman"/>
          <w:sz w:val="28"/>
          <w:lang w:val="ru-RU"/>
        </w:rPr>
        <w:t>недвижи</w:t>
      </w:r>
      <w:r w:rsidR="00547A15">
        <w:rPr>
          <w:rFonts w:ascii="Times New Roman" w:hAnsi="Times New Roman" w:cs="Times New Roman"/>
          <w:sz w:val="28"/>
          <w:lang w:val="ru-RU"/>
        </w:rPr>
        <w:softHyphen/>
        <w:t>мые объекты, могут также финансировать строительные проекты.</w:t>
      </w:r>
      <w:r w:rsidR="00192E89">
        <w:rPr>
          <w:rFonts w:ascii="Times New Roman" w:hAnsi="Times New Roman" w:cs="Times New Roman"/>
          <w:sz w:val="28"/>
          <w:lang w:val="ru-RU"/>
        </w:rPr>
        <w:t xml:space="preserve"> Таким образом, </w:t>
      </w:r>
      <w:r w:rsidR="0093237F">
        <w:rPr>
          <w:rFonts w:ascii="Times New Roman" w:hAnsi="Times New Roman" w:cs="Times New Roman"/>
          <w:sz w:val="28"/>
          <w:lang w:val="ru-RU"/>
        </w:rPr>
        <w:t xml:space="preserve">если </w:t>
      </w:r>
      <w:r w:rsidR="000E1F2B">
        <w:rPr>
          <w:rFonts w:ascii="Times New Roman" w:hAnsi="Times New Roman" w:cs="Times New Roman"/>
          <w:sz w:val="28"/>
          <w:lang w:val="ru-RU"/>
        </w:rPr>
        <w:t xml:space="preserve">пайщики </w:t>
      </w:r>
      <w:r w:rsidR="0093237F">
        <w:rPr>
          <w:rFonts w:ascii="Times New Roman" w:hAnsi="Times New Roman" w:cs="Times New Roman"/>
          <w:sz w:val="28"/>
          <w:lang w:val="ru-RU"/>
        </w:rPr>
        <w:t xml:space="preserve">ПИФов недвижимости </w:t>
      </w:r>
      <w:r w:rsidR="00CD426B">
        <w:rPr>
          <w:rFonts w:ascii="Times New Roman" w:hAnsi="Times New Roman" w:cs="Times New Roman"/>
          <w:sz w:val="28"/>
          <w:lang w:val="ru-RU"/>
        </w:rPr>
        <w:t>инвестируют в развитие строительной отрасли.</w:t>
      </w:r>
    </w:p>
    <w:p w:rsidR="00CD426B" w:rsidRDefault="00080EB9" w:rsidP="005E05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Также </w:t>
      </w:r>
      <w:r w:rsidR="00F334A9">
        <w:rPr>
          <w:rFonts w:ascii="Times New Roman" w:hAnsi="Times New Roman" w:cs="Times New Roman"/>
          <w:sz w:val="28"/>
          <w:lang w:val="ru-RU"/>
        </w:rPr>
        <w:t xml:space="preserve">достаточно распространенными стали фонды долгосрочных прямых инвестиций, однако </w:t>
      </w:r>
      <w:r w:rsidR="00B67EEE">
        <w:rPr>
          <w:rFonts w:ascii="Times New Roman" w:hAnsi="Times New Roman" w:cs="Times New Roman"/>
          <w:sz w:val="28"/>
          <w:lang w:val="ru-RU"/>
        </w:rPr>
        <w:t>они относятся к фондам только для квалифици</w:t>
      </w:r>
      <w:r w:rsidR="00B67EEE">
        <w:rPr>
          <w:rFonts w:ascii="Times New Roman" w:hAnsi="Times New Roman" w:cs="Times New Roman"/>
          <w:sz w:val="28"/>
          <w:lang w:val="ru-RU"/>
        </w:rPr>
        <w:softHyphen/>
        <w:t xml:space="preserve">рованных инвесторов, </w:t>
      </w:r>
      <w:r w:rsidR="00AB109B">
        <w:rPr>
          <w:rFonts w:ascii="Times New Roman" w:hAnsi="Times New Roman" w:cs="Times New Roman"/>
          <w:sz w:val="28"/>
          <w:lang w:val="ru-RU"/>
        </w:rPr>
        <w:t xml:space="preserve">поэтому информация о величине чистых активов этих фондов и направлениях их инвестиций не публикуется. </w:t>
      </w:r>
    </w:p>
    <w:p w:rsidR="00547A15" w:rsidRDefault="00C93C3C" w:rsidP="005E05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Однако можно сказать, что рентные ПИФы и ПИФы недвижимости являются альтернативой </w:t>
      </w:r>
      <w:r w:rsidR="0009384C">
        <w:rPr>
          <w:rFonts w:ascii="Times New Roman" w:hAnsi="Times New Roman" w:cs="Times New Roman"/>
          <w:sz w:val="28"/>
          <w:lang w:val="ru-RU"/>
        </w:rPr>
        <w:t>портфельному инвестированию в ценные бумаги, обращающиеся на фондовом рынке.</w:t>
      </w:r>
    </w:p>
    <w:p w:rsidR="0009384C" w:rsidRDefault="003302E2" w:rsidP="005E05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Серьезной проблемой развития финансового рынка РФявляется несовершенство государственного регулирования рынка, а также недостатки законодательства. В этом отношении за последние годы был предпринят ряд мер. В первую очередь, с 1 сентября 2013 года Центральный Банк РФ </w:t>
      </w:r>
      <w:r w:rsidR="009A2C5A">
        <w:rPr>
          <w:rFonts w:ascii="Times New Roman" w:hAnsi="Times New Roman" w:cs="Times New Roman"/>
          <w:sz w:val="28"/>
          <w:lang w:val="ru-RU"/>
        </w:rPr>
        <w:t xml:space="preserve">стал мегарегулятором финансовых рынков. </w:t>
      </w:r>
      <w:r w:rsidR="001C356F">
        <w:rPr>
          <w:rFonts w:ascii="Times New Roman" w:hAnsi="Times New Roman" w:cs="Times New Roman"/>
          <w:sz w:val="28"/>
          <w:lang w:val="ru-RU"/>
        </w:rPr>
        <w:t xml:space="preserve">Теперь он осуществляет регулирование финансового </w:t>
      </w:r>
      <w:r w:rsidR="00AA1D58">
        <w:rPr>
          <w:rFonts w:ascii="Times New Roman" w:hAnsi="Times New Roman" w:cs="Times New Roman"/>
          <w:sz w:val="28"/>
          <w:lang w:val="ru-RU"/>
        </w:rPr>
        <w:t>рынка РФ в следующих направлениях: регулирование банковской и кредитной сферы, регулирование валютного рынка, а также регули</w:t>
      </w:r>
      <w:r w:rsidR="00AA1D58">
        <w:rPr>
          <w:rFonts w:ascii="Times New Roman" w:hAnsi="Times New Roman" w:cs="Times New Roman"/>
          <w:sz w:val="28"/>
          <w:lang w:val="ru-RU"/>
        </w:rPr>
        <w:softHyphen/>
        <w:t>рование страхового рынка.</w:t>
      </w:r>
    </w:p>
    <w:p w:rsidR="00AA1D58" w:rsidRDefault="00041072" w:rsidP="005E05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Происходят и положительные изменения в законодательстве. В частности, принятый в 2011 году ФЗ «О центральном депозитарии» способ</w:t>
      </w:r>
      <w:r w:rsidR="007D737C">
        <w:rPr>
          <w:rFonts w:ascii="Times New Roman" w:hAnsi="Times New Roman" w:cs="Times New Roman"/>
          <w:sz w:val="28"/>
          <w:lang w:val="ru-RU"/>
        </w:rPr>
        <w:softHyphen/>
      </w:r>
      <w:r>
        <w:rPr>
          <w:rFonts w:ascii="Times New Roman" w:hAnsi="Times New Roman" w:cs="Times New Roman"/>
          <w:sz w:val="28"/>
          <w:lang w:val="ru-RU"/>
        </w:rPr>
        <w:t>ствовал переходу к централизованной системе учета ценных бумаг.</w:t>
      </w:r>
    </w:p>
    <w:p w:rsidR="00041072" w:rsidRDefault="009B137C" w:rsidP="005E05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Перспективы развития финансового рынка РФ определяются государ</w:t>
      </w:r>
      <w:r w:rsidR="00A10D63">
        <w:rPr>
          <w:rFonts w:ascii="Times New Roman" w:hAnsi="Times New Roman" w:cs="Times New Roman"/>
          <w:sz w:val="28"/>
          <w:lang w:val="ru-RU"/>
        </w:rPr>
        <w:softHyphen/>
      </w:r>
      <w:r>
        <w:rPr>
          <w:rFonts w:ascii="Times New Roman" w:hAnsi="Times New Roman" w:cs="Times New Roman"/>
          <w:sz w:val="28"/>
          <w:lang w:val="ru-RU"/>
        </w:rPr>
        <w:t xml:space="preserve">ственной «Стратегией развития финансового рынка РФ до 2020 года». </w:t>
      </w:r>
      <w:r w:rsidR="00A10D63">
        <w:rPr>
          <w:rFonts w:ascii="Times New Roman" w:hAnsi="Times New Roman" w:cs="Times New Roman"/>
          <w:sz w:val="28"/>
          <w:lang w:val="ru-RU"/>
        </w:rPr>
        <w:t>В ее рамках запланированы следующие направления</w:t>
      </w:r>
      <w:r w:rsidR="00797546">
        <w:rPr>
          <w:rFonts w:ascii="Times New Roman" w:hAnsi="Times New Roman" w:cs="Times New Roman"/>
          <w:sz w:val="28"/>
          <w:lang w:val="ru-RU"/>
        </w:rPr>
        <w:t xml:space="preserve"> развития финансового рынка:</w:t>
      </w:r>
    </w:p>
    <w:p w:rsidR="006F73BF" w:rsidRPr="00D73411" w:rsidRDefault="006F73BF" w:rsidP="006F73B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D73411">
        <w:rPr>
          <w:rFonts w:ascii="Times New Roman" w:hAnsi="Times New Roman" w:cs="Times New Roman"/>
          <w:sz w:val="28"/>
          <w:lang w:val="ru-RU"/>
        </w:rPr>
        <w:lastRenderedPageBreak/>
        <w:t>Рост долгосрочных инвестиций в реальный сектор, в модернизацию, в обеспечение устойчивого экономического роста.</w:t>
      </w:r>
    </w:p>
    <w:p w:rsidR="006F73BF" w:rsidRPr="00D73411" w:rsidRDefault="006F73BF" w:rsidP="006F73B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D73411">
        <w:rPr>
          <w:rFonts w:ascii="Times New Roman" w:hAnsi="Times New Roman" w:cs="Times New Roman"/>
          <w:sz w:val="28"/>
          <w:lang w:val="ru-RU"/>
        </w:rPr>
        <w:t>Диверсификация собственности в российской экономике, переход к массовой модели инвестирования в процессе формирования среднего класса.</w:t>
      </w:r>
    </w:p>
    <w:p w:rsidR="006F73BF" w:rsidRPr="00D73411" w:rsidRDefault="006F73BF" w:rsidP="006F73B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D73411">
        <w:rPr>
          <w:rFonts w:ascii="Times New Roman" w:hAnsi="Times New Roman" w:cs="Times New Roman"/>
          <w:sz w:val="28"/>
          <w:lang w:val="ru-RU"/>
        </w:rPr>
        <w:t>Рост конкурентоспособности российских финансовых рынков в сравнении с зарубежными формирующимися рынками-конкурентами, предупреждение ухода торговой активности, эмитентов и инвесторов за рубеж.</w:t>
      </w:r>
    </w:p>
    <w:p w:rsidR="00797546" w:rsidRDefault="006F73BF" w:rsidP="005E05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Главной задачей </w:t>
      </w:r>
      <w:r w:rsidR="00ED785B">
        <w:rPr>
          <w:rFonts w:ascii="Times New Roman" w:hAnsi="Times New Roman" w:cs="Times New Roman"/>
          <w:sz w:val="28"/>
          <w:lang w:val="ru-RU"/>
        </w:rPr>
        <w:t xml:space="preserve">развития российского финансового рынка является расширение круга инвесторов, готовых </w:t>
      </w:r>
      <w:r w:rsidR="00653FDD">
        <w:rPr>
          <w:rFonts w:ascii="Times New Roman" w:hAnsi="Times New Roman" w:cs="Times New Roman"/>
          <w:sz w:val="28"/>
          <w:lang w:val="ru-RU"/>
        </w:rPr>
        <w:t>вкладываться в долго</w:t>
      </w:r>
      <w:r w:rsidR="00907807">
        <w:rPr>
          <w:rFonts w:ascii="Times New Roman" w:hAnsi="Times New Roman" w:cs="Times New Roman"/>
          <w:sz w:val="28"/>
          <w:lang w:val="ru-RU"/>
        </w:rPr>
        <w:t xml:space="preserve">срочные инвестиционные проекты, и стимулирование спроса на акции. </w:t>
      </w:r>
      <w:r w:rsidR="005B2042">
        <w:rPr>
          <w:rFonts w:ascii="Times New Roman" w:hAnsi="Times New Roman" w:cs="Times New Roman"/>
          <w:sz w:val="28"/>
          <w:lang w:val="ru-RU"/>
        </w:rPr>
        <w:t xml:space="preserve">Это снизит зависимость от зарубежных инвесторов </w:t>
      </w:r>
      <w:r w:rsidR="0048060C">
        <w:rPr>
          <w:rFonts w:ascii="Times New Roman" w:hAnsi="Times New Roman" w:cs="Times New Roman"/>
          <w:sz w:val="28"/>
          <w:lang w:val="ru-RU"/>
        </w:rPr>
        <w:t xml:space="preserve">и предотвратит «утечку» капитала за рубеж. </w:t>
      </w:r>
      <w:r w:rsidR="00D4069C">
        <w:rPr>
          <w:rFonts w:ascii="Times New Roman" w:hAnsi="Times New Roman" w:cs="Times New Roman"/>
          <w:sz w:val="28"/>
          <w:lang w:val="ru-RU"/>
        </w:rPr>
        <w:t>Одним из способов расширить круг собственников является исполь</w:t>
      </w:r>
      <w:r w:rsidR="008848EC">
        <w:rPr>
          <w:rFonts w:ascii="Times New Roman" w:hAnsi="Times New Roman" w:cs="Times New Roman"/>
          <w:sz w:val="28"/>
          <w:lang w:val="ru-RU"/>
        </w:rPr>
        <w:softHyphen/>
      </w:r>
      <w:r w:rsidR="00D4069C">
        <w:rPr>
          <w:rFonts w:ascii="Times New Roman" w:hAnsi="Times New Roman" w:cs="Times New Roman"/>
          <w:sz w:val="28"/>
          <w:lang w:val="ru-RU"/>
        </w:rPr>
        <w:t xml:space="preserve">зование акций компании в качестве поощрения </w:t>
      </w:r>
      <w:r w:rsidR="00011AF2">
        <w:rPr>
          <w:rFonts w:ascii="Times New Roman" w:hAnsi="Times New Roman" w:cs="Times New Roman"/>
          <w:sz w:val="28"/>
          <w:lang w:val="ru-RU"/>
        </w:rPr>
        <w:t xml:space="preserve">сотрудников предприятия. </w:t>
      </w:r>
    </w:p>
    <w:p w:rsidR="00011AF2" w:rsidRPr="0032208A" w:rsidRDefault="002854BE" w:rsidP="005E05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Еще одним важным направлением реформирования финансового рынка я считаю реформирование его институциональной структуры. По сути многие организации (страховые компании, паевые инвестиционные фонды, негосударственные пенсионные фонды) занимаются одной и той же деятельностью – инве</w:t>
      </w:r>
      <w:r w:rsidR="0032208A">
        <w:rPr>
          <w:rFonts w:ascii="Times New Roman" w:hAnsi="Times New Roman" w:cs="Times New Roman"/>
          <w:sz w:val="28"/>
          <w:lang w:val="ru-RU"/>
        </w:rPr>
        <w:t>стированием средств вкладчиков с целью или получения дохода. Поэтому целесообразно ввести универсальное понятие – финансовый посредник, который мог бы осуществлять различные виды деятельности в зависимости от выданной лицензии.</w:t>
      </w:r>
    </w:p>
    <w:p w:rsidR="00204B8C" w:rsidRDefault="00204B8C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:rsidR="006F73BF" w:rsidRDefault="00204B8C" w:rsidP="00204B8C">
      <w:pPr>
        <w:pStyle w:val="1"/>
      </w:pPr>
      <w:bookmarkStart w:id="6" w:name="_Toc434591935"/>
      <w:r>
        <w:lastRenderedPageBreak/>
        <w:t>ЗАКЛЮЧЕНИЕ</w:t>
      </w:r>
      <w:bookmarkEnd w:id="6"/>
    </w:p>
    <w:p w:rsidR="00204B8C" w:rsidRDefault="00F24AC1" w:rsidP="005E05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Анализ состояния и развития финансового рынка Российской Федерации выявил следующие основные проблемы. </w:t>
      </w:r>
      <w:r w:rsidR="00831BD7">
        <w:rPr>
          <w:rFonts w:ascii="Times New Roman" w:hAnsi="Times New Roman" w:cs="Times New Roman"/>
          <w:sz w:val="28"/>
          <w:lang w:val="ru-RU"/>
        </w:rPr>
        <w:t xml:space="preserve">В первую очередь, проблемой </w:t>
      </w:r>
      <w:r w:rsidR="00D611E1">
        <w:rPr>
          <w:rFonts w:ascii="Times New Roman" w:hAnsi="Times New Roman" w:cs="Times New Roman"/>
          <w:sz w:val="28"/>
          <w:lang w:val="ru-RU"/>
        </w:rPr>
        <w:t>финансового рынка РФ является его сильная зависимость</w:t>
      </w:r>
      <w:r w:rsidR="006A3A5B">
        <w:rPr>
          <w:rFonts w:ascii="Times New Roman" w:hAnsi="Times New Roman" w:cs="Times New Roman"/>
          <w:sz w:val="28"/>
          <w:lang w:val="ru-RU"/>
        </w:rPr>
        <w:t xml:space="preserve"> от колебаний мирового финансового рынка</w:t>
      </w:r>
      <w:r w:rsidR="00C07073">
        <w:rPr>
          <w:rFonts w:ascii="Times New Roman" w:hAnsi="Times New Roman" w:cs="Times New Roman"/>
          <w:sz w:val="28"/>
          <w:lang w:val="ru-RU"/>
        </w:rPr>
        <w:t>.</w:t>
      </w:r>
      <w:r w:rsidR="00C958A3">
        <w:rPr>
          <w:rFonts w:ascii="Times New Roman" w:hAnsi="Times New Roman" w:cs="Times New Roman"/>
          <w:sz w:val="28"/>
          <w:lang w:val="ru-RU"/>
        </w:rPr>
        <w:t xml:space="preserve"> Поскольку </w:t>
      </w:r>
      <w:r w:rsidR="005B1CDB">
        <w:rPr>
          <w:rFonts w:ascii="Times New Roman" w:hAnsi="Times New Roman" w:cs="Times New Roman"/>
          <w:sz w:val="28"/>
          <w:lang w:val="ru-RU"/>
        </w:rPr>
        <w:t xml:space="preserve">мы живем в эпоху глобализации, все национальные финансовые рынки зависят от </w:t>
      </w:r>
      <w:r w:rsidR="00776590">
        <w:rPr>
          <w:rFonts w:ascii="Times New Roman" w:hAnsi="Times New Roman" w:cs="Times New Roman"/>
          <w:sz w:val="28"/>
          <w:lang w:val="ru-RU"/>
        </w:rPr>
        <w:t>процессов, проис</w:t>
      </w:r>
      <w:r w:rsidR="0003716C">
        <w:rPr>
          <w:rFonts w:ascii="Times New Roman" w:hAnsi="Times New Roman" w:cs="Times New Roman"/>
          <w:sz w:val="28"/>
          <w:lang w:val="ru-RU"/>
        </w:rPr>
        <w:t>ходящих в мировой экономике</w:t>
      </w:r>
      <w:r w:rsidR="00776590">
        <w:rPr>
          <w:rFonts w:ascii="Times New Roman" w:hAnsi="Times New Roman" w:cs="Times New Roman"/>
          <w:sz w:val="28"/>
          <w:lang w:val="ru-RU"/>
        </w:rPr>
        <w:t xml:space="preserve">. </w:t>
      </w:r>
      <w:r w:rsidR="0049429B">
        <w:rPr>
          <w:rFonts w:ascii="Times New Roman" w:hAnsi="Times New Roman" w:cs="Times New Roman"/>
          <w:sz w:val="28"/>
          <w:lang w:val="ru-RU"/>
        </w:rPr>
        <w:t xml:space="preserve">Однако </w:t>
      </w:r>
      <w:r w:rsidR="00124FB6">
        <w:rPr>
          <w:rFonts w:ascii="Times New Roman" w:hAnsi="Times New Roman" w:cs="Times New Roman"/>
          <w:sz w:val="28"/>
          <w:lang w:val="ru-RU"/>
        </w:rPr>
        <w:t xml:space="preserve">российский рынок является чрезвычайно зависимым </w:t>
      </w:r>
      <w:r w:rsidR="000636E5">
        <w:rPr>
          <w:rFonts w:ascii="Times New Roman" w:hAnsi="Times New Roman" w:cs="Times New Roman"/>
          <w:sz w:val="28"/>
          <w:lang w:val="ru-RU"/>
        </w:rPr>
        <w:t xml:space="preserve">от колебаний цен на энергоносители, поскольку наиболее капитализированными </w:t>
      </w:r>
      <w:r w:rsidR="009B2AD6">
        <w:rPr>
          <w:rFonts w:ascii="Times New Roman" w:hAnsi="Times New Roman" w:cs="Times New Roman"/>
          <w:sz w:val="28"/>
          <w:lang w:val="ru-RU"/>
        </w:rPr>
        <w:t>компаниями в РФ являются нефтегазовые компании.</w:t>
      </w:r>
      <w:r w:rsidR="00582613">
        <w:rPr>
          <w:rFonts w:ascii="Times New Roman" w:hAnsi="Times New Roman" w:cs="Times New Roman"/>
          <w:sz w:val="28"/>
          <w:lang w:val="ru-RU"/>
        </w:rPr>
        <w:t xml:space="preserve"> Это </w:t>
      </w:r>
      <w:r w:rsidR="0086060A">
        <w:rPr>
          <w:rFonts w:ascii="Times New Roman" w:hAnsi="Times New Roman" w:cs="Times New Roman"/>
          <w:sz w:val="28"/>
          <w:lang w:val="ru-RU"/>
        </w:rPr>
        <w:t>повышает его волатильность и снижает желание инвесторов вкладывать средства в российскую экономику.</w:t>
      </w:r>
    </w:p>
    <w:p w:rsidR="0086060A" w:rsidRDefault="005E5B40" w:rsidP="005E05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Второй важнейшей проблемой является оторванность российского рынка ценных бумаг от </w:t>
      </w:r>
      <w:r w:rsidR="0007674F">
        <w:rPr>
          <w:rFonts w:ascii="Times New Roman" w:hAnsi="Times New Roman" w:cs="Times New Roman"/>
          <w:sz w:val="28"/>
          <w:lang w:val="ru-RU"/>
        </w:rPr>
        <w:t xml:space="preserve">реального сектора экономики. </w:t>
      </w:r>
      <w:r w:rsidR="00200412">
        <w:rPr>
          <w:rFonts w:ascii="Times New Roman" w:hAnsi="Times New Roman" w:cs="Times New Roman"/>
          <w:sz w:val="28"/>
          <w:lang w:val="ru-RU"/>
        </w:rPr>
        <w:t xml:space="preserve">На организованном фондовом рынке РФ обращаются акции примерно 1% </w:t>
      </w:r>
      <w:r w:rsidR="00AD6A01">
        <w:rPr>
          <w:rFonts w:ascii="Times New Roman" w:hAnsi="Times New Roman" w:cs="Times New Roman"/>
          <w:sz w:val="28"/>
          <w:lang w:val="ru-RU"/>
        </w:rPr>
        <w:t xml:space="preserve">от всех </w:t>
      </w:r>
      <w:r w:rsidR="008710E4">
        <w:rPr>
          <w:rFonts w:ascii="Times New Roman" w:hAnsi="Times New Roman" w:cs="Times New Roman"/>
          <w:sz w:val="28"/>
          <w:lang w:val="ru-RU"/>
        </w:rPr>
        <w:t xml:space="preserve">акционерных обществ, функционирующих в России. </w:t>
      </w:r>
      <w:r w:rsidR="00664169">
        <w:rPr>
          <w:rFonts w:ascii="Times New Roman" w:hAnsi="Times New Roman" w:cs="Times New Roman"/>
          <w:sz w:val="28"/>
          <w:lang w:val="ru-RU"/>
        </w:rPr>
        <w:t xml:space="preserve">Это означает, во-первых, что для большинства компаний очень сложно привлечь средства путем </w:t>
      </w:r>
      <w:r w:rsidR="00960ABF">
        <w:rPr>
          <w:rFonts w:ascii="Times New Roman" w:hAnsi="Times New Roman" w:cs="Times New Roman"/>
          <w:sz w:val="28"/>
          <w:lang w:val="ru-RU"/>
        </w:rPr>
        <w:t xml:space="preserve">выпуска акций и они вынуждены использовать другие источники финансирования. </w:t>
      </w:r>
      <w:r w:rsidR="00BF40EE">
        <w:rPr>
          <w:rFonts w:ascii="Times New Roman" w:hAnsi="Times New Roman" w:cs="Times New Roman"/>
          <w:sz w:val="28"/>
          <w:lang w:val="ru-RU"/>
        </w:rPr>
        <w:t xml:space="preserve">Во-вторых, это означает, что на вторичном рынке ценных бумаг обращается очень ограниченное количество финансовых инструментов (и еще меньшее количество из них является ликвидными и надежными). </w:t>
      </w:r>
      <w:r w:rsidR="008974CB">
        <w:rPr>
          <w:rFonts w:ascii="Times New Roman" w:hAnsi="Times New Roman" w:cs="Times New Roman"/>
          <w:sz w:val="28"/>
          <w:lang w:val="ru-RU"/>
        </w:rPr>
        <w:t xml:space="preserve">Это создает проблемы и для других сегментов финансового рынка (например, страхового и банковского сектора). </w:t>
      </w:r>
      <w:r w:rsidR="00FF5EC4">
        <w:rPr>
          <w:rFonts w:ascii="Times New Roman" w:hAnsi="Times New Roman" w:cs="Times New Roman"/>
          <w:sz w:val="28"/>
          <w:lang w:val="ru-RU"/>
        </w:rPr>
        <w:t xml:space="preserve">Поскольку число надежных и ликвидных финансовых инструментов ограниченно, сложно составить </w:t>
      </w:r>
      <w:r w:rsidR="008C290D">
        <w:rPr>
          <w:rFonts w:ascii="Times New Roman" w:hAnsi="Times New Roman" w:cs="Times New Roman"/>
          <w:sz w:val="28"/>
          <w:lang w:val="ru-RU"/>
        </w:rPr>
        <w:t xml:space="preserve">достаточно диверсифицированный портфель ценных бумаг. </w:t>
      </w:r>
    </w:p>
    <w:p w:rsidR="006A3A5B" w:rsidRDefault="00DB25E1" w:rsidP="005E05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Третьей значительной </w:t>
      </w:r>
      <w:r w:rsidR="00252092">
        <w:rPr>
          <w:rFonts w:ascii="Times New Roman" w:hAnsi="Times New Roman" w:cs="Times New Roman"/>
          <w:sz w:val="28"/>
          <w:lang w:val="ru-RU"/>
        </w:rPr>
        <w:t xml:space="preserve">проблемой финансового рынка является его чрезмерная концентрация. </w:t>
      </w:r>
      <w:r w:rsidR="00501D93">
        <w:rPr>
          <w:rFonts w:ascii="Times New Roman" w:hAnsi="Times New Roman" w:cs="Times New Roman"/>
          <w:sz w:val="28"/>
          <w:lang w:val="ru-RU"/>
        </w:rPr>
        <w:t>Например, доля 10 наиболее ликвидных акций составляет 82,2% от всего объема торгов на организованном рын</w:t>
      </w:r>
      <w:r w:rsidR="00AC0E37">
        <w:rPr>
          <w:rFonts w:ascii="Times New Roman" w:hAnsi="Times New Roman" w:cs="Times New Roman"/>
          <w:sz w:val="28"/>
          <w:lang w:val="ru-RU"/>
        </w:rPr>
        <w:t xml:space="preserve">ке, а доля 10 крупнейших компаний равна 61% от всей капитализации рынка акций. </w:t>
      </w:r>
      <w:r w:rsidR="00AC0E37">
        <w:rPr>
          <w:rFonts w:ascii="Times New Roman" w:hAnsi="Times New Roman" w:cs="Times New Roman"/>
          <w:sz w:val="28"/>
          <w:lang w:val="ru-RU"/>
        </w:rPr>
        <w:lastRenderedPageBreak/>
        <w:t>Похожая ситуация наблюдается и в других сегментах финансового рынка – кредитном и страховом.</w:t>
      </w:r>
    </w:p>
    <w:p w:rsidR="00AC0E37" w:rsidRDefault="00AC0E37" w:rsidP="005E05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Кроме того, проблемой является и территориальная </w:t>
      </w:r>
      <w:r w:rsidR="00C277B3">
        <w:rPr>
          <w:rFonts w:ascii="Times New Roman" w:hAnsi="Times New Roman" w:cs="Times New Roman"/>
          <w:sz w:val="28"/>
          <w:lang w:val="ru-RU"/>
        </w:rPr>
        <w:t xml:space="preserve">концентрация – большинство финансовых институтов </w:t>
      </w:r>
      <w:r w:rsidR="00C12C2A">
        <w:rPr>
          <w:rFonts w:ascii="Times New Roman" w:hAnsi="Times New Roman" w:cs="Times New Roman"/>
          <w:sz w:val="28"/>
          <w:lang w:val="ru-RU"/>
        </w:rPr>
        <w:t>сосредоточен</w:t>
      </w:r>
      <w:r w:rsidR="00523B00">
        <w:rPr>
          <w:rFonts w:ascii="Times New Roman" w:hAnsi="Times New Roman" w:cs="Times New Roman"/>
          <w:sz w:val="28"/>
          <w:lang w:val="ru-RU"/>
        </w:rPr>
        <w:t>ы в Москве и Москов</w:t>
      </w:r>
      <w:r w:rsidR="00523B00">
        <w:rPr>
          <w:rFonts w:ascii="Times New Roman" w:hAnsi="Times New Roman" w:cs="Times New Roman"/>
          <w:sz w:val="28"/>
          <w:lang w:val="ru-RU"/>
        </w:rPr>
        <w:softHyphen/>
        <w:t>ской области, а в регионах присутствуют лишь их филиалы.</w:t>
      </w:r>
      <w:r w:rsidR="00330705">
        <w:rPr>
          <w:rFonts w:ascii="Times New Roman" w:hAnsi="Times New Roman" w:cs="Times New Roman"/>
          <w:sz w:val="28"/>
          <w:lang w:val="ru-RU"/>
        </w:rPr>
        <w:t xml:space="preserve"> В небольших населенных пунктах зачастую нет и филиалов, т.е. люди, проживающие в сельской местности и небольших городах, лишены доступа к финансовым услугам.</w:t>
      </w:r>
    </w:p>
    <w:p w:rsidR="00330705" w:rsidRDefault="00DB25E1" w:rsidP="005E05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Серьезной проблемой является также </w:t>
      </w:r>
      <w:r w:rsidR="00D9668E">
        <w:rPr>
          <w:rFonts w:ascii="Times New Roman" w:hAnsi="Times New Roman" w:cs="Times New Roman"/>
          <w:sz w:val="28"/>
          <w:lang w:val="ru-RU"/>
        </w:rPr>
        <w:t xml:space="preserve">недоверие населения к финансовым институтам и нежелание инвестировать свои средства на длительный срок. </w:t>
      </w:r>
      <w:r w:rsidR="00874308">
        <w:rPr>
          <w:rFonts w:ascii="Times New Roman" w:hAnsi="Times New Roman" w:cs="Times New Roman"/>
          <w:sz w:val="28"/>
          <w:lang w:val="ru-RU"/>
        </w:rPr>
        <w:t xml:space="preserve">К примеру, долгосрочные депозиты (более 3-х лет) составляют всего </w:t>
      </w:r>
      <w:r w:rsidR="00520726">
        <w:rPr>
          <w:rFonts w:ascii="Times New Roman" w:hAnsi="Times New Roman" w:cs="Times New Roman"/>
          <w:sz w:val="28"/>
          <w:lang w:val="ru-RU"/>
        </w:rPr>
        <w:t xml:space="preserve">5,7% от общей суммы вкладов физических лиц. </w:t>
      </w:r>
      <w:r w:rsidR="004D755A">
        <w:rPr>
          <w:rFonts w:ascii="Times New Roman" w:hAnsi="Times New Roman" w:cs="Times New Roman"/>
          <w:sz w:val="28"/>
          <w:lang w:val="ru-RU"/>
        </w:rPr>
        <w:t xml:space="preserve">Похожая ситуация наблюдается и на фондовом рынке – большинство инвесторов имеет целью получить спекулятивную прибыль, а не вложить деньги </w:t>
      </w:r>
      <w:r w:rsidR="000A66E9">
        <w:rPr>
          <w:rFonts w:ascii="Times New Roman" w:hAnsi="Times New Roman" w:cs="Times New Roman"/>
          <w:sz w:val="28"/>
          <w:lang w:val="ru-RU"/>
        </w:rPr>
        <w:t>на долгосрочную перспективу.</w:t>
      </w:r>
    </w:p>
    <w:p w:rsidR="000A66E9" w:rsidRDefault="00CB31EB" w:rsidP="005E05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Тем не менее, анализ динамики показывает развитие финансового рынка. </w:t>
      </w:r>
      <w:r w:rsidR="005E1309">
        <w:rPr>
          <w:rFonts w:ascii="Times New Roman" w:hAnsi="Times New Roman" w:cs="Times New Roman"/>
          <w:sz w:val="28"/>
          <w:lang w:val="ru-RU"/>
        </w:rPr>
        <w:t>Объемы рынка ценных бумаг и объем торгов на вторичном рынке постоянно увеличиваются, также как и количество видов ценных</w:t>
      </w:r>
      <w:r w:rsidR="00B60176">
        <w:rPr>
          <w:rFonts w:ascii="Times New Roman" w:hAnsi="Times New Roman" w:cs="Times New Roman"/>
          <w:sz w:val="28"/>
          <w:lang w:val="ru-RU"/>
        </w:rPr>
        <w:t xml:space="preserve"> </w:t>
      </w:r>
      <w:r w:rsidR="005E1309">
        <w:rPr>
          <w:rFonts w:ascii="Times New Roman" w:hAnsi="Times New Roman" w:cs="Times New Roman"/>
          <w:sz w:val="28"/>
          <w:lang w:val="ru-RU"/>
        </w:rPr>
        <w:t xml:space="preserve">бумаг. </w:t>
      </w:r>
      <w:r w:rsidR="00B60176">
        <w:rPr>
          <w:rFonts w:ascii="Times New Roman" w:hAnsi="Times New Roman" w:cs="Times New Roman"/>
          <w:sz w:val="28"/>
          <w:lang w:val="ru-RU"/>
        </w:rPr>
        <w:t xml:space="preserve">Это говорит </w:t>
      </w:r>
      <w:r w:rsidR="000D1B4A">
        <w:rPr>
          <w:rFonts w:ascii="Times New Roman" w:hAnsi="Times New Roman" w:cs="Times New Roman"/>
          <w:sz w:val="28"/>
          <w:lang w:val="ru-RU"/>
        </w:rPr>
        <w:t xml:space="preserve">о его развитии. </w:t>
      </w:r>
      <w:r w:rsidR="0067357F">
        <w:rPr>
          <w:rFonts w:ascii="Times New Roman" w:hAnsi="Times New Roman" w:cs="Times New Roman"/>
          <w:sz w:val="28"/>
          <w:lang w:val="ru-RU"/>
        </w:rPr>
        <w:t xml:space="preserve">Также за анализируемый период появились новые формы коллективных инвестиций (рентные ПИФы, ПИФы недвижимости и долгосрочных прямых инвестиций), что говорит об активном развитии рынка коллективных инвестиций в РФ. </w:t>
      </w:r>
    </w:p>
    <w:p w:rsidR="0067357F" w:rsidRDefault="0067357F" w:rsidP="005E05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Увеличилось также число предоставляемых видов страхования, что говорит о развитии этого сегмента финансового рынка. </w:t>
      </w:r>
    </w:p>
    <w:p w:rsidR="00A22332" w:rsidRDefault="00A22332" w:rsidP="005E05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Вместе с тем происходит </w:t>
      </w:r>
      <w:r w:rsidR="00E22051">
        <w:rPr>
          <w:rFonts w:ascii="Times New Roman" w:hAnsi="Times New Roman" w:cs="Times New Roman"/>
          <w:sz w:val="28"/>
          <w:lang w:val="ru-RU"/>
        </w:rPr>
        <w:t xml:space="preserve">постепенное укрупнение «игроков» финансового рынка – банков, страховых организаций, финансовых компаний. С одной стороны это означает «выдавливание» с рынка более мелких компаний и снижение конкуренции. </w:t>
      </w:r>
      <w:r w:rsidR="00322A9A">
        <w:rPr>
          <w:rFonts w:ascii="Times New Roman" w:hAnsi="Times New Roman" w:cs="Times New Roman"/>
          <w:sz w:val="28"/>
          <w:lang w:val="ru-RU"/>
        </w:rPr>
        <w:t xml:space="preserve">Однако с другой стороны, крупные компании более устойчивы за счет объемов своей деятельности, так что эта тенденция </w:t>
      </w:r>
      <w:r w:rsidR="006F7A2B">
        <w:rPr>
          <w:rFonts w:ascii="Times New Roman" w:hAnsi="Times New Roman" w:cs="Times New Roman"/>
          <w:sz w:val="28"/>
          <w:lang w:val="ru-RU"/>
        </w:rPr>
        <w:t>может рассматриваться как положительная</w:t>
      </w:r>
      <w:r w:rsidR="00322A9A">
        <w:rPr>
          <w:rFonts w:ascii="Times New Roman" w:hAnsi="Times New Roman" w:cs="Times New Roman"/>
          <w:sz w:val="28"/>
          <w:lang w:val="ru-RU"/>
        </w:rPr>
        <w:t>.</w:t>
      </w:r>
    </w:p>
    <w:p w:rsidR="00322A9A" w:rsidRDefault="0038426C" w:rsidP="0038426C">
      <w:pPr>
        <w:pStyle w:val="1"/>
      </w:pPr>
      <w:bookmarkStart w:id="7" w:name="_Toc434591936"/>
      <w:r>
        <w:lastRenderedPageBreak/>
        <w:t>СПИСОК ИСПОЛЬЗОВАННОЙ ЛИТЕРАТУРЫ</w:t>
      </w:r>
      <w:bookmarkEnd w:id="7"/>
    </w:p>
    <w:p w:rsidR="0056456B" w:rsidRDefault="0056456B" w:rsidP="0056456B">
      <w:pPr>
        <w:pStyle w:val="a3"/>
        <w:numPr>
          <w:ilvl w:val="0"/>
          <w:numId w:val="7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Губанов Р.С. Финансовый рынок единого экономического пространства: проблемы и риски. // Финансовый журнал, 2014. – №3(21) – С. 161-166</w:t>
      </w:r>
    </w:p>
    <w:p w:rsidR="0056456B" w:rsidRDefault="0056456B" w:rsidP="0056456B">
      <w:pPr>
        <w:pStyle w:val="a3"/>
        <w:numPr>
          <w:ilvl w:val="0"/>
          <w:numId w:val="7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Любкина Е.В., Батковский В.А. Современные тенденции развития финансовых рынков. //Инновации, 2012. – №8(166), С. 62-65</w:t>
      </w:r>
    </w:p>
    <w:p w:rsidR="0056456B" w:rsidRDefault="0056456B" w:rsidP="0038426C">
      <w:pPr>
        <w:pStyle w:val="a3"/>
        <w:numPr>
          <w:ilvl w:val="0"/>
          <w:numId w:val="7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Пятова М.С. Современные проблемы формирования капитала российских организаций через механизм финансового рынка. // Проблемы учета и финансов, 2014. – №2(14), С. 57-61</w:t>
      </w:r>
    </w:p>
    <w:p w:rsidR="0056456B" w:rsidRDefault="0056456B" w:rsidP="0038426C">
      <w:pPr>
        <w:pStyle w:val="a3"/>
        <w:numPr>
          <w:ilvl w:val="0"/>
          <w:numId w:val="7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Финансовые рынки и финансово-кредитные институты: Учебное пособие. / Под ред. Г. Белоглазовой, Л. Кроливецкой. – СПб.: Питер, 2013. – 384 с.</w:t>
      </w:r>
    </w:p>
    <w:p w:rsidR="0056456B" w:rsidRPr="00053CED" w:rsidRDefault="0056456B" w:rsidP="0038426C">
      <w:pPr>
        <w:pStyle w:val="a3"/>
        <w:numPr>
          <w:ilvl w:val="0"/>
          <w:numId w:val="7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>Gks.ru</w:t>
      </w:r>
    </w:p>
    <w:p w:rsidR="0056456B" w:rsidRDefault="0056456B" w:rsidP="0038426C">
      <w:pPr>
        <w:pStyle w:val="a3"/>
        <w:numPr>
          <w:ilvl w:val="0"/>
          <w:numId w:val="7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investfunds.ru</w:t>
      </w:r>
    </w:p>
    <w:p w:rsidR="0056456B" w:rsidRPr="00DB6931" w:rsidRDefault="0056456B" w:rsidP="0038426C">
      <w:pPr>
        <w:pStyle w:val="a3"/>
        <w:numPr>
          <w:ilvl w:val="0"/>
          <w:numId w:val="7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www.banki.ru</w:t>
      </w:r>
    </w:p>
    <w:p w:rsidR="0056456B" w:rsidRPr="00F66AAC" w:rsidRDefault="0056456B" w:rsidP="0038426C">
      <w:pPr>
        <w:pStyle w:val="a3"/>
        <w:numPr>
          <w:ilvl w:val="0"/>
          <w:numId w:val="7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>www.cbr.ru</w:t>
      </w:r>
    </w:p>
    <w:p w:rsidR="0056456B" w:rsidRPr="00053CED" w:rsidRDefault="0056456B" w:rsidP="0038426C">
      <w:pPr>
        <w:pStyle w:val="a3"/>
        <w:numPr>
          <w:ilvl w:val="0"/>
          <w:numId w:val="7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www.naufor.ru</w:t>
      </w:r>
    </w:p>
    <w:p w:rsidR="0056456B" w:rsidRPr="00053CED" w:rsidRDefault="0056456B" w:rsidP="0038426C">
      <w:pPr>
        <w:pStyle w:val="a3"/>
        <w:numPr>
          <w:ilvl w:val="0"/>
          <w:numId w:val="7"/>
        </w:numPr>
        <w:spacing w:after="0" w:line="360" w:lineRule="auto"/>
        <w:ind w:left="851" w:hanging="567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>www.nlu.ru</w:t>
      </w:r>
    </w:p>
    <w:p w:rsidR="0038426C" w:rsidRPr="00554CFA" w:rsidRDefault="0038426C" w:rsidP="005E05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sectPr w:rsidR="0038426C" w:rsidRPr="00554CFA" w:rsidSect="00476E98">
      <w:footerReference w:type="default" r:id="rId11"/>
      <w:pgSz w:w="11906" w:h="16838"/>
      <w:pgMar w:top="1134" w:right="851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2DBE" w:rsidRDefault="00DA2DBE" w:rsidP="000645C3">
      <w:pPr>
        <w:spacing w:after="0" w:line="240" w:lineRule="auto"/>
      </w:pPr>
      <w:r>
        <w:separator/>
      </w:r>
    </w:p>
  </w:endnote>
  <w:endnote w:type="continuationSeparator" w:id="0">
    <w:p w:rsidR="00DA2DBE" w:rsidRDefault="00DA2DBE" w:rsidP="00064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847829"/>
      <w:docPartObj>
        <w:docPartGallery w:val="Page Numbers (Bottom of Page)"/>
        <w:docPartUnique/>
      </w:docPartObj>
    </w:sdtPr>
    <w:sdtContent>
      <w:p w:rsidR="00476E98" w:rsidRDefault="00476E98">
        <w:pPr>
          <w:pStyle w:val="ad"/>
          <w:jc w:val="center"/>
        </w:pPr>
        <w:fldSimple w:instr=" PAGE   \* MERGEFORMAT ">
          <w:r w:rsidR="00B35009">
            <w:rPr>
              <w:noProof/>
            </w:rPr>
            <w:t>2</w:t>
          </w:r>
        </w:fldSimple>
      </w:p>
    </w:sdtContent>
  </w:sdt>
  <w:p w:rsidR="00476E98" w:rsidRDefault="00476E98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2DBE" w:rsidRDefault="00DA2DBE" w:rsidP="000645C3">
      <w:pPr>
        <w:spacing w:after="0" w:line="240" w:lineRule="auto"/>
      </w:pPr>
      <w:r>
        <w:separator/>
      </w:r>
    </w:p>
  </w:footnote>
  <w:footnote w:type="continuationSeparator" w:id="0">
    <w:p w:rsidR="00DA2DBE" w:rsidRDefault="00DA2DBE" w:rsidP="000645C3">
      <w:pPr>
        <w:spacing w:after="0" w:line="240" w:lineRule="auto"/>
      </w:pPr>
      <w:r>
        <w:continuationSeparator/>
      </w:r>
    </w:p>
  </w:footnote>
  <w:footnote w:id="1">
    <w:p w:rsidR="001D585C" w:rsidRPr="001D585C" w:rsidRDefault="001D585C">
      <w:pPr>
        <w:pStyle w:val="a6"/>
      </w:pPr>
      <w:r>
        <w:rPr>
          <w:rStyle w:val="a8"/>
        </w:rPr>
        <w:footnoteRef/>
      </w:r>
      <w:r>
        <w:t xml:space="preserve"> По данн</w:t>
      </w:r>
      <w:r>
        <w:rPr>
          <w:lang w:val="ru-RU"/>
        </w:rPr>
        <w:t>ы</w:t>
      </w:r>
      <w:r>
        <w:t>м НАУФОР</w:t>
      </w:r>
    </w:p>
  </w:footnote>
  <w:footnote w:id="2">
    <w:p w:rsidR="001D585C" w:rsidRPr="001D585C" w:rsidRDefault="001D585C">
      <w:pPr>
        <w:pStyle w:val="a6"/>
      </w:pPr>
      <w:r>
        <w:rPr>
          <w:rStyle w:val="a8"/>
        </w:rPr>
        <w:footnoteRef/>
      </w:r>
      <w:r>
        <w:t xml:space="preserve"> По данн</w:t>
      </w:r>
      <w:r>
        <w:rPr>
          <w:lang w:val="ru-RU"/>
        </w:rPr>
        <w:t>ы</w:t>
      </w:r>
      <w:r>
        <w:t>м НАУФОР</w:t>
      </w:r>
    </w:p>
  </w:footnote>
  <w:footnote w:id="3">
    <w:p w:rsidR="001D585C" w:rsidRPr="001D585C" w:rsidRDefault="001D585C">
      <w:pPr>
        <w:pStyle w:val="a6"/>
      </w:pPr>
      <w:r>
        <w:rPr>
          <w:rStyle w:val="a8"/>
        </w:rPr>
        <w:footnoteRef/>
      </w:r>
      <w:r>
        <w:t xml:space="preserve"> По данн</w:t>
      </w:r>
      <w:r>
        <w:rPr>
          <w:lang w:val="ru-RU"/>
        </w:rPr>
        <w:t>ы</w:t>
      </w:r>
      <w:r>
        <w:t>м НАУФОР</w:t>
      </w:r>
    </w:p>
  </w:footnote>
  <w:footnote w:id="4">
    <w:p w:rsidR="000645C3" w:rsidRPr="000645C3" w:rsidRDefault="000645C3">
      <w:pPr>
        <w:pStyle w:val="a6"/>
        <w:rPr>
          <w:lang w:val="ru-RU"/>
        </w:rPr>
      </w:pPr>
      <w:r>
        <w:rPr>
          <w:rStyle w:val="a8"/>
        </w:rPr>
        <w:footnoteRef/>
      </w:r>
      <w:r>
        <w:t xml:space="preserve"> </w:t>
      </w:r>
      <w:r>
        <w:rPr>
          <w:lang w:val="ru-RU"/>
        </w:rPr>
        <w:t>Финансовые рынки и финансово-кредитные институты: Учебное пособие. / Под ред. Г. Белоглазовой, Л. Кроливецкой. – СПб.: Питер, 2013. – С. 109</w:t>
      </w:r>
    </w:p>
  </w:footnote>
  <w:footnote w:id="5">
    <w:p w:rsidR="000870EF" w:rsidRPr="000870EF" w:rsidRDefault="000870EF">
      <w:pPr>
        <w:pStyle w:val="a6"/>
        <w:rPr>
          <w:lang w:val="ru-RU"/>
        </w:rPr>
      </w:pPr>
      <w:r>
        <w:rPr>
          <w:rStyle w:val="a8"/>
        </w:rPr>
        <w:footnoteRef/>
      </w:r>
      <w:r>
        <w:t xml:space="preserve"> </w:t>
      </w:r>
      <w:r>
        <w:rPr>
          <w:lang w:val="ru-RU"/>
        </w:rPr>
        <w:t>Составлено по данным cbr.ru</w:t>
      </w:r>
    </w:p>
  </w:footnote>
  <w:footnote w:id="6">
    <w:p w:rsidR="00941801" w:rsidRPr="00A468F7" w:rsidRDefault="00941801">
      <w:pPr>
        <w:pStyle w:val="a6"/>
        <w:rPr>
          <w:lang w:val="ru-RU"/>
        </w:rPr>
      </w:pPr>
      <w:r>
        <w:rPr>
          <w:rStyle w:val="a8"/>
        </w:rPr>
        <w:footnoteRef/>
      </w:r>
      <w:r>
        <w:t xml:space="preserve"> </w:t>
      </w:r>
      <w:r>
        <w:rPr>
          <w:lang w:val="ru-RU"/>
        </w:rPr>
        <w:t xml:space="preserve">Обзор банковского сектора РФ за 2015 год </w:t>
      </w:r>
      <w:r w:rsidR="00584B24">
        <w:rPr>
          <w:lang w:val="ru-RU"/>
        </w:rPr>
        <w:t>№157, опубликованный на сайте cbr.ru</w:t>
      </w:r>
    </w:p>
  </w:footnote>
  <w:footnote w:id="7">
    <w:p w:rsidR="001D585C" w:rsidRPr="001D585C" w:rsidRDefault="001D585C">
      <w:pPr>
        <w:pStyle w:val="a6"/>
        <w:rPr>
          <w:lang w:val="ru-RU"/>
        </w:rPr>
      </w:pPr>
      <w:r>
        <w:rPr>
          <w:rStyle w:val="a8"/>
        </w:rPr>
        <w:footnoteRef/>
      </w:r>
      <w:r>
        <w:t xml:space="preserve"> </w:t>
      </w:r>
      <w:r>
        <w:rPr>
          <w:lang w:val="ru-RU"/>
        </w:rPr>
        <w:t xml:space="preserve">По данным </w:t>
      </w:r>
      <w:r w:rsidRPr="001D585C">
        <w:rPr>
          <w:lang w:val="ru-RU"/>
        </w:rPr>
        <w:t>investfunds.ru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A443D"/>
    <w:multiLevelType w:val="hybridMultilevel"/>
    <w:tmpl w:val="4DFAF3B4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2FB55D74"/>
    <w:multiLevelType w:val="hybridMultilevel"/>
    <w:tmpl w:val="DFE278CC"/>
    <w:lvl w:ilvl="0" w:tplc="0422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43B82E96"/>
    <w:multiLevelType w:val="hybridMultilevel"/>
    <w:tmpl w:val="6E1CAF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101DC3"/>
    <w:multiLevelType w:val="hybridMultilevel"/>
    <w:tmpl w:val="C6AE7C92"/>
    <w:lvl w:ilvl="0" w:tplc="8DB876D8">
      <w:start w:val="1"/>
      <w:numFmt w:val="decimal"/>
      <w:lvlText w:val="%1."/>
      <w:lvlJc w:val="left"/>
      <w:pPr>
        <w:ind w:left="1789" w:hanging="108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79B1C55"/>
    <w:multiLevelType w:val="hybridMultilevel"/>
    <w:tmpl w:val="35D6BC90"/>
    <w:lvl w:ilvl="0" w:tplc="01128A90">
      <w:start w:val="1"/>
      <w:numFmt w:val="decimal"/>
      <w:lvlText w:val="%1."/>
      <w:lvlJc w:val="left"/>
      <w:pPr>
        <w:ind w:left="2452" w:hanging="103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58BE409F"/>
    <w:multiLevelType w:val="hybridMultilevel"/>
    <w:tmpl w:val="3514A9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B85D84"/>
    <w:multiLevelType w:val="hybridMultilevel"/>
    <w:tmpl w:val="5276EF24"/>
    <w:lvl w:ilvl="0" w:tplc="01128A90">
      <w:start w:val="1"/>
      <w:numFmt w:val="decimal"/>
      <w:lvlText w:val="%1."/>
      <w:lvlJc w:val="left"/>
      <w:pPr>
        <w:ind w:left="1743" w:hanging="103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44C8D"/>
    <w:rsid w:val="0000036C"/>
    <w:rsid w:val="00011AF2"/>
    <w:rsid w:val="00035313"/>
    <w:rsid w:val="0003716C"/>
    <w:rsid w:val="00041072"/>
    <w:rsid w:val="00057626"/>
    <w:rsid w:val="00062473"/>
    <w:rsid w:val="000636E5"/>
    <w:rsid w:val="000645C3"/>
    <w:rsid w:val="00065C95"/>
    <w:rsid w:val="000704FC"/>
    <w:rsid w:val="0007674F"/>
    <w:rsid w:val="00080EB9"/>
    <w:rsid w:val="0008278E"/>
    <w:rsid w:val="000870EF"/>
    <w:rsid w:val="0009384C"/>
    <w:rsid w:val="000948A4"/>
    <w:rsid w:val="0009588B"/>
    <w:rsid w:val="0009755F"/>
    <w:rsid w:val="000A66E9"/>
    <w:rsid w:val="000B1C29"/>
    <w:rsid w:val="000C3547"/>
    <w:rsid w:val="000C4809"/>
    <w:rsid w:val="000D1B4A"/>
    <w:rsid w:val="000D56B9"/>
    <w:rsid w:val="000E1F2B"/>
    <w:rsid w:val="000E7391"/>
    <w:rsid w:val="000F47C1"/>
    <w:rsid w:val="0011330F"/>
    <w:rsid w:val="001156EB"/>
    <w:rsid w:val="00120EB6"/>
    <w:rsid w:val="00121589"/>
    <w:rsid w:val="00123548"/>
    <w:rsid w:val="00124FB6"/>
    <w:rsid w:val="00126121"/>
    <w:rsid w:val="00131584"/>
    <w:rsid w:val="001409E7"/>
    <w:rsid w:val="00141FB8"/>
    <w:rsid w:val="00147362"/>
    <w:rsid w:val="001477C9"/>
    <w:rsid w:val="00166A18"/>
    <w:rsid w:val="00172EAD"/>
    <w:rsid w:val="0017668C"/>
    <w:rsid w:val="00181562"/>
    <w:rsid w:val="00192E89"/>
    <w:rsid w:val="00194FE9"/>
    <w:rsid w:val="001B0D47"/>
    <w:rsid w:val="001C356F"/>
    <w:rsid w:val="001D1E5D"/>
    <w:rsid w:val="001D2FF8"/>
    <w:rsid w:val="001D585C"/>
    <w:rsid w:val="001E0B31"/>
    <w:rsid w:val="001E1F6B"/>
    <w:rsid w:val="001F2093"/>
    <w:rsid w:val="001F2BE4"/>
    <w:rsid w:val="00200412"/>
    <w:rsid w:val="00202F36"/>
    <w:rsid w:val="00204B8C"/>
    <w:rsid w:val="00207182"/>
    <w:rsid w:val="0022761A"/>
    <w:rsid w:val="00236A72"/>
    <w:rsid w:val="00244C8D"/>
    <w:rsid w:val="00252092"/>
    <w:rsid w:val="00257493"/>
    <w:rsid w:val="00282467"/>
    <w:rsid w:val="002854BE"/>
    <w:rsid w:val="00290557"/>
    <w:rsid w:val="00294071"/>
    <w:rsid w:val="00296C50"/>
    <w:rsid w:val="0029794D"/>
    <w:rsid w:val="002A7E6E"/>
    <w:rsid w:val="002C43E9"/>
    <w:rsid w:val="002E04EF"/>
    <w:rsid w:val="002E2AA6"/>
    <w:rsid w:val="002F09FB"/>
    <w:rsid w:val="003050E3"/>
    <w:rsid w:val="00314ECE"/>
    <w:rsid w:val="0032208A"/>
    <w:rsid w:val="00322A9A"/>
    <w:rsid w:val="00326C89"/>
    <w:rsid w:val="003302E2"/>
    <w:rsid w:val="00330705"/>
    <w:rsid w:val="00332D56"/>
    <w:rsid w:val="00347B42"/>
    <w:rsid w:val="003503FD"/>
    <w:rsid w:val="00362B9E"/>
    <w:rsid w:val="00375524"/>
    <w:rsid w:val="003772B8"/>
    <w:rsid w:val="0038426C"/>
    <w:rsid w:val="0039245D"/>
    <w:rsid w:val="00397F72"/>
    <w:rsid w:val="003A08F1"/>
    <w:rsid w:val="003A3F12"/>
    <w:rsid w:val="003B44D4"/>
    <w:rsid w:val="003D65D0"/>
    <w:rsid w:val="003E0E13"/>
    <w:rsid w:val="003E2433"/>
    <w:rsid w:val="003E6D45"/>
    <w:rsid w:val="00400E9D"/>
    <w:rsid w:val="00401A79"/>
    <w:rsid w:val="004050FD"/>
    <w:rsid w:val="00417945"/>
    <w:rsid w:val="004226F5"/>
    <w:rsid w:val="00432347"/>
    <w:rsid w:val="00446EA6"/>
    <w:rsid w:val="004505E9"/>
    <w:rsid w:val="00451D19"/>
    <w:rsid w:val="00467DA7"/>
    <w:rsid w:val="00476E98"/>
    <w:rsid w:val="00477CAF"/>
    <w:rsid w:val="0048060C"/>
    <w:rsid w:val="0049429B"/>
    <w:rsid w:val="00496341"/>
    <w:rsid w:val="004B393E"/>
    <w:rsid w:val="004C17BB"/>
    <w:rsid w:val="004C4BB1"/>
    <w:rsid w:val="004D755A"/>
    <w:rsid w:val="004E101D"/>
    <w:rsid w:val="00501D93"/>
    <w:rsid w:val="00504BF3"/>
    <w:rsid w:val="005054DF"/>
    <w:rsid w:val="00511AFC"/>
    <w:rsid w:val="0052025E"/>
    <w:rsid w:val="00520726"/>
    <w:rsid w:val="00523B00"/>
    <w:rsid w:val="00536121"/>
    <w:rsid w:val="0054215A"/>
    <w:rsid w:val="00547A15"/>
    <w:rsid w:val="00554C50"/>
    <w:rsid w:val="00554CFA"/>
    <w:rsid w:val="0056456B"/>
    <w:rsid w:val="00571187"/>
    <w:rsid w:val="00572C44"/>
    <w:rsid w:val="00582613"/>
    <w:rsid w:val="00584B24"/>
    <w:rsid w:val="00591706"/>
    <w:rsid w:val="00597DB5"/>
    <w:rsid w:val="005B0FC8"/>
    <w:rsid w:val="005B1CDB"/>
    <w:rsid w:val="005B2042"/>
    <w:rsid w:val="005B2606"/>
    <w:rsid w:val="005C041D"/>
    <w:rsid w:val="005C2723"/>
    <w:rsid w:val="005D4F5F"/>
    <w:rsid w:val="005D571C"/>
    <w:rsid w:val="005E0586"/>
    <w:rsid w:val="005E1309"/>
    <w:rsid w:val="005E5B40"/>
    <w:rsid w:val="00601BE1"/>
    <w:rsid w:val="00603516"/>
    <w:rsid w:val="00610312"/>
    <w:rsid w:val="006124ED"/>
    <w:rsid w:val="006244B0"/>
    <w:rsid w:val="0062580A"/>
    <w:rsid w:val="00631039"/>
    <w:rsid w:val="00637A8B"/>
    <w:rsid w:val="00642B1C"/>
    <w:rsid w:val="00653FDD"/>
    <w:rsid w:val="006600AD"/>
    <w:rsid w:val="00664169"/>
    <w:rsid w:val="00671BEF"/>
    <w:rsid w:val="0067357F"/>
    <w:rsid w:val="00677EBD"/>
    <w:rsid w:val="00687362"/>
    <w:rsid w:val="006A3519"/>
    <w:rsid w:val="006A3A5B"/>
    <w:rsid w:val="006A3B10"/>
    <w:rsid w:val="006A4DAC"/>
    <w:rsid w:val="006B13EA"/>
    <w:rsid w:val="006B7C7D"/>
    <w:rsid w:val="006C12CF"/>
    <w:rsid w:val="006E4763"/>
    <w:rsid w:val="006E7ECC"/>
    <w:rsid w:val="006F3BAE"/>
    <w:rsid w:val="006F73BF"/>
    <w:rsid w:val="006F7A2B"/>
    <w:rsid w:val="00705478"/>
    <w:rsid w:val="00724E5A"/>
    <w:rsid w:val="007305C4"/>
    <w:rsid w:val="00731087"/>
    <w:rsid w:val="007314A8"/>
    <w:rsid w:val="007346CA"/>
    <w:rsid w:val="00736F23"/>
    <w:rsid w:val="00740F8F"/>
    <w:rsid w:val="00741297"/>
    <w:rsid w:val="0074134B"/>
    <w:rsid w:val="00742772"/>
    <w:rsid w:val="0074497A"/>
    <w:rsid w:val="00745EB4"/>
    <w:rsid w:val="007722ED"/>
    <w:rsid w:val="007759DB"/>
    <w:rsid w:val="00775DDD"/>
    <w:rsid w:val="007764D4"/>
    <w:rsid w:val="00776590"/>
    <w:rsid w:val="00787992"/>
    <w:rsid w:val="00792AA2"/>
    <w:rsid w:val="00797546"/>
    <w:rsid w:val="007A49D1"/>
    <w:rsid w:val="007A5071"/>
    <w:rsid w:val="007B43DF"/>
    <w:rsid w:val="007B6896"/>
    <w:rsid w:val="007D1238"/>
    <w:rsid w:val="007D38BC"/>
    <w:rsid w:val="007D737C"/>
    <w:rsid w:val="007E5EF3"/>
    <w:rsid w:val="007E6BB2"/>
    <w:rsid w:val="007E7A2D"/>
    <w:rsid w:val="007F0EEF"/>
    <w:rsid w:val="00800A0F"/>
    <w:rsid w:val="00803E2B"/>
    <w:rsid w:val="00807114"/>
    <w:rsid w:val="00817A19"/>
    <w:rsid w:val="00823DE4"/>
    <w:rsid w:val="00824CCC"/>
    <w:rsid w:val="00831BD7"/>
    <w:rsid w:val="00834D7A"/>
    <w:rsid w:val="00860412"/>
    <w:rsid w:val="0086060A"/>
    <w:rsid w:val="008664E9"/>
    <w:rsid w:val="008710E4"/>
    <w:rsid w:val="0087224F"/>
    <w:rsid w:val="00874308"/>
    <w:rsid w:val="008848EC"/>
    <w:rsid w:val="00890516"/>
    <w:rsid w:val="008914AD"/>
    <w:rsid w:val="00896413"/>
    <w:rsid w:val="008974CB"/>
    <w:rsid w:val="008A22EC"/>
    <w:rsid w:val="008B0110"/>
    <w:rsid w:val="008C1F97"/>
    <w:rsid w:val="008C290D"/>
    <w:rsid w:val="008C46A9"/>
    <w:rsid w:val="008C5751"/>
    <w:rsid w:val="008D7791"/>
    <w:rsid w:val="008E3673"/>
    <w:rsid w:val="008E52D0"/>
    <w:rsid w:val="008E5961"/>
    <w:rsid w:val="008E6F5B"/>
    <w:rsid w:val="00907807"/>
    <w:rsid w:val="00914AB9"/>
    <w:rsid w:val="00920749"/>
    <w:rsid w:val="0093237F"/>
    <w:rsid w:val="00936CAD"/>
    <w:rsid w:val="00941801"/>
    <w:rsid w:val="00960ABF"/>
    <w:rsid w:val="00963EAB"/>
    <w:rsid w:val="009802EA"/>
    <w:rsid w:val="0098607A"/>
    <w:rsid w:val="009A2C5A"/>
    <w:rsid w:val="009B137C"/>
    <w:rsid w:val="009B2AD6"/>
    <w:rsid w:val="009B369F"/>
    <w:rsid w:val="009E1EE4"/>
    <w:rsid w:val="009E41E8"/>
    <w:rsid w:val="009F62CB"/>
    <w:rsid w:val="00A06523"/>
    <w:rsid w:val="00A065A1"/>
    <w:rsid w:val="00A10D63"/>
    <w:rsid w:val="00A16501"/>
    <w:rsid w:val="00A16FEA"/>
    <w:rsid w:val="00A22332"/>
    <w:rsid w:val="00A31D10"/>
    <w:rsid w:val="00A40573"/>
    <w:rsid w:val="00A468F7"/>
    <w:rsid w:val="00A548F1"/>
    <w:rsid w:val="00A65782"/>
    <w:rsid w:val="00A76600"/>
    <w:rsid w:val="00A77981"/>
    <w:rsid w:val="00A855AB"/>
    <w:rsid w:val="00A900B8"/>
    <w:rsid w:val="00A92E91"/>
    <w:rsid w:val="00A95A25"/>
    <w:rsid w:val="00AA1D58"/>
    <w:rsid w:val="00AB109B"/>
    <w:rsid w:val="00AB14CF"/>
    <w:rsid w:val="00AC0E37"/>
    <w:rsid w:val="00AD0CEF"/>
    <w:rsid w:val="00AD4395"/>
    <w:rsid w:val="00AD6626"/>
    <w:rsid w:val="00AD6A01"/>
    <w:rsid w:val="00AF019D"/>
    <w:rsid w:val="00B02BC2"/>
    <w:rsid w:val="00B1687E"/>
    <w:rsid w:val="00B172DF"/>
    <w:rsid w:val="00B27571"/>
    <w:rsid w:val="00B35009"/>
    <w:rsid w:val="00B428D1"/>
    <w:rsid w:val="00B42ECD"/>
    <w:rsid w:val="00B45C80"/>
    <w:rsid w:val="00B60176"/>
    <w:rsid w:val="00B61A2A"/>
    <w:rsid w:val="00B67EEE"/>
    <w:rsid w:val="00B73039"/>
    <w:rsid w:val="00B83C07"/>
    <w:rsid w:val="00B85454"/>
    <w:rsid w:val="00B91472"/>
    <w:rsid w:val="00B9549D"/>
    <w:rsid w:val="00BA0A87"/>
    <w:rsid w:val="00BA250A"/>
    <w:rsid w:val="00BB17FA"/>
    <w:rsid w:val="00BC57F0"/>
    <w:rsid w:val="00BE2603"/>
    <w:rsid w:val="00BF2359"/>
    <w:rsid w:val="00BF40EE"/>
    <w:rsid w:val="00C07073"/>
    <w:rsid w:val="00C116B9"/>
    <w:rsid w:val="00C12C2A"/>
    <w:rsid w:val="00C231C3"/>
    <w:rsid w:val="00C277B3"/>
    <w:rsid w:val="00C335D3"/>
    <w:rsid w:val="00C42BF6"/>
    <w:rsid w:val="00C45052"/>
    <w:rsid w:val="00C46D2E"/>
    <w:rsid w:val="00C56557"/>
    <w:rsid w:val="00C74BDC"/>
    <w:rsid w:val="00C77262"/>
    <w:rsid w:val="00C7729F"/>
    <w:rsid w:val="00C8697A"/>
    <w:rsid w:val="00C93C3C"/>
    <w:rsid w:val="00C958A3"/>
    <w:rsid w:val="00CB31EB"/>
    <w:rsid w:val="00CB531A"/>
    <w:rsid w:val="00CD0CA0"/>
    <w:rsid w:val="00CD426B"/>
    <w:rsid w:val="00CD63CF"/>
    <w:rsid w:val="00CE0F6C"/>
    <w:rsid w:val="00CE247F"/>
    <w:rsid w:val="00CE3946"/>
    <w:rsid w:val="00CF025B"/>
    <w:rsid w:val="00D147E6"/>
    <w:rsid w:val="00D1560B"/>
    <w:rsid w:val="00D37D94"/>
    <w:rsid w:val="00D4069C"/>
    <w:rsid w:val="00D414D1"/>
    <w:rsid w:val="00D436BC"/>
    <w:rsid w:val="00D436DA"/>
    <w:rsid w:val="00D43A4A"/>
    <w:rsid w:val="00D611E1"/>
    <w:rsid w:val="00D725AF"/>
    <w:rsid w:val="00D830EE"/>
    <w:rsid w:val="00D84830"/>
    <w:rsid w:val="00D866BF"/>
    <w:rsid w:val="00D951FB"/>
    <w:rsid w:val="00D95496"/>
    <w:rsid w:val="00D9668E"/>
    <w:rsid w:val="00DA02F3"/>
    <w:rsid w:val="00DA2DBE"/>
    <w:rsid w:val="00DA5AEC"/>
    <w:rsid w:val="00DA689B"/>
    <w:rsid w:val="00DB25E1"/>
    <w:rsid w:val="00DB2E6B"/>
    <w:rsid w:val="00DB5A5B"/>
    <w:rsid w:val="00DC1E20"/>
    <w:rsid w:val="00DE5C02"/>
    <w:rsid w:val="00E22051"/>
    <w:rsid w:val="00E26C35"/>
    <w:rsid w:val="00E30F3A"/>
    <w:rsid w:val="00E37E2E"/>
    <w:rsid w:val="00E44DE2"/>
    <w:rsid w:val="00E530B0"/>
    <w:rsid w:val="00E63F1F"/>
    <w:rsid w:val="00E72FC0"/>
    <w:rsid w:val="00E800CF"/>
    <w:rsid w:val="00E9572C"/>
    <w:rsid w:val="00E963EC"/>
    <w:rsid w:val="00EA04EE"/>
    <w:rsid w:val="00EA1EC8"/>
    <w:rsid w:val="00EA36BB"/>
    <w:rsid w:val="00EB1622"/>
    <w:rsid w:val="00ED3D26"/>
    <w:rsid w:val="00ED785B"/>
    <w:rsid w:val="00EE4C7A"/>
    <w:rsid w:val="00EF033F"/>
    <w:rsid w:val="00EF506D"/>
    <w:rsid w:val="00F000C5"/>
    <w:rsid w:val="00F016DF"/>
    <w:rsid w:val="00F148D0"/>
    <w:rsid w:val="00F24AC1"/>
    <w:rsid w:val="00F32AFB"/>
    <w:rsid w:val="00F334A9"/>
    <w:rsid w:val="00F37E12"/>
    <w:rsid w:val="00F531CC"/>
    <w:rsid w:val="00F541E6"/>
    <w:rsid w:val="00F54F8C"/>
    <w:rsid w:val="00F60C26"/>
    <w:rsid w:val="00F62DB7"/>
    <w:rsid w:val="00F712DF"/>
    <w:rsid w:val="00F879E0"/>
    <w:rsid w:val="00F973AB"/>
    <w:rsid w:val="00FA02F2"/>
    <w:rsid w:val="00FB6957"/>
    <w:rsid w:val="00FC2CA4"/>
    <w:rsid w:val="00FC3E2E"/>
    <w:rsid w:val="00FC5FAB"/>
    <w:rsid w:val="00FD1639"/>
    <w:rsid w:val="00FE64DB"/>
    <w:rsid w:val="00FF34AA"/>
    <w:rsid w:val="00FF5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5961"/>
  </w:style>
  <w:style w:type="paragraph" w:styleId="1">
    <w:name w:val="heading 1"/>
    <w:basedOn w:val="a"/>
    <w:next w:val="a"/>
    <w:link w:val="10"/>
    <w:uiPriority w:val="9"/>
    <w:qFormat/>
    <w:rsid w:val="005E0586"/>
    <w:pPr>
      <w:keepNext/>
      <w:keepLines/>
      <w:spacing w:before="240"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bCs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2025E"/>
    <w:pPr>
      <w:keepNext/>
      <w:keepLines/>
      <w:spacing w:before="120" w:after="120" w:line="360" w:lineRule="auto"/>
      <w:outlineLvl w:val="1"/>
    </w:pPr>
    <w:rPr>
      <w:rFonts w:ascii="Times New Roman" w:eastAsiaTheme="majorEastAsia" w:hAnsi="Times New Roman" w:cs="Times New Roman"/>
      <w:b/>
      <w:bCs/>
      <w:sz w:val="28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3E2433"/>
    <w:pPr>
      <w:keepNext/>
      <w:keepLines/>
      <w:spacing w:before="120" w:after="120" w:line="360" w:lineRule="auto"/>
      <w:jc w:val="right"/>
      <w:outlineLvl w:val="2"/>
    </w:pPr>
    <w:rPr>
      <w:rFonts w:ascii="Times New Roman" w:eastAsiaTheme="majorEastAsia" w:hAnsi="Times New Roman" w:cs="Times New Roman"/>
      <w:bCs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0586"/>
    <w:rPr>
      <w:rFonts w:ascii="Times New Roman" w:eastAsiaTheme="majorEastAsia" w:hAnsi="Times New Roman" w:cs="Times New Roman"/>
      <w:b/>
      <w:bCs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52025E"/>
    <w:rPr>
      <w:rFonts w:ascii="Times New Roman" w:eastAsiaTheme="majorEastAsia" w:hAnsi="Times New Roman" w:cs="Times New Roman"/>
      <w:b/>
      <w:bCs/>
      <w:sz w:val="28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3E2433"/>
    <w:rPr>
      <w:rFonts w:ascii="Times New Roman" w:eastAsiaTheme="majorEastAsia" w:hAnsi="Times New Roman" w:cs="Times New Roman"/>
      <w:bCs/>
      <w:sz w:val="28"/>
      <w:lang w:val="ru-RU"/>
    </w:rPr>
  </w:style>
  <w:style w:type="paragraph" w:styleId="a3">
    <w:name w:val="List Paragraph"/>
    <w:basedOn w:val="a"/>
    <w:uiPriority w:val="34"/>
    <w:qFormat/>
    <w:rsid w:val="003E243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30F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0F3A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0645C3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0645C3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0645C3"/>
    <w:rPr>
      <w:vertAlign w:val="superscript"/>
    </w:rPr>
  </w:style>
  <w:style w:type="paragraph" w:styleId="a9">
    <w:name w:val="Document Map"/>
    <w:basedOn w:val="a"/>
    <w:link w:val="aa"/>
    <w:uiPriority w:val="99"/>
    <w:semiHidden/>
    <w:unhideWhenUsed/>
    <w:rsid w:val="00E26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E26C35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semiHidden/>
    <w:unhideWhenUsed/>
    <w:rsid w:val="00476E9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476E98"/>
  </w:style>
  <w:style w:type="paragraph" w:styleId="ad">
    <w:name w:val="footer"/>
    <w:basedOn w:val="a"/>
    <w:link w:val="ae"/>
    <w:uiPriority w:val="99"/>
    <w:unhideWhenUsed/>
    <w:rsid w:val="00476E9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76E98"/>
  </w:style>
  <w:style w:type="paragraph" w:styleId="11">
    <w:name w:val="toc 1"/>
    <w:basedOn w:val="a"/>
    <w:next w:val="a"/>
    <w:autoRedefine/>
    <w:uiPriority w:val="39"/>
    <w:unhideWhenUsed/>
    <w:rsid w:val="00476E9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76E98"/>
    <w:pPr>
      <w:spacing w:after="100"/>
      <w:ind w:left="220"/>
    </w:pPr>
  </w:style>
  <w:style w:type="character" w:styleId="af">
    <w:name w:val="Hyperlink"/>
    <w:basedOn w:val="a0"/>
    <w:uiPriority w:val="99"/>
    <w:unhideWhenUsed/>
    <w:rsid w:val="00476E9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0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d-250\&#1052;&#1086;&#1080;%20&#1076;&#1086;&#1082;&#1091;&#1084;&#1077;&#1085;&#1090;&#1099;\&#1082;&#1086;&#1085;&#1090;&#1088;&#1086;&#1083;&#1100;&#1085;&#1099;&#1077;\&#1047;&#1072;&#1086;&#1095;&#1085;&#1080;&#1082;\2015-2016%20&#1075;&#1075;\760675%20&#1085;&#1072;%2006.11\&#1092;&#1080;&#1085;_&#1088;&#1099;&#1085;&#1086;&#1082;_&#1072;&#1085;&#1072;&#1083;&#1080;&#1079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d-250\&#1052;&#1086;&#1080;%20&#1076;&#1086;&#1082;&#1091;&#1084;&#1077;&#1085;&#1090;&#1099;\&#1082;&#1086;&#1085;&#1090;&#1088;&#1086;&#1083;&#1100;&#1085;&#1099;&#1077;\&#1047;&#1072;&#1086;&#1095;&#1085;&#1080;&#1082;\2015-2016%20&#1075;&#1075;\760675%20&#1085;&#1072;%2006.11\&#1092;&#1080;&#1085;_&#1088;&#1099;&#1085;&#1086;&#1082;_&#1072;&#1085;&#1072;&#1083;&#1080;&#1079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F:\d-250\&#1052;&#1086;&#1080;%20&#1076;&#1086;&#1082;&#1091;&#1084;&#1077;&#1085;&#1090;&#1099;\&#1082;&#1086;&#1085;&#1090;&#1088;&#1086;&#1083;&#1100;&#1085;&#1099;&#1077;\&#1047;&#1072;&#1086;&#1095;&#1085;&#1080;&#1082;\2015-2016%20&#1075;&#1075;\760675%20&#1085;&#1072;%2006.11\&#1092;&#1080;&#1085;_&#1088;&#1099;&#1085;&#1086;&#1082;_&#1072;&#1085;&#1072;&#1083;&#1080;&#1079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uk-UA"/>
  <c:chart>
    <c:plotArea>
      <c:layout/>
      <c:barChart>
        <c:barDir val="col"/>
        <c:grouping val="percentStacked"/>
        <c:ser>
          <c:idx val="0"/>
          <c:order val="0"/>
          <c:tx>
            <c:strRef>
              <c:f>Лист1!$B$25</c:f>
              <c:strCache>
                <c:ptCount val="1"/>
                <c:pt idx="0">
                  <c:v>Доля 10 наиболее капитализированных эмитентов</c:v>
                </c:pt>
              </c:strCache>
            </c:strRef>
          </c:tx>
          <c:cat>
            <c:strRef>
              <c:f>Лист1!$C$24:$L$24</c:f>
              <c:strCache>
                <c:ptCount val="10"/>
                <c:pt idx="0">
                  <c:v>2005 г.</c:v>
                </c:pt>
                <c:pt idx="1">
                  <c:v>2006 г.</c:v>
                </c:pt>
                <c:pt idx="2">
                  <c:v>2007 г.</c:v>
                </c:pt>
                <c:pt idx="3">
                  <c:v>2008 г.</c:v>
                </c:pt>
                <c:pt idx="4">
                  <c:v>2009 г.</c:v>
                </c:pt>
                <c:pt idx="5">
                  <c:v>2010 г.</c:v>
                </c:pt>
                <c:pt idx="6">
                  <c:v>2011 г.</c:v>
                </c:pt>
                <c:pt idx="7">
                  <c:v>2012 г.</c:v>
                </c:pt>
                <c:pt idx="8">
                  <c:v>2013 г.</c:v>
                </c:pt>
                <c:pt idx="9">
                  <c:v>2014 г.</c:v>
                </c:pt>
              </c:strCache>
            </c:strRef>
          </c:cat>
          <c:val>
            <c:numRef>
              <c:f>Лист1!$C$25:$L$25</c:f>
              <c:numCache>
                <c:formatCode>0.00%</c:formatCode>
                <c:ptCount val="10"/>
                <c:pt idx="0">
                  <c:v>0.77700000000000069</c:v>
                </c:pt>
                <c:pt idx="1">
                  <c:v>0.78500000000000003</c:v>
                </c:pt>
                <c:pt idx="2">
                  <c:v>0.68500000000000072</c:v>
                </c:pt>
                <c:pt idx="3">
                  <c:v>0.69300000000000073</c:v>
                </c:pt>
                <c:pt idx="4">
                  <c:v>0.65300000000000102</c:v>
                </c:pt>
                <c:pt idx="5">
                  <c:v>0.60400000000000065</c:v>
                </c:pt>
                <c:pt idx="6">
                  <c:v>0.62200000000000077</c:v>
                </c:pt>
                <c:pt idx="7">
                  <c:v>0.61600000000000077</c:v>
                </c:pt>
                <c:pt idx="8">
                  <c:v>0.62300000000000078</c:v>
                </c:pt>
                <c:pt idx="9">
                  <c:v>0.61100000000000065</c:v>
                </c:pt>
              </c:numCache>
            </c:numRef>
          </c:val>
        </c:ser>
        <c:ser>
          <c:idx val="1"/>
          <c:order val="1"/>
          <c:tx>
            <c:strRef>
              <c:f>Лист1!$B$26</c:f>
              <c:strCache>
                <c:ptCount val="1"/>
                <c:pt idx="0">
                  <c:v>Доля прочих эмитентов</c:v>
                </c:pt>
              </c:strCache>
            </c:strRef>
          </c:tx>
          <c:cat>
            <c:strRef>
              <c:f>Лист1!$C$24:$L$24</c:f>
              <c:strCache>
                <c:ptCount val="10"/>
                <c:pt idx="0">
                  <c:v>2005 г.</c:v>
                </c:pt>
                <c:pt idx="1">
                  <c:v>2006 г.</c:v>
                </c:pt>
                <c:pt idx="2">
                  <c:v>2007 г.</c:v>
                </c:pt>
                <c:pt idx="3">
                  <c:v>2008 г.</c:v>
                </c:pt>
                <c:pt idx="4">
                  <c:v>2009 г.</c:v>
                </c:pt>
                <c:pt idx="5">
                  <c:v>2010 г.</c:v>
                </c:pt>
                <c:pt idx="6">
                  <c:v>2011 г.</c:v>
                </c:pt>
                <c:pt idx="7">
                  <c:v>2012 г.</c:v>
                </c:pt>
                <c:pt idx="8">
                  <c:v>2013 г.</c:v>
                </c:pt>
                <c:pt idx="9">
                  <c:v>2014 г.</c:v>
                </c:pt>
              </c:strCache>
            </c:strRef>
          </c:cat>
          <c:val>
            <c:numRef>
              <c:f>Лист1!$C$26:$L$26</c:f>
              <c:numCache>
                <c:formatCode>0.00%</c:formatCode>
                <c:ptCount val="10"/>
                <c:pt idx="0">
                  <c:v>0.22300000000000009</c:v>
                </c:pt>
                <c:pt idx="1">
                  <c:v>0.21500000000000019</c:v>
                </c:pt>
                <c:pt idx="2">
                  <c:v>0.31500000000000039</c:v>
                </c:pt>
                <c:pt idx="3">
                  <c:v>0.30700000000000038</c:v>
                </c:pt>
                <c:pt idx="4">
                  <c:v>0.34700000000000036</c:v>
                </c:pt>
                <c:pt idx="5">
                  <c:v>0.39600000000000052</c:v>
                </c:pt>
                <c:pt idx="6">
                  <c:v>0.37800000000000039</c:v>
                </c:pt>
                <c:pt idx="7">
                  <c:v>0.38400000000000045</c:v>
                </c:pt>
                <c:pt idx="8">
                  <c:v>0.37700000000000039</c:v>
                </c:pt>
                <c:pt idx="9">
                  <c:v>0.38900000000000046</c:v>
                </c:pt>
              </c:numCache>
            </c:numRef>
          </c:val>
        </c:ser>
        <c:overlap val="100"/>
        <c:axId val="76372608"/>
        <c:axId val="79131776"/>
      </c:barChart>
      <c:lineChart>
        <c:grouping val="standard"/>
        <c:ser>
          <c:idx val="2"/>
          <c:order val="2"/>
          <c:tx>
            <c:strRef>
              <c:f>Лист1!$B$27</c:f>
              <c:strCache>
                <c:ptCount val="1"/>
                <c:pt idx="0">
                  <c:v>в т.ч. ОАО "Газпром"</c:v>
                </c:pt>
              </c:strCache>
            </c:strRef>
          </c:tx>
          <c:marker>
            <c:symbol val="none"/>
          </c:marker>
          <c:cat>
            <c:strRef>
              <c:f>Лист1!$D$24:$L$24</c:f>
              <c:strCache>
                <c:ptCount val="9"/>
                <c:pt idx="0">
                  <c:v>2006 г.</c:v>
                </c:pt>
                <c:pt idx="1">
                  <c:v>2007 г.</c:v>
                </c:pt>
                <c:pt idx="2">
                  <c:v>2008 г.</c:v>
                </c:pt>
                <c:pt idx="3">
                  <c:v>2009 г.</c:v>
                </c:pt>
                <c:pt idx="4">
                  <c:v>2010 г.</c:v>
                </c:pt>
                <c:pt idx="5">
                  <c:v>2011 г.</c:v>
                </c:pt>
                <c:pt idx="6">
                  <c:v>2012 г.</c:v>
                </c:pt>
                <c:pt idx="7">
                  <c:v>2013 г.</c:v>
                </c:pt>
                <c:pt idx="8">
                  <c:v>2014 г.</c:v>
                </c:pt>
              </c:strCache>
            </c:strRef>
          </c:cat>
          <c:val>
            <c:numRef>
              <c:f>Лист1!$C$27:$L$27</c:f>
              <c:numCache>
                <c:formatCode>0.00%</c:formatCode>
                <c:ptCount val="10"/>
                <c:pt idx="1">
                  <c:v>0.30700000000000038</c:v>
                </c:pt>
                <c:pt idx="2">
                  <c:v>0.27300000000000002</c:v>
                </c:pt>
                <c:pt idx="3">
                  <c:v>0.25700000000000001</c:v>
                </c:pt>
                <c:pt idx="4">
                  <c:v>0.19400000000000009</c:v>
                </c:pt>
                <c:pt idx="5">
                  <c:v>0.15800000000000022</c:v>
                </c:pt>
                <c:pt idx="6">
                  <c:v>0.16400000000000009</c:v>
                </c:pt>
                <c:pt idx="7">
                  <c:v>0.13600000000000001</c:v>
                </c:pt>
                <c:pt idx="8" formatCode="0%">
                  <c:v>0.13</c:v>
                </c:pt>
                <c:pt idx="9">
                  <c:v>0.13400000000000001</c:v>
                </c:pt>
              </c:numCache>
            </c:numRef>
          </c:val>
        </c:ser>
        <c:marker val="1"/>
        <c:axId val="76372608"/>
        <c:axId val="79131776"/>
      </c:lineChart>
      <c:catAx>
        <c:axId val="76372608"/>
        <c:scaling>
          <c:orientation val="minMax"/>
        </c:scaling>
        <c:axPos val="b"/>
        <c:tickLblPos val="nextTo"/>
        <c:crossAx val="79131776"/>
        <c:crosses val="autoZero"/>
        <c:auto val="1"/>
        <c:lblAlgn val="ctr"/>
        <c:lblOffset val="100"/>
      </c:catAx>
      <c:valAx>
        <c:axId val="79131776"/>
        <c:scaling>
          <c:orientation val="minMax"/>
        </c:scaling>
        <c:axPos val="l"/>
        <c:majorGridlines/>
        <c:numFmt formatCode="0%" sourceLinked="1"/>
        <c:tickLblPos val="nextTo"/>
        <c:crossAx val="76372608"/>
        <c:crosses val="autoZero"/>
        <c:crossBetween val="between"/>
      </c:valAx>
    </c:plotArea>
    <c:legend>
      <c:legendPos val="b"/>
    </c:legend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uk-UA"/>
  <c:chart>
    <c:plotArea>
      <c:layout/>
      <c:barChart>
        <c:barDir val="bar"/>
        <c:grouping val="percentStacked"/>
        <c:ser>
          <c:idx val="0"/>
          <c:order val="0"/>
          <c:tx>
            <c:strRef>
              <c:f>Лист1!$B$47</c:f>
              <c:strCache>
                <c:ptCount val="1"/>
                <c:pt idx="0">
                  <c:v>Корпоративные облигации</c:v>
                </c:pt>
              </c:strCache>
            </c:strRef>
          </c:tx>
          <c:cat>
            <c:strRef>
              <c:f>Лист1!$C$46:$L$46</c:f>
              <c:strCache>
                <c:ptCount val="10"/>
                <c:pt idx="0">
                  <c:v>2005 г.</c:v>
                </c:pt>
                <c:pt idx="1">
                  <c:v>2006 г.</c:v>
                </c:pt>
                <c:pt idx="2">
                  <c:v>2007 г.</c:v>
                </c:pt>
                <c:pt idx="3">
                  <c:v>2008 г.</c:v>
                </c:pt>
                <c:pt idx="4">
                  <c:v>2009 г.</c:v>
                </c:pt>
                <c:pt idx="5">
                  <c:v>2010 г.</c:v>
                </c:pt>
                <c:pt idx="6">
                  <c:v>2011 г.</c:v>
                </c:pt>
                <c:pt idx="7">
                  <c:v>2012 г.</c:v>
                </c:pt>
                <c:pt idx="8">
                  <c:v>2013 г.</c:v>
                </c:pt>
                <c:pt idx="9">
                  <c:v>2014 г.</c:v>
                </c:pt>
              </c:strCache>
            </c:strRef>
          </c:cat>
          <c:val>
            <c:numRef>
              <c:f>Лист1!$C$47:$L$47</c:f>
              <c:numCache>
                <c:formatCode>General</c:formatCode>
                <c:ptCount val="10"/>
                <c:pt idx="0">
                  <c:v>481</c:v>
                </c:pt>
                <c:pt idx="1">
                  <c:v>906</c:v>
                </c:pt>
                <c:pt idx="2">
                  <c:v>1272</c:v>
                </c:pt>
                <c:pt idx="3">
                  <c:v>1815</c:v>
                </c:pt>
                <c:pt idx="4">
                  <c:v>2569</c:v>
                </c:pt>
                <c:pt idx="5">
                  <c:v>2966</c:v>
                </c:pt>
                <c:pt idx="6">
                  <c:v>3437</c:v>
                </c:pt>
                <c:pt idx="7">
                  <c:v>4166</c:v>
                </c:pt>
                <c:pt idx="8">
                  <c:v>5189</c:v>
                </c:pt>
                <c:pt idx="9">
                  <c:v>6623</c:v>
                </c:pt>
              </c:numCache>
            </c:numRef>
          </c:val>
        </c:ser>
        <c:ser>
          <c:idx val="1"/>
          <c:order val="1"/>
          <c:tx>
            <c:strRef>
              <c:f>Лист1!$B$48</c:f>
              <c:strCache>
                <c:ptCount val="1"/>
                <c:pt idx="0">
                  <c:v>Федеральные облигации</c:v>
                </c:pt>
              </c:strCache>
            </c:strRef>
          </c:tx>
          <c:cat>
            <c:strRef>
              <c:f>Лист1!$C$46:$L$46</c:f>
              <c:strCache>
                <c:ptCount val="10"/>
                <c:pt idx="0">
                  <c:v>2005 г.</c:v>
                </c:pt>
                <c:pt idx="1">
                  <c:v>2006 г.</c:v>
                </c:pt>
                <c:pt idx="2">
                  <c:v>2007 г.</c:v>
                </c:pt>
                <c:pt idx="3">
                  <c:v>2008 г.</c:v>
                </c:pt>
                <c:pt idx="4">
                  <c:v>2009 г.</c:v>
                </c:pt>
                <c:pt idx="5">
                  <c:v>2010 г.</c:v>
                </c:pt>
                <c:pt idx="6">
                  <c:v>2011 г.</c:v>
                </c:pt>
                <c:pt idx="7">
                  <c:v>2012 г.</c:v>
                </c:pt>
                <c:pt idx="8">
                  <c:v>2013 г.</c:v>
                </c:pt>
                <c:pt idx="9">
                  <c:v>2014 г.</c:v>
                </c:pt>
              </c:strCache>
            </c:strRef>
          </c:cat>
          <c:val>
            <c:numRef>
              <c:f>Лист1!$C$48:$L$48</c:f>
              <c:numCache>
                <c:formatCode>General</c:formatCode>
                <c:ptCount val="10"/>
                <c:pt idx="0">
                  <c:v>885</c:v>
                </c:pt>
                <c:pt idx="1">
                  <c:v>1080</c:v>
                </c:pt>
                <c:pt idx="2">
                  <c:v>1250</c:v>
                </c:pt>
                <c:pt idx="3">
                  <c:v>1257</c:v>
                </c:pt>
                <c:pt idx="4">
                  <c:v>1860</c:v>
                </c:pt>
                <c:pt idx="5">
                  <c:v>2747</c:v>
                </c:pt>
                <c:pt idx="6">
                  <c:v>2903</c:v>
                </c:pt>
                <c:pt idx="7">
                  <c:v>3297</c:v>
                </c:pt>
                <c:pt idx="8">
                  <c:v>3721</c:v>
                </c:pt>
                <c:pt idx="9">
                  <c:v>4693</c:v>
                </c:pt>
              </c:numCache>
            </c:numRef>
          </c:val>
        </c:ser>
        <c:ser>
          <c:idx val="2"/>
          <c:order val="2"/>
          <c:tx>
            <c:strRef>
              <c:f>Лист1!$B$49</c:f>
              <c:strCache>
                <c:ptCount val="1"/>
                <c:pt idx="0">
                  <c:v>Субфедеральные и муниципальные облигации</c:v>
                </c:pt>
              </c:strCache>
            </c:strRef>
          </c:tx>
          <c:cat>
            <c:strRef>
              <c:f>Лист1!$C$46:$L$46</c:f>
              <c:strCache>
                <c:ptCount val="10"/>
                <c:pt idx="0">
                  <c:v>2005 г.</c:v>
                </c:pt>
                <c:pt idx="1">
                  <c:v>2006 г.</c:v>
                </c:pt>
                <c:pt idx="2">
                  <c:v>2007 г.</c:v>
                </c:pt>
                <c:pt idx="3">
                  <c:v>2008 г.</c:v>
                </c:pt>
                <c:pt idx="4">
                  <c:v>2009 г.</c:v>
                </c:pt>
                <c:pt idx="5">
                  <c:v>2010 г.</c:v>
                </c:pt>
                <c:pt idx="6">
                  <c:v>2011 г.</c:v>
                </c:pt>
                <c:pt idx="7">
                  <c:v>2012 г.</c:v>
                </c:pt>
                <c:pt idx="8">
                  <c:v>2013 г.</c:v>
                </c:pt>
                <c:pt idx="9">
                  <c:v>2014 г.</c:v>
                </c:pt>
              </c:strCache>
            </c:strRef>
          </c:cat>
          <c:val>
            <c:numRef>
              <c:f>Лист1!$C$49:$L$49</c:f>
              <c:numCache>
                <c:formatCode>General</c:formatCode>
                <c:ptCount val="10"/>
                <c:pt idx="0">
                  <c:v>161</c:v>
                </c:pt>
                <c:pt idx="1">
                  <c:v>190</c:v>
                </c:pt>
                <c:pt idx="2">
                  <c:v>221</c:v>
                </c:pt>
                <c:pt idx="3">
                  <c:v>277</c:v>
                </c:pt>
                <c:pt idx="4">
                  <c:v>421</c:v>
                </c:pt>
                <c:pt idx="5">
                  <c:v>462</c:v>
                </c:pt>
                <c:pt idx="6">
                  <c:v>424</c:v>
                </c:pt>
                <c:pt idx="7">
                  <c:v>440</c:v>
                </c:pt>
                <c:pt idx="8">
                  <c:v>499</c:v>
                </c:pt>
                <c:pt idx="9">
                  <c:v>532</c:v>
                </c:pt>
              </c:numCache>
            </c:numRef>
          </c:val>
        </c:ser>
        <c:overlap val="100"/>
        <c:axId val="84356480"/>
        <c:axId val="89785856"/>
      </c:barChart>
      <c:catAx>
        <c:axId val="84356480"/>
        <c:scaling>
          <c:orientation val="minMax"/>
        </c:scaling>
        <c:axPos val="l"/>
        <c:tickLblPos val="nextTo"/>
        <c:crossAx val="89785856"/>
        <c:crosses val="autoZero"/>
        <c:auto val="1"/>
        <c:lblAlgn val="ctr"/>
        <c:lblOffset val="100"/>
      </c:catAx>
      <c:valAx>
        <c:axId val="89785856"/>
        <c:scaling>
          <c:orientation val="minMax"/>
        </c:scaling>
        <c:axPos val="b"/>
        <c:majorGridlines/>
        <c:numFmt formatCode="0%" sourceLinked="1"/>
        <c:tickLblPos val="nextTo"/>
        <c:crossAx val="8435648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uk-UA"/>
  <c:chart>
    <c:plotArea>
      <c:layout/>
      <c:pieChart>
        <c:varyColors val="1"/>
        <c:ser>
          <c:idx val="0"/>
          <c:order val="0"/>
          <c:dLbls>
            <c:dLbl>
              <c:idx val="2"/>
              <c:layout>
                <c:manualLayout>
                  <c:x val="-0.10519422572178501"/>
                  <c:y val="8.6247083697871083E-2"/>
                </c:manualLayout>
              </c:layout>
              <c:dLblPos val="bestFit"/>
              <c:showVal val="1"/>
            </c:dLbl>
            <c:dLblPos val="ctr"/>
            <c:showVal val="1"/>
            <c:showLeaderLines val="1"/>
          </c:dLbls>
          <c:cat>
            <c:strRef>
              <c:f>Лист3!$A$7:$A$13</c:f>
              <c:strCache>
                <c:ptCount val="7"/>
                <c:pt idx="0">
                  <c:v>до востребования</c:v>
                </c:pt>
                <c:pt idx="1">
                  <c:v>на срок до 30 дней</c:v>
                </c:pt>
                <c:pt idx="2">
                  <c:v>на срок от 31 до 90 дней</c:v>
                </c:pt>
                <c:pt idx="3">
                  <c:v>на срок от 91 до 180 дней</c:v>
                </c:pt>
                <c:pt idx="4">
                  <c:v>на срок от 181 дня до 1 года</c:v>
                </c:pt>
                <c:pt idx="5">
                  <c:v>на срок от 1 года до 3 лет</c:v>
                </c:pt>
                <c:pt idx="6">
                  <c:v>на срок свыше 3 лет</c:v>
                </c:pt>
              </c:strCache>
            </c:strRef>
          </c:cat>
          <c:val>
            <c:numRef>
              <c:f>Лист3!$L$7:$L$13</c:f>
              <c:numCache>
                <c:formatCode>0.0%</c:formatCode>
                <c:ptCount val="7"/>
                <c:pt idx="0">
                  <c:v>0.15273990967688311</c:v>
                </c:pt>
                <c:pt idx="1">
                  <c:v>2.9222253277019204E-3</c:v>
                </c:pt>
                <c:pt idx="2">
                  <c:v>2.7445825330721391E-2</c:v>
                </c:pt>
                <c:pt idx="3">
                  <c:v>7.2066465120510625E-2</c:v>
                </c:pt>
                <c:pt idx="4">
                  <c:v>0.27571420004379499</c:v>
                </c:pt>
                <c:pt idx="5">
                  <c:v>0.41168630158455666</c:v>
                </c:pt>
                <c:pt idx="6">
                  <c:v>5.7425072915831751E-2</c:v>
                </c:pt>
              </c:numCache>
            </c:numRef>
          </c:val>
        </c:ser>
        <c:dLbls>
          <c:showVal val="1"/>
        </c:dLbls>
        <c:firstSliceAng val="0"/>
      </c:pieChart>
    </c:plotArea>
    <c:legend>
      <c:legendPos val="r"/>
      <c:layout>
        <c:manualLayout>
          <c:xMode val="edge"/>
          <c:yMode val="edge"/>
          <c:x val="0.62593197725284411"/>
          <c:y val="8.1030183727034147E-2"/>
          <c:w val="0.35740135608048995"/>
          <c:h val="0.83793963254593273"/>
        </c:manualLayout>
      </c:layout>
      <c:txPr>
        <a:bodyPr/>
        <a:lstStyle/>
        <a:p>
          <a:pPr rtl="0">
            <a:defRPr/>
          </a:pPr>
          <a:endParaRPr lang="uk-UA"/>
        </a:p>
      </c:txPr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B00ABC-AB21-466A-AB36-5F9572548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1421</TotalTime>
  <Pages>20</Pages>
  <Words>17961</Words>
  <Characters>10239</Characters>
  <Application>Microsoft Office Word</Application>
  <DocSecurity>0</DocSecurity>
  <Lines>85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дом</dc:creator>
  <cp:lastModifiedBy>дом</cp:lastModifiedBy>
  <cp:revision>412</cp:revision>
  <dcterms:created xsi:type="dcterms:W3CDTF">2015-11-03T07:15:00Z</dcterms:created>
  <dcterms:modified xsi:type="dcterms:W3CDTF">2015-11-06T14:51:00Z</dcterms:modified>
</cp:coreProperties>
</file>