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A63" w:rsidRDefault="00932A63">
      <w:pPr>
        <w:rPr>
          <w:rFonts w:ascii="Times New Roman" w:hAnsi="Times New Roman"/>
          <w:b/>
          <w:i/>
          <w:sz w:val="28"/>
        </w:rPr>
      </w:pPr>
    </w:p>
    <w:p w:rsidR="00187568" w:rsidRDefault="00187568">
      <w:pPr>
        <w:rPr>
          <w:rFonts w:ascii="Times New Roman" w:hAnsi="Times New Roman"/>
          <w:b/>
          <w:i/>
          <w:sz w:val="28"/>
        </w:rPr>
      </w:pPr>
    </w:p>
    <w:p w:rsidR="00187568" w:rsidRDefault="00187568">
      <w:pPr>
        <w:rPr>
          <w:rFonts w:ascii="Times New Roman" w:hAnsi="Times New Roman"/>
          <w:b/>
          <w:i/>
          <w:sz w:val="28"/>
        </w:rPr>
      </w:pPr>
    </w:p>
    <w:p w:rsidR="00187568" w:rsidRDefault="00187568">
      <w:pPr>
        <w:rPr>
          <w:rFonts w:ascii="Times New Roman" w:hAnsi="Times New Roman"/>
          <w:b/>
          <w:i/>
          <w:sz w:val="28"/>
        </w:rPr>
      </w:pPr>
    </w:p>
    <w:p w:rsidR="00187568" w:rsidRDefault="00187568">
      <w:pPr>
        <w:rPr>
          <w:rFonts w:ascii="Times New Roman" w:hAnsi="Times New Roman"/>
          <w:b/>
          <w:i/>
          <w:sz w:val="28"/>
        </w:rPr>
      </w:pPr>
    </w:p>
    <w:p w:rsidR="00187568" w:rsidRDefault="00187568">
      <w:pPr>
        <w:rPr>
          <w:rFonts w:ascii="Times New Roman" w:hAnsi="Times New Roman"/>
          <w:b/>
          <w:i/>
          <w:sz w:val="28"/>
        </w:rPr>
      </w:pPr>
    </w:p>
    <w:p w:rsidR="00187568" w:rsidRDefault="00187568">
      <w:pPr>
        <w:rPr>
          <w:rFonts w:ascii="Times New Roman" w:hAnsi="Times New Roman"/>
          <w:b/>
          <w:i/>
          <w:sz w:val="28"/>
        </w:rPr>
      </w:pPr>
    </w:p>
    <w:p w:rsidR="00187568" w:rsidRDefault="00187568">
      <w:pPr>
        <w:rPr>
          <w:rFonts w:ascii="Times New Roman" w:hAnsi="Times New Roman"/>
          <w:b/>
          <w:i/>
          <w:sz w:val="28"/>
        </w:rPr>
      </w:pPr>
    </w:p>
    <w:p w:rsidR="00187568" w:rsidRDefault="00187568">
      <w:pPr>
        <w:rPr>
          <w:rFonts w:ascii="Times New Roman" w:hAnsi="Times New Roman"/>
          <w:b/>
          <w:i/>
          <w:sz w:val="28"/>
        </w:rPr>
      </w:pPr>
    </w:p>
    <w:p w:rsidR="00187568" w:rsidRDefault="00187568">
      <w:pPr>
        <w:rPr>
          <w:rFonts w:ascii="Times New Roman" w:hAnsi="Times New Roman"/>
          <w:b/>
          <w:i/>
          <w:sz w:val="28"/>
        </w:rPr>
      </w:pPr>
    </w:p>
    <w:p w:rsidR="00187568" w:rsidRDefault="00187568">
      <w:pPr>
        <w:rPr>
          <w:rFonts w:ascii="Times New Roman" w:hAnsi="Times New Roman"/>
          <w:b/>
          <w:i/>
          <w:sz w:val="28"/>
        </w:rPr>
      </w:pPr>
    </w:p>
    <w:p w:rsidR="00187568" w:rsidRDefault="00187568">
      <w:pPr>
        <w:rPr>
          <w:rFonts w:ascii="Times New Roman" w:hAnsi="Times New Roman"/>
          <w:b/>
          <w:i/>
          <w:sz w:val="28"/>
        </w:rPr>
      </w:pPr>
    </w:p>
    <w:p w:rsidR="00187568" w:rsidRDefault="00187568">
      <w:pPr>
        <w:rPr>
          <w:rFonts w:ascii="Times New Roman" w:hAnsi="Times New Roman"/>
          <w:b/>
          <w:i/>
          <w:sz w:val="28"/>
        </w:rPr>
      </w:pPr>
    </w:p>
    <w:p w:rsidR="00187568" w:rsidRDefault="00187568" w:rsidP="00187568">
      <w:pPr>
        <w:jc w:val="center"/>
        <w:rPr>
          <w:rFonts w:ascii="Times New Roman" w:hAnsi="Times New Roman"/>
          <w:b/>
          <w:i/>
          <w:sz w:val="28"/>
        </w:rPr>
      </w:pPr>
      <w:r>
        <w:rPr>
          <w:rFonts w:ascii="Times New Roman" w:hAnsi="Times New Roman"/>
          <w:b/>
          <w:i/>
          <w:sz w:val="28"/>
        </w:rPr>
        <w:t>Почему христианство стало государственной религией Рима?</w:t>
      </w:r>
    </w:p>
    <w:p w:rsidR="00187568" w:rsidRDefault="00187568" w:rsidP="00187568">
      <w:pPr>
        <w:jc w:val="center"/>
        <w:rPr>
          <w:rFonts w:ascii="Times New Roman" w:hAnsi="Times New Roman"/>
          <w:sz w:val="28"/>
        </w:rPr>
      </w:pPr>
      <w:r>
        <w:rPr>
          <w:rFonts w:ascii="Times New Roman" w:hAnsi="Times New Roman"/>
          <w:sz w:val="28"/>
        </w:rPr>
        <w:t>Эссе по истории</w:t>
      </w:r>
    </w:p>
    <w:p w:rsidR="00187568" w:rsidRDefault="00187568" w:rsidP="00187568">
      <w:pPr>
        <w:jc w:val="center"/>
        <w:rPr>
          <w:rFonts w:ascii="Times New Roman" w:hAnsi="Times New Roman"/>
          <w:sz w:val="28"/>
        </w:rPr>
      </w:pPr>
    </w:p>
    <w:p w:rsidR="00187568" w:rsidRDefault="00187568" w:rsidP="00187568">
      <w:pPr>
        <w:jc w:val="center"/>
        <w:rPr>
          <w:rFonts w:ascii="Times New Roman" w:hAnsi="Times New Roman"/>
          <w:sz w:val="28"/>
        </w:rPr>
      </w:pPr>
    </w:p>
    <w:p w:rsidR="00187568" w:rsidRDefault="00187568" w:rsidP="00187568">
      <w:pPr>
        <w:jc w:val="center"/>
        <w:rPr>
          <w:rFonts w:ascii="Times New Roman" w:hAnsi="Times New Roman"/>
          <w:sz w:val="28"/>
        </w:rPr>
      </w:pPr>
    </w:p>
    <w:p w:rsidR="00187568" w:rsidRDefault="00187568" w:rsidP="00187568">
      <w:pPr>
        <w:jc w:val="center"/>
        <w:rPr>
          <w:rFonts w:ascii="Times New Roman" w:hAnsi="Times New Roman"/>
          <w:sz w:val="28"/>
        </w:rPr>
      </w:pPr>
    </w:p>
    <w:p w:rsidR="00187568" w:rsidRDefault="00187568" w:rsidP="00187568">
      <w:pPr>
        <w:jc w:val="center"/>
        <w:rPr>
          <w:rFonts w:ascii="Times New Roman" w:hAnsi="Times New Roman"/>
          <w:sz w:val="28"/>
        </w:rPr>
      </w:pPr>
    </w:p>
    <w:p w:rsidR="00187568" w:rsidRDefault="00187568" w:rsidP="00187568">
      <w:pPr>
        <w:jc w:val="center"/>
        <w:rPr>
          <w:rFonts w:ascii="Times New Roman" w:hAnsi="Times New Roman"/>
          <w:sz w:val="28"/>
        </w:rPr>
      </w:pPr>
    </w:p>
    <w:p w:rsidR="00187568" w:rsidRDefault="00187568" w:rsidP="00187568">
      <w:pPr>
        <w:jc w:val="center"/>
        <w:rPr>
          <w:rFonts w:ascii="Times New Roman" w:hAnsi="Times New Roman"/>
          <w:sz w:val="28"/>
        </w:rPr>
      </w:pPr>
    </w:p>
    <w:p w:rsidR="00187568" w:rsidRDefault="00187568" w:rsidP="00187568">
      <w:pPr>
        <w:jc w:val="center"/>
        <w:rPr>
          <w:rFonts w:ascii="Times New Roman" w:hAnsi="Times New Roman"/>
          <w:sz w:val="28"/>
        </w:rPr>
      </w:pPr>
    </w:p>
    <w:p w:rsidR="00187568" w:rsidRDefault="00187568" w:rsidP="00187568">
      <w:pPr>
        <w:jc w:val="center"/>
        <w:rPr>
          <w:rFonts w:ascii="Times New Roman" w:hAnsi="Times New Roman"/>
          <w:sz w:val="28"/>
        </w:rPr>
      </w:pPr>
      <w:r>
        <w:rPr>
          <w:rFonts w:ascii="Times New Roman" w:hAnsi="Times New Roman"/>
          <w:sz w:val="28"/>
        </w:rPr>
        <w:t>2015</w:t>
      </w:r>
    </w:p>
    <w:p w:rsidR="00187568" w:rsidRDefault="00187568" w:rsidP="00187568">
      <w:pPr>
        <w:jc w:val="center"/>
        <w:rPr>
          <w:rFonts w:ascii="Times New Roman" w:hAnsi="Times New Roman"/>
          <w:sz w:val="28"/>
        </w:rPr>
      </w:pPr>
    </w:p>
    <w:p w:rsidR="00187568" w:rsidRDefault="00187568" w:rsidP="00187568">
      <w:pPr>
        <w:spacing w:after="0" w:line="240" w:lineRule="auto"/>
        <w:ind w:firstLine="709"/>
        <w:jc w:val="both"/>
        <w:rPr>
          <w:rFonts w:ascii="Times New Roman" w:hAnsi="Times New Roman"/>
          <w:sz w:val="24"/>
        </w:rPr>
      </w:pPr>
    </w:p>
    <w:p w:rsidR="00187568" w:rsidRDefault="00187568" w:rsidP="00187568">
      <w:pPr>
        <w:spacing w:after="0" w:line="240" w:lineRule="auto"/>
        <w:ind w:firstLine="709"/>
        <w:jc w:val="both"/>
        <w:rPr>
          <w:rFonts w:ascii="Times New Roman" w:hAnsi="Times New Roman"/>
          <w:sz w:val="24"/>
        </w:rPr>
      </w:pPr>
      <w:r>
        <w:rPr>
          <w:rFonts w:ascii="Times New Roman" w:hAnsi="Times New Roman"/>
          <w:sz w:val="24"/>
        </w:rPr>
        <w:t xml:space="preserve">Религия Рима была ранней формой религии. Она сформировалась в период бронзового века, а истоки верований уходили в глубокое прошлое. Например, культ Весты возможно восходил к культам  Великой Матери верхнего палеолита. Во </w:t>
      </w:r>
      <w:r>
        <w:rPr>
          <w:rFonts w:ascii="Times New Roman" w:hAnsi="Times New Roman"/>
          <w:sz w:val="24"/>
          <w:lang w:val="en-US"/>
        </w:rPr>
        <w:t>II</w:t>
      </w:r>
      <w:r>
        <w:rPr>
          <w:rFonts w:ascii="Times New Roman" w:hAnsi="Times New Roman"/>
          <w:sz w:val="24"/>
        </w:rPr>
        <w:t xml:space="preserve"> в. до н э. Рим стал мировой державой. Римляне познакомились с верованиями окружающих народов – греков, карфагенян, египтян. В том числе – и с греческой философией. Кризис классического античного полиса был общим и в Греции и в Риме. Он сопровождался и кри</w:t>
      </w:r>
      <w:r w:rsidR="008A61F0">
        <w:rPr>
          <w:rFonts w:ascii="Times New Roman" w:hAnsi="Times New Roman"/>
          <w:sz w:val="24"/>
        </w:rPr>
        <w:t>з</w:t>
      </w:r>
      <w:r>
        <w:rPr>
          <w:rFonts w:ascii="Times New Roman" w:hAnsi="Times New Roman"/>
          <w:sz w:val="24"/>
        </w:rPr>
        <w:t xml:space="preserve">исом полисного </w:t>
      </w:r>
      <w:r w:rsidR="008A61F0">
        <w:rPr>
          <w:rFonts w:ascii="Times New Roman" w:hAnsi="Times New Roman"/>
          <w:sz w:val="24"/>
        </w:rPr>
        <w:t xml:space="preserve">мировоззрения. Уже в Афинах, несмотря на то, что там «безбожие» было реально наказуемым преступлением, комедиографы ставили комедии про похождения олимпийских богов (Аристофан). </w:t>
      </w:r>
    </w:p>
    <w:p w:rsidR="008A61F0" w:rsidRDefault="008A61F0" w:rsidP="00187568">
      <w:pPr>
        <w:spacing w:after="0" w:line="240" w:lineRule="auto"/>
        <w:ind w:firstLine="709"/>
        <w:jc w:val="both"/>
        <w:rPr>
          <w:rFonts w:ascii="Times New Roman" w:hAnsi="Times New Roman"/>
          <w:sz w:val="24"/>
        </w:rPr>
      </w:pPr>
      <w:r>
        <w:rPr>
          <w:rFonts w:ascii="Times New Roman" w:hAnsi="Times New Roman"/>
          <w:sz w:val="24"/>
        </w:rPr>
        <w:t xml:space="preserve">Римская  языческая религия была во многом даже более примитивной, чем греческая, т. к. римляне многое заимствовали от своих «культуртрегеров» - этрусков. К </w:t>
      </w:r>
      <w:r>
        <w:rPr>
          <w:rFonts w:ascii="Times New Roman" w:hAnsi="Times New Roman"/>
          <w:sz w:val="24"/>
          <w:lang w:val="en-US"/>
        </w:rPr>
        <w:t>II</w:t>
      </w:r>
      <w:r>
        <w:rPr>
          <w:rFonts w:ascii="Times New Roman" w:hAnsi="Times New Roman"/>
          <w:sz w:val="24"/>
        </w:rPr>
        <w:t xml:space="preserve"> в. до н э. никто из просвещенных римлян в богов не верил, религиозный культ выродился в то, что современные православные богословы называют «обрядоверием» Это было механическое исполнение обрядов, без понимания их религиозного смысла. Так религиозные праздники превратились в народные гуляния и карнавалы (Луперкалии, Сатурналии). Религиозные обряды стали развлечением (гладиаторские бои в религии этрусков были обрядом тризны). </w:t>
      </w:r>
    </w:p>
    <w:p w:rsidR="008A61F0" w:rsidRDefault="008A61F0" w:rsidP="00187568">
      <w:pPr>
        <w:spacing w:after="0" w:line="240" w:lineRule="auto"/>
        <w:ind w:firstLine="709"/>
        <w:jc w:val="both"/>
        <w:rPr>
          <w:rFonts w:ascii="Times New Roman" w:hAnsi="Times New Roman"/>
          <w:sz w:val="24"/>
        </w:rPr>
      </w:pPr>
      <w:r>
        <w:rPr>
          <w:rFonts w:ascii="Times New Roman" w:hAnsi="Times New Roman"/>
          <w:sz w:val="24"/>
        </w:rPr>
        <w:t>Поэтому римляне</w:t>
      </w:r>
      <w:r w:rsidR="00E55BCB">
        <w:rPr>
          <w:rFonts w:ascii="Times New Roman" w:hAnsi="Times New Roman"/>
          <w:sz w:val="24"/>
        </w:rPr>
        <w:t>,</w:t>
      </w:r>
      <w:r>
        <w:rPr>
          <w:rFonts w:ascii="Times New Roman" w:hAnsi="Times New Roman"/>
          <w:sz w:val="24"/>
        </w:rPr>
        <w:t xml:space="preserve"> получив доступ к сокровищам эллинской культуры, заимствовали</w:t>
      </w:r>
      <w:r w:rsidR="00E55BCB">
        <w:rPr>
          <w:rFonts w:ascii="Times New Roman" w:hAnsi="Times New Roman"/>
          <w:sz w:val="24"/>
        </w:rPr>
        <w:t>,</w:t>
      </w:r>
      <w:r>
        <w:rPr>
          <w:rFonts w:ascii="Times New Roman" w:hAnsi="Times New Roman"/>
          <w:sz w:val="24"/>
        </w:rPr>
        <w:t xml:space="preserve"> прежде всего, философию. Философия Эпикура стала </w:t>
      </w:r>
      <w:r w:rsidR="00E55BCB">
        <w:rPr>
          <w:rFonts w:ascii="Times New Roman" w:hAnsi="Times New Roman"/>
          <w:sz w:val="24"/>
        </w:rPr>
        <w:t>популярной</w:t>
      </w:r>
      <w:r>
        <w:rPr>
          <w:rFonts w:ascii="Times New Roman" w:hAnsi="Times New Roman"/>
          <w:sz w:val="24"/>
        </w:rPr>
        <w:t xml:space="preserve"> у состоятельных римлян – всадников и патрициев. </w:t>
      </w:r>
      <w:r w:rsidR="00E55BCB">
        <w:rPr>
          <w:rFonts w:ascii="Times New Roman" w:hAnsi="Times New Roman"/>
          <w:sz w:val="24"/>
        </w:rPr>
        <w:t>Эпикур учил, что цель жизни человека – счастье (эвдемония). Эвдемонии можно достичь, если человек не мешает жить другим людям (тезис «проживи незаметно») и получает от своей жизни мимолетные удовольствия. Здесь сразу необходимо отметить, что Эпикур считал «наслаждениями» маленькие удовольствия, которые человек может себе позволить, не вредя другим людям. Пример такого «удовольствия» который привел Эпикур – маленький горшочек сливок</w:t>
      </w:r>
      <w:r w:rsidR="008E43E7">
        <w:rPr>
          <w:rFonts w:ascii="Times New Roman" w:hAnsi="Times New Roman"/>
          <w:sz w:val="24"/>
        </w:rPr>
        <w:t>,</w:t>
      </w:r>
      <w:r w:rsidR="00E55BCB">
        <w:rPr>
          <w:rFonts w:ascii="Times New Roman" w:hAnsi="Times New Roman"/>
          <w:sz w:val="24"/>
        </w:rPr>
        <w:t xml:space="preserve"> добавленный к обычной трапезе из варены бобов и лепешки</w:t>
      </w:r>
      <w:r w:rsidR="008C766E">
        <w:rPr>
          <w:rStyle w:val="a9"/>
          <w:rFonts w:ascii="Times New Roman" w:hAnsi="Times New Roman"/>
          <w:sz w:val="24"/>
        </w:rPr>
        <w:footnoteReference w:id="2"/>
      </w:r>
      <w:r w:rsidR="00E55BCB">
        <w:rPr>
          <w:rFonts w:ascii="Times New Roman" w:hAnsi="Times New Roman"/>
          <w:sz w:val="24"/>
        </w:rPr>
        <w:t>.</w:t>
      </w:r>
      <w:r w:rsidR="006454AD">
        <w:rPr>
          <w:rFonts w:ascii="Times New Roman" w:hAnsi="Times New Roman"/>
          <w:sz w:val="24"/>
        </w:rPr>
        <w:t xml:space="preserve"> Римляне же по выражению М. Вебера, став мировой державой вели себя как человек который очень долго ждал наследства. а получив его – стал безудержно проматывать</w:t>
      </w:r>
      <w:r w:rsidR="008C766E">
        <w:rPr>
          <w:rStyle w:val="a9"/>
          <w:rFonts w:ascii="Times New Roman" w:hAnsi="Times New Roman"/>
          <w:sz w:val="24"/>
        </w:rPr>
        <w:footnoteReference w:id="3"/>
      </w:r>
      <w:r w:rsidR="006454AD">
        <w:rPr>
          <w:rFonts w:ascii="Times New Roman" w:hAnsi="Times New Roman"/>
          <w:sz w:val="24"/>
        </w:rPr>
        <w:t>. Учение Эпикура было превратно истолковано представителями римских правящих классов: как проповедь безудержных удовольствий и наслаждений. Здесь определенную роль, вероятно, сыграл римский менталитет. Жизнь римлянина-республиканца была заполнена тяжелым крестьянским трудом, аскетизмом тяготами военной службы. Теперь получив большие богатства и много рабов, римляне стремились взять от жизни все, потому что жизнь была коротка – шли нескончаемые войны. Эпикурейство в его превратном понимании стало мировоззрением римских всадников и патрициев которые позже, при Империи слились в один класс нобилитета.</w:t>
      </w:r>
    </w:p>
    <w:p w:rsidR="006454AD" w:rsidRDefault="006454AD" w:rsidP="00187568">
      <w:pPr>
        <w:spacing w:after="0" w:line="240" w:lineRule="auto"/>
        <w:ind w:firstLine="709"/>
        <w:jc w:val="both"/>
        <w:rPr>
          <w:rFonts w:ascii="Times New Roman" w:hAnsi="Times New Roman"/>
          <w:sz w:val="24"/>
        </w:rPr>
      </w:pPr>
      <w:r>
        <w:rPr>
          <w:rFonts w:ascii="Times New Roman" w:hAnsi="Times New Roman"/>
          <w:sz w:val="24"/>
        </w:rPr>
        <w:t xml:space="preserve">Наоборот, стоицизм привлекал к себе внимание неимущих классов римского общества. </w:t>
      </w:r>
      <w:r w:rsidR="007C2A44">
        <w:rPr>
          <w:rFonts w:ascii="Times New Roman" w:hAnsi="Times New Roman"/>
          <w:sz w:val="24"/>
        </w:rPr>
        <w:t>Рабов, плебеев, жителей римских владений, не имевших прав гражданства, в стоицизме привлекала всеобщность (стоиком может стать каждый человек), верность моральным принципам, воспитание в себе бесстрашия, готовности встретить смерть мужественно.  К эпохе Ранней Империи стоицизм стал своего рода «народной религией» низших классов римского общества, особенно в восточных провинциях Римской Империи (Иудея, Сирия Малая Азия). Здесь стоицизм понимали как традицию, связанную с семитским институтом «назореев» и сектой «ессеев». А отсюда – и христианство воспринималось как закономерное продолжение многовековой традиции.</w:t>
      </w:r>
    </w:p>
    <w:p w:rsidR="00932A63" w:rsidRPr="00932A63" w:rsidRDefault="007C2A44" w:rsidP="00187568">
      <w:pPr>
        <w:spacing w:after="0" w:line="240" w:lineRule="auto"/>
        <w:ind w:firstLine="709"/>
        <w:jc w:val="both"/>
        <w:rPr>
          <w:rFonts w:ascii="Times New Roman" w:hAnsi="Times New Roman"/>
          <w:sz w:val="24"/>
        </w:rPr>
      </w:pPr>
      <w:r>
        <w:rPr>
          <w:rFonts w:ascii="Times New Roman" w:hAnsi="Times New Roman"/>
          <w:sz w:val="24"/>
        </w:rPr>
        <w:t xml:space="preserve">Другим фактором стало формирование Домината. Большинство римлян в принципе, мирилось, с культом умерших обожествленных императоров. Достаточно </w:t>
      </w:r>
      <w:r>
        <w:rPr>
          <w:rFonts w:ascii="Times New Roman" w:hAnsi="Times New Roman"/>
          <w:sz w:val="24"/>
        </w:rPr>
        <w:lastRenderedPageBreak/>
        <w:t>спокойно население Империи относилось и к присяге обожествленному  живому императору. Это был акт лояльности, только и всего, в «божественность» императора никто не верил.</w:t>
      </w:r>
      <w:r w:rsidR="00932A63">
        <w:rPr>
          <w:rFonts w:ascii="Times New Roman" w:hAnsi="Times New Roman"/>
          <w:sz w:val="24"/>
        </w:rPr>
        <w:t xml:space="preserve"> Во время «кризиса Империи»</w:t>
      </w:r>
      <w:r w:rsidR="00932A63" w:rsidRPr="00932A63">
        <w:rPr>
          <w:rFonts w:ascii="Times New Roman" w:hAnsi="Times New Roman"/>
          <w:sz w:val="24"/>
        </w:rPr>
        <w:t xml:space="preserve"> </w:t>
      </w:r>
      <w:r w:rsidR="00932A63">
        <w:rPr>
          <w:rFonts w:ascii="Times New Roman" w:hAnsi="Times New Roman"/>
          <w:sz w:val="24"/>
          <w:lang w:val="en-US"/>
        </w:rPr>
        <w:t>III</w:t>
      </w:r>
      <w:r w:rsidR="00932A63">
        <w:rPr>
          <w:rFonts w:ascii="Times New Roman" w:hAnsi="Times New Roman"/>
          <w:sz w:val="24"/>
        </w:rPr>
        <w:t xml:space="preserve"> в. практичные римляне перестали делать статуи императоров в виде олимпийски божеств. Они в каждой муниципии (городке) имели статуи 3-4 олимпийских богов (Геракла, Юпитера) из мрамора или бронзы, которым в зависимости от политической ситуации приделывали гипсовые головы различных «императоров» с чертами портретного сходства. Это было актуально, поскольку в те времена на престоле было иногда по 5-6 императоров одновременно, власть постоянно менялась. Это ярко показывает отношение римского народа к императорскому культу.</w:t>
      </w:r>
    </w:p>
    <w:p w:rsidR="007C2A44" w:rsidRDefault="007C2A44" w:rsidP="00187568">
      <w:pPr>
        <w:spacing w:after="0" w:line="240" w:lineRule="auto"/>
        <w:ind w:firstLine="709"/>
        <w:jc w:val="both"/>
        <w:rPr>
          <w:rFonts w:ascii="Times New Roman" w:hAnsi="Times New Roman"/>
          <w:sz w:val="24"/>
        </w:rPr>
      </w:pPr>
      <w:r>
        <w:rPr>
          <w:rFonts w:ascii="Times New Roman" w:hAnsi="Times New Roman"/>
          <w:sz w:val="24"/>
        </w:rPr>
        <w:t xml:space="preserve"> </w:t>
      </w:r>
      <w:r w:rsidR="00932A63">
        <w:rPr>
          <w:rFonts w:ascii="Times New Roman" w:hAnsi="Times New Roman"/>
          <w:sz w:val="24"/>
        </w:rPr>
        <w:t>Однако Элагабал</w:t>
      </w:r>
      <w:r w:rsidR="008C766E">
        <w:rPr>
          <w:rStyle w:val="a9"/>
          <w:rFonts w:ascii="Times New Roman" w:hAnsi="Times New Roman"/>
          <w:sz w:val="24"/>
        </w:rPr>
        <w:footnoteReference w:id="4"/>
      </w:r>
      <w:r w:rsidR="00932A63">
        <w:rPr>
          <w:rFonts w:ascii="Times New Roman" w:hAnsi="Times New Roman"/>
          <w:sz w:val="24"/>
        </w:rPr>
        <w:t>, а следом за ним – и Диоклетиан – объявили себя «живыми богами» и учредили собственный культ при жизни.</w:t>
      </w:r>
      <w:r w:rsidR="003A6901">
        <w:rPr>
          <w:rFonts w:ascii="Times New Roman" w:hAnsi="Times New Roman"/>
          <w:sz w:val="24"/>
        </w:rPr>
        <w:t xml:space="preserve"> Несмотря на то, что с начала правления Деция (249 г.) началась полоса сплошных гонений на христиан направленная на уничтожение самой Церкви</w:t>
      </w:r>
      <w:r w:rsidR="00C41563">
        <w:rPr>
          <w:rFonts w:ascii="Times New Roman" w:hAnsi="Times New Roman"/>
          <w:sz w:val="24"/>
        </w:rPr>
        <w:t xml:space="preserve">. Имущество Церкви было конфисковано, епископы арестованы и сосланы, многие верующие погибли, отказавшись </w:t>
      </w:r>
      <w:r w:rsidR="00604864">
        <w:rPr>
          <w:rFonts w:ascii="Times New Roman" w:hAnsi="Times New Roman"/>
          <w:sz w:val="24"/>
        </w:rPr>
        <w:t>совершать культ императора. Но распространение христианства во второй половине</w:t>
      </w:r>
      <w:r w:rsidR="00604864" w:rsidRPr="00604864">
        <w:rPr>
          <w:rFonts w:ascii="Times New Roman" w:hAnsi="Times New Roman"/>
          <w:sz w:val="24"/>
        </w:rPr>
        <w:t xml:space="preserve"> </w:t>
      </w:r>
      <w:r w:rsidR="00604864">
        <w:rPr>
          <w:rFonts w:ascii="Times New Roman" w:hAnsi="Times New Roman"/>
          <w:sz w:val="24"/>
          <w:lang w:val="en-US"/>
        </w:rPr>
        <w:t>III</w:t>
      </w:r>
      <w:r w:rsidR="00604864">
        <w:rPr>
          <w:rFonts w:ascii="Times New Roman" w:hAnsi="Times New Roman"/>
          <w:sz w:val="24"/>
        </w:rPr>
        <w:t xml:space="preserve"> в. было уже лавинообразным. Христианами становились не только рабы и беднота как раньше,</w:t>
      </w:r>
      <w:r w:rsidR="00C41563">
        <w:rPr>
          <w:rFonts w:ascii="Times New Roman" w:hAnsi="Times New Roman"/>
          <w:sz w:val="24"/>
        </w:rPr>
        <w:t xml:space="preserve"> </w:t>
      </w:r>
      <w:r w:rsidR="00604864">
        <w:rPr>
          <w:rFonts w:ascii="Times New Roman" w:hAnsi="Times New Roman"/>
          <w:sz w:val="24"/>
        </w:rPr>
        <w:t>но и римские дамы из обеспеченных классов («матроны»), и солдаты и офицеры легионов.</w:t>
      </w:r>
    </w:p>
    <w:p w:rsidR="00604864" w:rsidRDefault="00604864" w:rsidP="00187568">
      <w:pPr>
        <w:spacing w:after="0" w:line="240" w:lineRule="auto"/>
        <w:ind w:firstLine="709"/>
        <w:jc w:val="both"/>
        <w:rPr>
          <w:rFonts w:ascii="Times New Roman" w:hAnsi="Times New Roman"/>
          <w:sz w:val="24"/>
        </w:rPr>
      </w:pPr>
      <w:r>
        <w:rPr>
          <w:rFonts w:ascii="Times New Roman" w:hAnsi="Times New Roman"/>
          <w:sz w:val="24"/>
        </w:rPr>
        <w:t>Христианство имело три основных соперника:</w:t>
      </w:r>
    </w:p>
    <w:p w:rsidR="00604864" w:rsidRDefault="00604864" w:rsidP="00187568">
      <w:pPr>
        <w:spacing w:after="0" w:line="240" w:lineRule="auto"/>
        <w:ind w:firstLine="709"/>
        <w:jc w:val="both"/>
        <w:rPr>
          <w:rFonts w:ascii="Times New Roman" w:hAnsi="Times New Roman"/>
          <w:sz w:val="24"/>
        </w:rPr>
      </w:pPr>
      <w:r>
        <w:rPr>
          <w:rFonts w:ascii="Times New Roman" w:hAnsi="Times New Roman"/>
          <w:sz w:val="24"/>
        </w:rPr>
        <w:t>-гностицизм;</w:t>
      </w:r>
    </w:p>
    <w:p w:rsidR="00604864" w:rsidRDefault="00604864" w:rsidP="00187568">
      <w:pPr>
        <w:spacing w:after="0" w:line="240" w:lineRule="auto"/>
        <w:ind w:firstLine="709"/>
        <w:jc w:val="both"/>
        <w:rPr>
          <w:rFonts w:ascii="Times New Roman" w:hAnsi="Times New Roman"/>
          <w:sz w:val="24"/>
        </w:rPr>
      </w:pPr>
      <w:r>
        <w:rPr>
          <w:rFonts w:ascii="Times New Roman" w:hAnsi="Times New Roman"/>
          <w:sz w:val="24"/>
        </w:rPr>
        <w:t>-манихейство;</w:t>
      </w:r>
    </w:p>
    <w:p w:rsidR="00604864" w:rsidRDefault="00604864" w:rsidP="00187568">
      <w:pPr>
        <w:spacing w:after="0" w:line="240" w:lineRule="auto"/>
        <w:ind w:firstLine="709"/>
        <w:jc w:val="both"/>
        <w:rPr>
          <w:rFonts w:ascii="Times New Roman" w:hAnsi="Times New Roman"/>
          <w:sz w:val="24"/>
        </w:rPr>
      </w:pPr>
      <w:r>
        <w:rPr>
          <w:rFonts w:ascii="Times New Roman" w:hAnsi="Times New Roman"/>
          <w:sz w:val="24"/>
        </w:rPr>
        <w:t>-митраизм.</w:t>
      </w:r>
    </w:p>
    <w:p w:rsidR="00604864" w:rsidRDefault="00604864" w:rsidP="00187568">
      <w:pPr>
        <w:spacing w:after="0" w:line="240" w:lineRule="auto"/>
        <w:ind w:firstLine="709"/>
        <w:jc w:val="both"/>
        <w:rPr>
          <w:rFonts w:ascii="Times New Roman" w:hAnsi="Times New Roman"/>
          <w:sz w:val="24"/>
        </w:rPr>
      </w:pPr>
      <w:r>
        <w:rPr>
          <w:rFonts w:ascii="Times New Roman" w:hAnsi="Times New Roman"/>
          <w:sz w:val="24"/>
        </w:rPr>
        <w:t>Но митраизм был религией  только мужчин-воинов. Для вступления в общину Митры надо было перенести ряд тяжелых испытаний во время посвящения (физических и психологических). Кроме того, отсутствовало свободное вступление в общину (прозелитизм). К кандидату члены общины долго присматривались, а потом только приглашали. Вступить в общину без приглашения было не возможно.</w:t>
      </w:r>
    </w:p>
    <w:p w:rsidR="00604864" w:rsidRDefault="00604864" w:rsidP="00187568">
      <w:pPr>
        <w:spacing w:after="0" w:line="240" w:lineRule="auto"/>
        <w:ind w:firstLine="709"/>
        <w:jc w:val="both"/>
        <w:rPr>
          <w:rFonts w:ascii="Times New Roman" w:hAnsi="Times New Roman"/>
          <w:sz w:val="24"/>
        </w:rPr>
      </w:pPr>
      <w:r>
        <w:rPr>
          <w:rFonts w:ascii="Times New Roman" w:hAnsi="Times New Roman"/>
          <w:sz w:val="24"/>
        </w:rPr>
        <w:t>Манихейство отталкивало своим аскетизмом</w:t>
      </w:r>
      <w:r w:rsidR="008C766E">
        <w:rPr>
          <w:rStyle w:val="a9"/>
          <w:rFonts w:ascii="Times New Roman" w:hAnsi="Times New Roman"/>
          <w:sz w:val="24"/>
        </w:rPr>
        <w:footnoteReference w:id="5"/>
      </w:r>
      <w:r>
        <w:rPr>
          <w:rFonts w:ascii="Times New Roman" w:hAnsi="Times New Roman"/>
          <w:sz w:val="24"/>
        </w:rPr>
        <w:t xml:space="preserve">. </w:t>
      </w:r>
      <w:r w:rsidR="00FC3B47">
        <w:rPr>
          <w:rFonts w:ascii="Times New Roman" w:hAnsi="Times New Roman"/>
          <w:sz w:val="24"/>
        </w:rPr>
        <w:t xml:space="preserve">Вариантом между христианством и манихейством стал египетский «анахорезис» </w:t>
      </w:r>
      <w:r w:rsidR="00FC3B47">
        <w:rPr>
          <w:rFonts w:ascii="Times New Roman" w:hAnsi="Times New Roman"/>
          <w:sz w:val="24"/>
          <w:lang w:val="en-US"/>
        </w:rPr>
        <w:t>III</w:t>
      </w:r>
      <w:r w:rsidR="00FC3B47" w:rsidRPr="00FC3B47">
        <w:rPr>
          <w:rFonts w:ascii="Times New Roman" w:hAnsi="Times New Roman"/>
          <w:sz w:val="24"/>
        </w:rPr>
        <w:t>-</w:t>
      </w:r>
      <w:r w:rsidR="00FC3B47">
        <w:rPr>
          <w:rFonts w:ascii="Times New Roman" w:hAnsi="Times New Roman"/>
          <w:sz w:val="24"/>
          <w:lang w:val="en-US"/>
        </w:rPr>
        <w:t>IV</w:t>
      </w:r>
      <w:r w:rsidR="00FC3B47" w:rsidRPr="00FC3B47">
        <w:rPr>
          <w:rFonts w:ascii="Times New Roman" w:hAnsi="Times New Roman"/>
          <w:sz w:val="24"/>
        </w:rPr>
        <w:t xml:space="preserve"> </w:t>
      </w:r>
      <w:r w:rsidR="00FC3B47">
        <w:rPr>
          <w:rFonts w:ascii="Times New Roman" w:hAnsi="Times New Roman"/>
          <w:sz w:val="24"/>
        </w:rPr>
        <w:t>вв. Из-за налогового египтяне бежали в пустыню и там становились «анахоретами» - отшельниками. Формально они продолжали оставаться налогоплательщиками,  которые записаны в синтаксисе (налоговой ведомости). Но у отшельников не было никакой собственности они не вели никакой экономической деятельности.</w:t>
      </w:r>
    </w:p>
    <w:p w:rsidR="00FC3B47" w:rsidRDefault="00FC3B47" w:rsidP="00187568">
      <w:pPr>
        <w:spacing w:after="0" w:line="240" w:lineRule="auto"/>
        <w:ind w:firstLine="709"/>
        <w:jc w:val="both"/>
        <w:rPr>
          <w:rFonts w:ascii="Times New Roman" w:hAnsi="Times New Roman"/>
          <w:sz w:val="24"/>
        </w:rPr>
      </w:pPr>
      <w:r>
        <w:rPr>
          <w:rFonts w:ascii="Times New Roman" w:hAnsi="Times New Roman"/>
          <w:sz w:val="24"/>
        </w:rPr>
        <w:t>Гностицизм был</w:t>
      </w:r>
      <w:r w:rsidR="00D9764C">
        <w:rPr>
          <w:rFonts w:ascii="Times New Roman" w:hAnsi="Times New Roman"/>
          <w:sz w:val="24"/>
        </w:rPr>
        <w:t xml:space="preserve"> распространен лишь среди немногочисленных интеллектуалов. «Мифология» гностицизма была крайне сложной, причем ее предполагалось понимать символически. Только на механическое заучивание «Сил», «Престолов», «Ангелов» и отношений между ними могли уйти годы. Но «младший» гностицизм способствовал развитию оккультизма (вызывание демонов) и преднаучных дисциплин – медицины</w:t>
      </w:r>
      <w:r w:rsidR="00A80487">
        <w:rPr>
          <w:rFonts w:ascii="Times New Roman" w:hAnsi="Times New Roman"/>
          <w:sz w:val="24"/>
        </w:rPr>
        <w:t>,</w:t>
      </w:r>
      <w:r w:rsidR="00D9764C">
        <w:rPr>
          <w:rFonts w:ascii="Times New Roman" w:hAnsi="Times New Roman"/>
          <w:sz w:val="24"/>
        </w:rPr>
        <w:t xml:space="preserve"> алхимии. Широким массам гностицизм был скучен и не понятен</w:t>
      </w:r>
      <w:r w:rsidR="008C4A27">
        <w:rPr>
          <w:rStyle w:val="a9"/>
          <w:rFonts w:ascii="Times New Roman" w:hAnsi="Times New Roman"/>
          <w:sz w:val="24"/>
        </w:rPr>
        <w:footnoteReference w:id="6"/>
      </w:r>
      <w:r w:rsidR="00D9764C">
        <w:rPr>
          <w:rFonts w:ascii="Times New Roman" w:hAnsi="Times New Roman"/>
          <w:sz w:val="24"/>
        </w:rPr>
        <w:t>.</w:t>
      </w:r>
    </w:p>
    <w:p w:rsidR="00A80487" w:rsidRDefault="00A80487" w:rsidP="00187568">
      <w:pPr>
        <w:spacing w:after="0" w:line="240" w:lineRule="auto"/>
        <w:ind w:firstLine="709"/>
        <w:jc w:val="both"/>
        <w:rPr>
          <w:rFonts w:ascii="Times New Roman" w:hAnsi="Times New Roman"/>
          <w:sz w:val="24"/>
        </w:rPr>
      </w:pPr>
      <w:r>
        <w:rPr>
          <w:rFonts w:ascii="Times New Roman" w:hAnsi="Times New Roman"/>
          <w:sz w:val="24"/>
        </w:rPr>
        <w:t>В 311 г. Константин и Лициний объявили христианство разрешенным в Римской империи вероисповеданием (Миланский эдикт). Это было связано, во многом, с тем, что в рядах их легионов было много галлов-христиан. Это помогло им одержать победу над Максенцием, в войске которого были в основном митраисты – мавры и италики.</w:t>
      </w:r>
    </w:p>
    <w:p w:rsidR="00A80487" w:rsidRDefault="00A80487" w:rsidP="00187568">
      <w:pPr>
        <w:spacing w:after="0" w:line="240" w:lineRule="auto"/>
        <w:ind w:firstLine="709"/>
        <w:jc w:val="both"/>
        <w:rPr>
          <w:rFonts w:ascii="Times New Roman" w:hAnsi="Times New Roman"/>
          <w:sz w:val="24"/>
        </w:rPr>
      </w:pPr>
      <w:r>
        <w:rPr>
          <w:rFonts w:ascii="Times New Roman" w:hAnsi="Times New Roman"/>
          <w:sz w:val="24"/>
        </w:rPr>
        <w:t xml:space="preserve">Однако до признания христианства государственным вероисповеданием прошло еще почти 100 лет. Такой эдикт был обнародован Феодосием </w:t>
      </w:r>
      <w:r>
        <w:rPr>
          <w:rFonts w:ascii="Times New Roman" w:hAnsi="Times New Roman"/>
          <w:sz w:val="24"/>
          <w:lang w:val="en-US"/>
        </w:rPr>
        <w:t>I</w:t>
      </w:r>
      <w:r w:rsidR="00485E53">
        <w:rPr>
          <w:rFonts w:ascii="Times New Roman" w:hAnsi="Times New Roman"/>
          <w:sz w:val="24"/>
        </w:rPr>
        <w:t xml:space="preserve"> лишь </w:t>
      </w:r>
      <w:r>
        <w:rPr>
          <w:rFonts w:ascii="Times New Roman" w:hAnsi="Times New Roman"/>
          <w:sz w:val="24"/>
        </w:rPr>
        <w:t xml:space="preserve"> в 394 г. </w:t>
      </w:r>
    </w:p>
    <w:p w:rsidR="00A80487" w:rsidRDefault="00A80487" w:rsidP="00187568">
      <w:pPr>
        <w:spacing w:after="0" w:line="240" w:lineRule="auto"/>
        <w:ind w:firstLine="709"/>
        <w:jc w:val="both"/>
        <w:rPr>
          <w:rFonts w:ascii="Times New Roman" w:hAnsi="Times New Roman"/>
          <w:sz w:val="24"/>
        </w:rPr>
      </w:pPr>
      <w:r>
        <w:rPr>
          <w:rFonts w:ascii="Times New Roman" w:hAnsi="Times New Roman"/>
          <w:sz w:val="24"/>
        </w:rPr>
        <w:lastRenderedPageBreak/>
        <w:t xml:space="preserve">Со времен философии Просвещения было распространено </w:t>
      </w:r>
      <w:r w:rsidR="00534FA3">
        <w:rPr>
          <w:rFonts w:ascii="Times New Roman" w:hAnsi="Times New Roman"/>
          <w:sz w:val="24"/>
        </w:rPr>
        <w:t>представление</w:t>
      </w:r>
      <w:r>
        <w:rPr>
          <w:rFonts w:ascii="Times New Roman" w:hAnsi="Times New Roman"/>
          <w:sz w:val="24"/>
        </w:rPr>
        <w:t xml:space="preserve"> о победе христианства в Римской империи как о торжестве «религиозных фанатиков».</w:t>
      </w:r>
      <w:r w:rsidR="00534FA3">
        <w:rPr>
          <w:rFonts w:ascii="Times New Roman" w:hAnsi="Times New Roman"/>
          <w:sz w:val="24"/>
        </w:rPr>
        <w:t xml:space="preserve"> После чего высокоразвитая античная цивилизация была уничтожена и Европа погрузилась в «темные века» Средневековья. На самом деле, единственным фактом репрессий христиан является убийство Гипатии Александрийской в 415 г. Но Гипатия была убита немногочисленной группой сектантов (парабаланы) которые практически не подчинялись епископу Александрии Кириллу. По данным раскопок, основными врагами античной культуры были простые крестьяне, которые пережигали мраморные статуи на известь для удобрения полей и огородов. А металлические статуи забирали варвары со времен «Скифской войны»</w:t>
      </w:r>
      <w:r w:rsidR="00534FA3" w:rsidRPr="00534FA3">
        <w:rPr>
          <w:rFonts w:ascii="Times New Roman" w:hAnsi="Times New Roman"/>
          <w:sz w:val="24"/>
        </w:rPr>
        <w:t xml:space="preserve"> </w:t>
      </w:r>
      <w:r w:rsidR="00534FA3">
        <w:rPr>
          <w:rFonts w:ascii="Times New Roman" w:hAnsi="Times New Roman"/>
          <w:sz w:val="24"/>
          <w:lang w:val="en-US"/>
        </w:rPr>
        <w:t>III</w:t>
      </w:r>
      <w:r w:rsidR="00534FA3" w:rsidRPr="00534FA3">
        <w:rPr>
          <w:rFonts w:ascii="Times New Roman" w:hAnsi="Times New Roman"/>
          <w:sz w:val="24"/>
        </w:rPr>
        <w:t xml:space="preserve"> </w:t>
      </w:r>
      <w:r w:rsidR="00534FA3">
        <w:rPr>
          <w:rFonts w:ascii="Times New Roman" w:hAnsi="Times New Roman"/>
          <w:sz w:val="24"/>
        </w:rPr>
        <w:t xml:space="preserve">в., т.к. </w:t>
      </w:r>
      <w:r w:rsidR="00485E53">
        <w:rPr>
          <w:rFonts w:ascii="Times New Roman" w:hAnsi="Times New Roman"/>
          <w:sz w:val="24"/>
        </w:rPr>
        <w:t>цветные металлы были очень ценными.</w:t>
      </w:r>
    </w:p>
    <w:p w:rsidR="00485E53" w:rsidRDefault="00485E53" w:rsidP="00187568">
      <w:pPr>
        <w:spacing w:after="0" w:line="240" w:lineRule="auto"/>
        <w:ind w:firstLine="709"/>
        <w:jc w:val="both"/>
        <w:rPr>
          <w:rFonts w:ascii="Times New Roman" w:hAnsi="Times New Roman"/>
          <w:sz w:val="24"/>
        </w:rPr>
      </w:pPr>
      <w:r>
        <w:rPr>
          <w:rFonts w:ascii="Times New Roman" w:hAnsi="Times New Roman"/>
          <w:sz w:val="24"/>
        </w:rPr>
        <w:t xml:space="preserve">Христианство позволяло, в отличие от других вероучений, переводить социальные конфликты в религиозную плоскость.  Уже в </w:t>
      </w:r>
      <w:r>
        <w:rPr>
          <w:rFonts w:ascii="Times New Roman" w:hAnsi="Times New Roman"/>
          <w:sz w:val="24"/>
          <w:lang w:val="en-US"/>
        </w:rPr>
        <w:t>III</w:t>
      </w:r>
      <w:r w:rsidRPr="00485E53">
        <w:rPr>
          <w:rFonts w:ascii="Times New Roman" w:hAnsi="Times New Roman"/>
          <w:sz w:val="24"/>
        </w:rPr>
        <w:t>-</w:t>
      </w:r>
      <w:r>
        <w:rPr>
          <w:rFonts w:ascii="Times New Roman" w:hAnsi="Times New Roman"/>
          <w:sz w:val="24"/>
          <w:lang w:val="en-US"/>
        </w:rPr>
        <w:t>IV</w:t>
      </w:r>
      <w:r>
        <w:rPr>
          <w:rFonts w:ascii="Times New Roman" w:hAnsi="Times New Roman"/>
          <w:sz w:val="24"/>
        </w:rPr>
        <w:t xml:space="preserve"> вв. появился ряд сект милленаристкого (чаяние Царства Божьего) и хилиастического (построения Царства Божьего на Земле) направления. Это были африканские донатисты (духовенство) и их последователи из рабов циркумцеллионы. В Малой Азии это были монтанисты.</w:t>
      </w:r>
    </w:p>
    <w:p w:rsidR="003D2F61" w:rsidRDefault="003D2F61" w:rsidP="00187568">
      <w:pPr>
        <w:spacing w:after="0" w:line="240" w:lineRule="auto"/>
        <w:ind w:firstLine="709"/>
        <w:jc w:val="both"/>
        <w:rPr>
          <w:rFonts w:ascii="Times New Roman" w:hAnsi="Times New Roman"/>
          <w:sz w:val="24"/>
        </w:rPr>
      </w:pPr>
      <w:r>
        <w:rPr>
          <w:rFonts w:ascii="Times New Roman" w:hAnsi="Times New Roman"/>
          <w:sz w:val="24"/>
        </w:rPr>
        <w:t>Таким образом, причинами торжества христианства как государственной религии стали:</w:t>
      </w:r>
    </w:p>
    <w:p w:rsidR="003D2F61" w:rsidRDefault="003D2F61" w:rsidP="00187568">
      <w:pPr>
        <w:spacing w:after="0" w:line="240" w:lineRule="auto"/>
        <w:ind w:firstLine="709"/>
        <w:jc w:val="both"/>
        <w:rPr>
          <w:rFonts w:ascii="Times New Roman" w:hAnsi="Times New Roman"/>
          <w:sz w:val="24"/>
        </w:rPr>
      </w:pPr>
      <w:r>
        <w:rPr>
          <w:rFonts w:ascii="Times New Roman" w:hAnsi="Times New Roman"/>
          <w:sz w:val="24"/>
        </w:rPr>
        <w:t>- доктрина покорности светской власти (всякая власть – от Бога);</w:t>
      </w:r>
    </w:p>
    <w:p w:rsidR="003D2F61" w:rsidRPr="00485E53" w:rsidRDefault="003D2F61" w:rsidP="00187568">
      <w:pPr>
        <w:spacing w:after="0" w:line="240" w:lineRule="auto"/>
        <w:ind w:firstLine="709"/>
        <w:jc w:val="both"/>
        <w:rPr>
          <w:rFonts w:ascii="Times New Roman" w:hAnsi="Times New Roman"/>
          <w:sz w:val="24"/>
        </w:rPr>
      </w:pPr>
      <w:r>
        <w:rPr>
          <w:rFonts w:ascii="Times New Roman" w:hAnsi="Times New Roman"/>
          <w:sz w:val="24"/>
        </w:rPr>
        <w:t xml:space="preserve">- </w:t>
      </w:r>
      <w:r w:rsidR="00B327E3">
        <w:rPr>
          <w:rFonts w:ascii="Times New Roman" w:hAnsi="Times New Roman"/>
          <w:sz w:val="24"/>
        </w:rPr>
        <w:t>возможность выступления против власти, т к. Царство христианина «не от мира сего».</w:t>
      </w:r>
    </w:p>
    <w:p w:rsidR="007C2A44" w:rsidRDefault="007C2A44" w:rsidP="00187568">
      <w:pPr>
        <w:spacing w:after="0" w:line="240" w:lineRule="auto"/>
        <w:ind w:firstLine="709"/>
        <w:jc w:val="both"/>
        <w:rPr>
          <w:rFonts w:ascii="Times New Roman" w:hAnsi="Times New Roman"/>
          <w:sz w:val="24"/>
        </w:rPr>
      </w:pPr>
    </w:p>
    <w:p w:rsidR="008C4A27" w:rsidRDefault="008C4A27" w:rsidP="00187568">
      <w:pPr>
        <w:spacing w:after="0" w:line="240" w:lineRule="auto"/>
        <w:ind w:firstLine="709"/>
        <w:jc w:val="both"/>
        <w:rPr>
          <w:rFonts w:ascii="Times New Roman" w:hAnsi="Times New Roman"/>
          <w:sz w:val="24"/>
        </w:rPr>
      </w:pPr>
    </w:p>
    <w:p w:rsidR="00187568" w:rsidRDefault="008C4A27" w:rsidP="00187568">
      <w:pPr>
        <w:jc w:val="center"/>
        <w:rPr>
          <w:rFonts w:ascii="Times New Roman" w:hAnsi="Times New Roman"/>
          <w:sz w:val="28"/>
        </w:rPr>
      </w:pPr>
      <w:r>
        <w:rPr>
          <w:rFonts w:ascii="Times New Roman" w:hAnsi="Times New Roman"/>
          <w:sz w:val="28"/>
        </w:rPr>
        <w:t xml:space="preserve">ИСТОЧНИКИ И ЛИТЕРАТУРА </w:t>
      </w:r>
    </w:p>
    <w:p w:rsidR="00187568" w:rsidRDefault="008C4A27" w:rsidP="00187568">
      <w:pPr>
        <w:jc w:val="center"/>
        <w:rPr>
          <w:rFonts w:ascii="Times New Roman" w:hAnsi="Times New Roman"/>
          <w:sz w:val="28"/>
        </w:rPr>
      </w:pPr>
      <w:r>
        <w:rPr>
          <w:rFonts w:ascii="Times New Roman" w:hAnsi="Times New Roman"/>
          <w:sz w:val="28"/>
        </w:rPr>
        <w:t>Источники</w:t>
      </w:r>
    </w:p>
    <w:p w:rsidR="008C4A27" w:rsidRDefault="008C4A27" w:rsidP="00187568">
      <w:pPr>
        <w:jc w:val="center"/>
        <w:rPr>
          <w:rFonts w:ascii="Times New Roman" w:hAnsi="Times New Roman"/>
          <w:sz w:val="28"/>
        </w:rPr>
      </w:pPr>
    </w:p>
    <w:p w:rsidR="008C4A27" w:rsidRPr="008C4A27" w:rsidRDefault="008C4A27" w:rsidP="008C4A27">
      <w:pPr>
        <w:spacing w:after="0" w:line="360" w:lineRule="auto"/>
        <w:jc w:val="both"/>
        <w:rPr>
          <w:rStyle w:val="citation"/>
          <w:rFonts w:ascii="Times New Roman" w:hAnsi="Times New Roman"/>
          <w:sz w:val="24"/>
        </w:rPr>
      </w:pPr>
      <w:r>
        <w:rPr>
          <w:rStyle w:val="citation"/>
          <w:rFonts w:ascii="Times New Roman" w:hAnsi="Times New Roman"/>
          <w:iCs/>
          <w:sz w:val="24"/>
        </w:rPr>
        <w:t>1..</w:t>
      </w:r>
      <w:r w:rsidRPr="008C4A27">
        <w:rPr>
          <w:rStyle w:val="citation"/>
          <w:rFonts w:ascii="Times New Roman" w:hAnsi="Times New Roman"/>
          <w:iCs/>
          <w:sz w:val="24"/>
        </w:rPr>
        <w:t>Тит Лукреций Кар.</w:t>
      </w:r>
      <w:r w:rsidRPr="008C4A27">
        <w:rPr>
          <w:rStyle w:val="citation"/>
          <w:rFonts w:ascii="Times New Roman" w:hAnsi="Times New Roman"/>
          <w:sz w:val="24"/>
        </w:rPr>
        <w:t xml:space="preserve"> </w:t>
      </w:r>
      <w:hyperlink r:id="rId7" w:history="1">
        <w:r w:rsidRPr="008C4A27">
          <w:rPr>
            <w:rStyle w:val="aa"/>
            <w:rFonts w:ascii="Times New Roman" w:hAnsi="Times New Roman"/>
            <w:color w:val="auto"/>
            <w:sz w:val="24"/>
            <w:u w:val="none"/>
          </w:rPr>
          <w:t>Эпикур. Главные мысли. (31-40)</w:t>
        </w:r>
      </w:hyperlink>
      <w:r w:rsidRPr="008C4A27">
        <w:rPr>
          <w:rStyle w:val="citation"/>
          <w:rFonts w:ascii="Times New Roman" w:hAnsi="Times New Roman"/>
          <w:sz w:val="24"/>
        </w:rPr>
        <w:t xml:space="preserve"> // О природе вещей / Перевод и комментарии М. Л. Гаспарова. — М., 1983.</w:t>
      </w:r>
    </w:p>
    <w:p w:rsidR="008C4A27" w:rsidRPr="008C4A27" w:rsidRDefault="008C4A27" w:rsidP="008C4A27">
      <w:pPr>
        <w:pStyle w:val="a7"/>
        <w:spacing w:line="360" w:lineRule="auto"/>
        <w:jc w:val="both"/>
        <w:rPr>
          <w:sz w:val="24"/>
        </w:rPr>
      </w:pPr>
      <w:r>
        <w:rPr>
          <w:rStyle w:val="citation"/>
          <w:rFonts w:ascii="Times New Roman" w:hAnsi="Times New Roman"/>
          <w:iCs/>
          <w:sz w:val="24"/>
        </w:rPr>
        <w:t>2.</w:t>
      </w:r>
      <w:hyperlink r:id="rId8" w:tooltip="Авторы жизнеописаний Августов" w:history="1">
        <w:r w:rsidRPr="008C4A27">
          <w:rPr>
            <w:rStyle w:val="aa"/>
            <w:rFonts w:ascii="Times New Roman" w:hAnsi="Times New Roman"/>
            <w:iCs/>
            <w:color w:val="auto"/>
            <w:sz w:val="24"/>
            <w:u w:val="none"/>
          </w:rPr>
          <w:t>Элий Лампридий</w:t>
        </w:r>
      </w:hyperlink>
      <w:r w:rsidRPr="008C4A27">
        <w:rPr>
          <w:rStyle w:val="citation"/>
          <w:rFonts w:ascii="Times New Roman" w:hAnsi="Times New Roman"/>
          <w:iCs/>
          <w:sz w:val="24"/>
        </w:rPr>
        <w:t>.</w:t>
      </w:r>
      <w:r w:rsidRPr="008C4A27">
        <w:rPr>
          <w:rStyle w:val="citation"/>
          <w:rFonts w:ascii="Times New Roman" w:hAnsi="Times New Roman"/>
          <w:sz w:val="24"/>
        </w:rPr>
        <w:t xml:space="preserve"> Антонин Гелиогабал // Властелины Рима: Биографии римских императоров от Адриана до Диоклетиана / Переводчики: </w:t>
      </w:r>
      <w:hyperlink r:id="rId9" w:tooltip="Доватур, Аристид Иванович" w:history="1">
        <w:r w:rsidRPr="008C4A27">
          <w:rPr>
            <w:rStyle w:val="aa"/>
            <w:rFonts w:ascii="Times New Roman" w:hAnsi="Times New Roman"/>
            <w:color w:val="auto"/>
            <w:sz w:val="24"/>
            <w:u w:val="none"/>
          </w:rPr>
          <w:t>Аристид Доватур</w:t>
        </w:r>
      </w:hyperlink>
      <w:r w:rsidRPr="008C4A27">
        <w:rPr>
          <w:rStyle w:val="citation"/>
          <w:rFonts w:ascii="Times New Roman" w:hAnsi="Times New Roman"/>
          <w:sz w:val="24"/>
        </w:rPr>
        <w:t>, С. Кондратьев. — СПб.: Алетейя, 2001. — С. 134-150. — 384 с. — (Античная библиотека. Античная история).</w:t>
      </w:r>
      <w:r w:rsidRPr="008C4A27">
        <w:rPr>
          <w:rStyle w:val="citation"/>
          <w:sz w:val="24"/>
        </w:rPr>
        <w:t> </w:t>
      </w:r>
    </w:p>
    <w:p w:rsidR="008C4A27" w:rsidRPr="008C4A27" w:rsidRDefault="008C4A27" w:rsidP="008C4A27">
      <w:pPr>
        <w:spacing w:after="0" w:line="360" w:lineRule="auto"/>
        <w:jc w:val="both"/>
        <w:rPr>
          <w:rFonts w:ascii="Times New Roman" w:hAnsi="Times New Roman"/>
          <w:sz w:val="24"/>
        </w:rPr>
      </w:pPr>
    </w:p>
    <w:p w:rsidR="008C4A27" w:rsidRDefault="008C4A27" w:rsidP="00187568">
      <w:pPr>
        <w:jc w:val="center"/>
        <w:rPr>
          <w:rFonts w:ascii="Times New Roman" w:hAnsi="Times New Roman"/>
          <w:sz w:val="28"/>
        </w:rPr>
      </w:pPr>
      <w:r>
        <w:rPr>
          <w:rFonts w:ascii="Times New Roman" w:hAnsi="Times New Roman"/>
          <w:sz w:val="28"/>
        </w:rPr>
        <w:t>Литература</w:t>
      </w:r>
    </w:p>
    <w:p w:rsidR="008C4A27" w:rsidRDefault="008C4A27" w:rsidP="00187568">
      <w:pPr>
        <w:jc w:val="center"/>
        <w:rPr>
          <w:rFonts w:ascii="Times New Roman" w:hAnsi="Times New Roman"/>
          <w:sz w:val="28"/>
        </w:rPr>
      </w:pPr>
    </w:p>
    <w:p w:rsidR="008C4A27" w:rsidRPr="008C4A27" w:rsidRDefault="008C4A27" w:rsidP="008C4A27">
      <w:pPr>
        <w:spacing w:after="0" w:line="360" w:lineRule="auto"/>
        <w:jc w:val="both"/>
        <w:rPr>
          <w:rFonts w:ascii="Times New Roman" w:hAnsi="Times New Roman"/>
          <w:sz w:val="24"/>
        </w:rPr>
      </w:pPr>
      <w:r>
        <w:rPr>
          <w:rFonts w:ascii="Times New Roman" w:hAnsi="Times New Roman"/>
          <w:sz w:val="24"/>
        </w:rPr>
        <w:t>3.</w:t>
      </w:r>
      <w:r w:rsidRPr="008C4A27">
        <w:rPr>
          <w:rFonts w:ascii="Times New Roman" w:hAnsi="Times New Roman"/>
          <w:sz w:val="24"/>
        </w:rPr>
        <w:t>Вебер М. Протестантская этика и дух капитализма – М:Ист-Вью 2002 – 247 с.</w:t>
      </w:r>
    </w:p>
    <w:p w:rsidR="008C4A27" w:rsidRPr="008C4A27" w:rsidRDefault="008C4A27" w:rsidP="008C4A27">
      <w:pPr>
        <w:pStyle w:val="a7"/>
        <w:spacing w:line="360" w:lineRule="auto"/>
        <w:jc w:val="both"/>
        <w:rPr>
          <w:sz w:val="24"/>
        </w:rPr>
      </w:pPr>
      <w:r>
        <w:rPr>
          <w:rFonts w:ascii="Times New Roman" w:hAnsi="Times New Roman"/>
          <w:iCs/>
          <w:sz w:val="24"/>
        </w:rPr>
        <w:t>4.</w:t>
      </w:r>
      <w:hyperlink r:id="rId10" w:tooltip="Лосев, Алексей Фёдорович" w:history="1">
        <w:r w:rsidRPr="008C4A27">
          <w:rPr>
            <w:rStyle w:val="aa"/>
            <w:rFonts w:ascii="Times New Roman" w:hAnsi="Times New Roman"/>
            <w:iCs/>
            <w:color w:val="auto"/>
            <w:sz w:val="24"/>
            <w:u w:val="none"/>
          </w:rPr>
          <w:t>Лосев А. Ф.</w:t>
        </w:r>
      </w:hyperlink>
      <w:r w:rsidRPr="008C4A27">
        <w:rPr>
          <w:rFonts w:ascii="Times New Roman" w:hAnsi="Times New Roman"/>
          <w:sz w:val="24"/>
        </w:rPr>
        <w:t xml:space="preserve"> </w:t>
      </w:r>
      <w:hyperlink r:id="rId11" w:history="1">
        <w:r w:rsidRPr="008C4A27">
          <w:rPr>
            <w:rStyle w:val="aa"/>
            <w:rFonts w:ascii="Times New Roman" w:hAnsi="Times New Roman"/>
            <w:color w:val="auto"/>
            <w:sz w:val="24"/>
            <w:u w:val="none"/>
          </w:rPr>
          <w:t>Гностицизм</w:t>
        </w:r>
      </w:hyperlink>
      <w:r w:rsidRPr="008C4A27">
        <w:rPr>
          <w:rFonts w:ascii="Times New Roman" w:hAnsi="Times New Roman"/>
          <w:sz w:val="24"/>
        </w:rPr>
        <w:t xml:space="preserve"> / История Античной эстетики. Итоги тысячелетнего развития. — История античной эстетики, том VIII, книги I и II. М.: «Искусство», 1992, 1994</w:t>
      </w:r>
    </w:p>
    <w:p w:rsidR="008C4A27" w:rsidRPr="008C4A27" w:rsidRDefault="008C4A27" w:rsidP="008C4A27">
      <w:pPr>
        <w:pStyle w:val="a7"/>
        <w:spacing w:line="360" w:lineRule="auto"/>
        <w:jc w:val="both"/>
        <w:rPr>
          <w:sz w:val="24"/>
        </w:rPr>
      </w:pPr>
      <w:r>
        <w:rPr>
          <w:rStyle w:val="citation"/>
          <w:rFonts w:ascii="Times New Roman" w:hAnsi="Times New Roman"/>
          <w:iCs/>
          <w:sz w:val="24"/>
        </w:rPr>
        <w:t>5.</w:t>
      </w:r>
      <w:hyperlink r:id="rId12" w:tooltip="Смагина, Евгения Борисовна" w:history="1">
        <w:r w:rsidRPr="008C4A27">
          <w:rPr>
            <w:rStyle w:val="aa"/>
            <w:rFonts w:ascii="Times New Roman" w:hAnsi="Times New Roman"/>
            <w:iCs/>
            <w:color w:val="auto"/>
            <w:sz w:val="24"/>
            <w:u w:val="none"/>
          </w:rPr>
          <w:t>Смагина, Е. Б.</w:t>
        </w:r>
      </w:hyperlink>
      <w:r w:rsidRPr="008C4A27">
        <w:rPr>
          <w:rStyle w:val="citation"/>
          <w:rFonts w:ascii="Times New Roman" w:hAnsi="Times New Roman"/>
          <w:sz w:val="24"/>
        </w:rPr>
        <w:t xml:space="preserve"> Манихейство: по ранним источникам. — М.: Вост. лит., 2011. — 519 с.</w:t>
      </w:r>
    </w:p>
    <w:p w:rsidR="008C4A27" w:rsidRPr="00187568" w:rsidRDefault="008C4A27" w:rsidP="008C4A27">
      <w:pPr>
        <w:spacing w:after="0" w:line="360" w:lineRule="auto"/>
        <w:jc w:val="both"/>
        <w:rPr>
          <w:rFonts w:ascii="Times New Roman" w:hAnsi="Times New Roman"/>
          <w:sz w:val="28"/>
        </w:rPr>
      </w:pPr>
    </w:p>
    <w:sectPr w:rsidR="008C4A27" w:rsidRPr="00187568">
      <w:headerReference w:type="default" r:id="rId1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48A" w:rsidRDefault="004E048A" w:rsidP="007C2A44">
      <w:pPr>
        <w:spacing w:after="0" w:line="240" w:lineRule="auto"/>
      </w:pPr>
      <w:r>
        <w:separator/>
      </w:r>
    </w:p>
  </w:endnote>
  <w:endnote w:type="continuationSeparator" w:id="1">
    <w:p w:rsidR="004E048A" w:rsidRDefault="004E048A" w:rsidP="007C2A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48A" w:rsidRDefault="004E048A" w:rsidP="007C2A44">
      <w:pPr>
        <w:spacing w:after="0" w:line="240" w:lineRule="auto"/>
      </w:pPr>
      <w:r>
        <w:separator/>
      </w:r>
    </w:p>
  </w:footnote>
  <w:footnote w:type="continuationSeparator" w:id="1">
    <w:p w:rsidR="004E048A" w:rsidRDefault="004E048A" w:rsidP="007C2A44">
      <w:pPr>
        <w:spacing w:after="0" w:line="240" w:lineRule="auto"/>
      </w:pPr>
      <w:r>
        <w:continuationSeparator/>
      </w:r>
    </w:p>
  </w:footnote>
  <w:footnote w:id="2">
    <w:p w:rsidR="008C766E" w:rsidRDefault="008C766E">
      <w:pPr>
        <w:pStyle w:val="a7"/>
      </w:pPr>
      <w:r>
        <w:rPr>
          <w:rStyle w:val="a9"/>
        </w:rPr>
        <w:footnoteRef/>
      </w:r>
      <w:r>
        <w:t xml:space="preserve"> </w:t>
      </w:r>
      <w:r w:rsidRPr="008C766E">
        <w:rPr>
          <w:rStyle w:val="citation"/>
          <w:rFonts w:ascii="Times New Roman" w:hAnsi="Times New Roman"/>
          <w:iCs/>
        </w:rPr>
        <w:t>Тит Лукреций Кар.</w:t>
      </w:r>
      <w:r w:rsidRPr="008C766E">
        <w:rPr>
          <w:rStyle w:val="citation"/>
          <w:rFonts w:ascii="Times New Roman" w:hAnsi="Times New Roman"/>
        </w:rPr>
        <w:t xml:space="preserve"> </w:t>
      </w:r>
      <w:hyperlink r:id="rId1" w:history="1">
        <w:r w:rsidRPr="008C766E">
          <w:rPr>
            <w:rStyle w:val="aa"/>
            <w:rFonts w:ascii="Times New Roman" w:hAnsi="Times New Roman"/>
            <w:color w:val="auto"/>
            <w:u w:val="none"/>
          </w:rPr>
          <w:t>Эпикур. Главные мысли. (31-40)</w:t>
        </w:r>
      </w:hyperlink>
      <w:r w:rsidRPr="008C766E">
        <w:rPr>
          <w:rStyle w:val="citation"/>
          <w:rFonts w:ascii="Times New Roman" w:hAnsi="Times New Roman"/>
        </w:rPr>
        <w:t xml:space="preserve"> // О природе вещей / Перевод и комментарии М. Л. Гаспарова. — М., 1983.</w:t>
      </w:r>
    </w:p>
  </w:footnote>
  <w:footnote w:id="3">
    <w:p w:rsidR="008C766E" w:rsidRDefault="008C766E">
      <w:pPr>
        <w:pStyle w:val="a7"/>
      </w:pPr>
      <w:r>
        <w:rPr>
          <w:rStyle w:val="a9"/>
        </w:rPr>
        <w:footnoteRef/>
      </w:r>
      <w:r>
        <w:t xml:space="preserve"> </w:t>
      </w:r>
      <w:r w:rsidRPr="008C766E">
        <w:rPr>
          <w:rFonts w:ascii="Times New Roman" w:hAnsi="Times New Roman"/>
        </w:rPr>
        <w:t>Вебер М. Протестантская этика и дух капитализма – М:Ист-Вью 2002 – 247 с. – с. 34</w:t>
      </w:r>
    </w:p>
  </w:footnote>
  <w:footnote w:id="4">
    <w:p w:rsidR="008C766E" w:rsidRDefault="008C766E">
      <w:pPr>
        <w:pStyle w:val="a7"/>
      </w:pPr>
      <w:r>
        <w:rPr>
          <w:rStyle w:val="a9"/>
        </w:rPr>
        <w:footnoteRef/>
      </w:r>
      <w:r>
        <w:t xml:space="preserve"> </w:t>
      </w:r>
      <w:hyperlink r:id="rId2" w:tooltip="Авторы жизнеописаний Августов" w:history="1">
        <w:r w:rsidRPr="008C766E">
          <w:rPr>
            <w:rStyle w:val="aa"/>
            <w:rFonts w:ascii="Times New Roman" w:hAnsi="Times New Roman"/>
            <w:iCs/>
            <w:color w:val="auto"/>
            <w:u w:val="none"/>
          </w:rPr>
          <w:t>Элий Лампридий</w:t>
        </w:r>
      </w:hyperlink>
      <w:r w:rsidRPr="008C766E">
        <w:rPr>
          <w:rStyle w:val="citation"/>
          <w:rFonts w:ascii="Times New Roman" w:hAnsi="Times New Roman"/>
          <w:iCs/>
        </w:rPr>
        <w:t>.</w:t>
      </w:r>
      <w:r w:rsidRPr="008C766E">
        <w:rPr>
          <w:rStyle w:val="citation"/>
          <w:rFonts w:ascii="Times New Roman" w:hAnsi="Times New Roman"/>
        </w:rPr>
        <w:t xml:space="preserve"> Антонин Гелиогабал // Властелины Рима: Биографии римских императоров от Адриана до Диоклетиана / Переводчики: </w:t>
      </w:r>
      <w:hyperlink r:id="rId3" w:tooltip="Доватур, Аристид Иванович" w:history="1">
        <w:r w:rsidRPr="008C766E">
          <w:rPr>
            <w:rStyle w:val="aa"/>
            <w:rFonts w:ascii="Times New Roman" w:hAnsi="Times New Roman"/>
            <w:color w:val="auto"/>
            <w:u w:val="none"/>
          </w:rPr>
          <w:t>Аристид Доватур</w:t>
        </w:r>
      </w:hyperlink>
      <w:r w:rsidRPr="008C766E">
        <w:rPr>
          <w:rStyle w:val="citation"/>
          <w:rFonts w:ascii="Times New Roman" w:hAnsi="Times New Roman"/>
        </w:rPr>
        <w:t>, С. Кондратьев. — СПб.: Алетейя, 2001. — С. 134-150. — 384 с. — (Античная библиотека. Античная история).</w:t>
      </w:r>
      <w:r>
        <w:rPr>
          <w:rStyle w:val="citation"/>
        </w:rPr>
        <w:t> </w:t>
      </w:r>
    </w:p>
  </w:footnote>
  <w:footnote w:id="5">
    <w:p w:rsidR="008C766E" w:rsidRDefault="008C766E">
      <w:pPr>
        <w:pStyle w:val="a7"/>
      </w:pPr>
      <w:r>
        <w:rPr>
          <w:rStyle w:val="a9"/>
        </w:rPr>
        <w:footnoteRef/>
      </w:r>
      <w:r>
        <w:t xml:space="preserve"> </w:t>
      </w:r>
      <w:hyperlink r:id="rId4" w:tooltip="Смагина, Евгения Борисовна" w:history="1">
        <w:r w:rsidRPr="008C766E">
          <w:rPr>
            <w:rStyle w:val="aa"/>
            <w:rFonts w:ascii="Times New Roman" w:hAnsi="Times New Roman"/>
            <w:iCs/>
            <w:color w:val="auto"/>
            <w:u w:val="none"/>
          </w:rPr>
          <w:t>Смагина, Е. Б.</w:t>
        </w:r>
      </w:hyperlink>
      <w:r w:rsidRPr="008C766E">
        <w:rPr>
          <w:rStyle w:val="citation"/>
          <w:rFonts w:ascii="Times New Roman" w:hAnsi="Times New Roman"/>
        </w:rPr>
        <w:t xml:space="preserve"> Манихейство: по ранним источникам. — М.: Вост. лит., 2011. — 519 с.</w:t>
      </w:r>
    </w:p>
  </w:footnote>
  <w:footnote w:id="6">
    <w:p w:rsidR="008C4A27" w:rsidRDefault="008C4A27">
      <w:pPr>
        <w:pStyle w:val="a7"/>
      </w:pPr>
      <w:r>
        <w:rPr>
          <w:rStyle w:val="a9"/>
        </w:rPr>
        <w:footnoteRef/>
      </w:r>
      <w:r>
        <w:t xml:space="preserve"> </w:t>
      </w:r>
      <w:hyperlink r:id="rId5" w:tooltip="Лосев, Алексей Фёдорович" w:history="1">
        <w:r w:rsidRPr="008C4A27">
          <w:rPr>
            <w:rStyle w:val="aa"/>
            <w:rFonts w:ascii="Times New Roman" w:hAnsi="Times New Roman"/>
            <w:iCs/>
            <w:color w:val="auto"/>
            <w:u w:val="none"/>
          </w:rPr>
          <w:t>Лосев А. Ф.</w:t>
        </w:r>
      </w:hyperlink>
      <w:r w:rsidRPr="008C4A27">
        <w:rPr>
          <w:rFonts w:ascii="Times New Roman" w:hAnsi="Times New Roman"/>
        </w:rPr>
        <w:t xml:space="preserve"> </w:t>
      </w:r>
      <w:hyperlink r:id="rId6" w:history="1">
        <w:r w:rsidRPr="008C4A27">
          <w:rPr>
            <w:rStyle w:val="aa"/>
            <w:rFonts w:ascii="Times New Roman" w:hAnsi="Times New Roman"/>
            <w:color w:val="auto"/>
            <w:u w:val="none"/>
          </w:rPr>
          <w:t>Гностицизм</w:t>
        </w:r>
      </w:hyperlink>
      <w:r w:rsidRPr="008C4A27">
        <w:rPr>
          <w:rFonts w:ascii="Times New Roman" w:hAnsi="Times New Roman"/>
        </w:rPr>
        <w:t xml:space="preserve"> / История Античной эстетики. Итоги тысячелетнего развития. — История античной эстетики, том VIII, книги I и II. М.: «Искусство», 1992, 1994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15704"/>
      <w:docPartObj>
        <w:docPartGallery w:val="Page Numbers (Top of Page)"/>
        <w:docPartUnique/>
      </w:docPartObj>
    </w:sdtPr>
    <w:sdtContent>
      <w:p w:rsidR="00B327E3" w:rsidRDefault="00B327E3">
        <w:pPr>
          <w:pStyle w:val="a3"/>
          <w:jc w:val="right"/>
        </w:pPr>
        <w:fldSimple w:instr=" PAGE   \* MERGEFORMAT ">
          <w:r w:rsidR="008C4A27">
            <w:rPr>
              <w:noProof/>
            </w:rPr>
            <w:t>4</w:t>
          </w:r>
        </w:fldSimple>
      </w:p>
    </w:sdtContent>
  </w:sdt>
  <w:p w:rsidR="00B327E3" w:rsidRDefault="00B327E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187568"/>
    <w:rsid w:val="00036A46"/>
    <w:rsid w:val="00187568"/>
    <w:rsid w:val="003A6901"/>
    <w:rsid w:val="003D2F61"/>
    <w:rsid w:val="00485E53"/>
    <w:rsid w:val="004E048A"/>
    <w:rsid w:val="00534FA3"/>
    <w:rsid w:val="00604864"/>
    <w:rsid w:val="006454AD"/>
    <w:rsid w:val="007C2A44"/>
    <w:rsid w:val="008A61F0"/>
    <w:rsid w:val="008C4A27"/>
    <w:rsid w:val="008C766E"/>
    <w:rsid w:val="008E43E7"/>
    <w:rsid w:val="00932A63"/>
    <w:rsid w:val="00A80487"/>
    <w:rsid w:val="00B327E3"/>
    <w:rsid w:val="00C41563"/>
    <w:rsid w:val="00D9764C"/>
    <w:rsid w:val="00E55BCB"/>
    <w:rsid w:val="00FC3B4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2A4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C2A44"/>
  </w:style>
  <w:style w:type="paragraph" w:styleId="a5">
    <w:name w:val="footer"/>
    <w:basedOn w:val="a"/>
    <w:link w:val="a6"/>
    <w:uiPriority w:val="99"/>
    <w:semiHidden/>
    <w:unhideWhenUsed/>
    <w:rsid w:val="007C2A44"/>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7C2A44"/>
  </w:style>
  <w:style w:type="paragraph" w:styleId="a7">
    <w:name w:val="footnote text"/>
    <w:basedOn w:val="a"/>
    <w:link w:val="a8"/>
    <w:uiPriority w:val="99"/>
    <w:semiHidden/>
    <w:unhideWhenUsed/>
    <w:rsid w:val="008C766E"/>
    <w:pPr>
      <w:spacing w:after="0" w:line="240" w:lineRule="auto"/>
    </w:pPr>
    <w:rPr>
      <w:sz w:val="20"/>
      <w:szCs w:val="20"/>
    </w:rPr>
  </w:style>
  <w:style w:type="character" w:customStyle="1" w:styleId="a8">
    <w:name w:val="Текст сноски Знак"/>
    <w:basedOn w:val="a0"/>
    <w:link w:val="a7"/>
    <w:uiPriority w:val="99"/>
    <w:semiHidden/>
    <w:rsid w:val="008C766E"/>
    <w:rPr>
      <w:sz w:val="20"/>
      <w:szCs w:val="20"/>
    </w:rPr>
  </w:style>
  <w:style w:type="character" w:styleId="a9">
    <w:name w:val="footnote reference"/>
    <w:basedOn w:val="a0"/>
    <w:uiPriority w:val="99"/>
    <w:semiHidden/>
    <w:unhideWhenUsed/>
    <w:rsid w:val="008C766E"/>
    <w:rPr>
      <w:vertAlign w:val="superscript"/>
    </w:rPr>
  </w:style>
  <w:style w:type="character" w:customStyle="1" w:styleId="citation">
    <w:name w:val="citation"/>
    <w:basedOn w:val="a0"/>
    <w:rsid w:val="008C766E"/>
  </w:style>
  <w:style w:type="character" w:styleId="aa">
    <w:name w:val="Hyperlink"/>
    <w:basedOn w:val="a0"/>
    <w:uiPriority w:val="99"/>
    <w:semiHidden/>
    <w:unhideWhenUsed/>
    <w:rsid w:val="008C766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2%D1%82%D0%BE%D1%80%D1%8B_%D0%B6%D0%B8%D0%B7%D0%BD%D0%B5%D0%BE%D0%BF%D0%B8%D1%81%D0%B0%D0%BD%D0%B8%D0%B9_%D0%90%D0%B2%D0%B3%D1%83%D1%81%D1%82%D0%BE%D0%B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ncientrome.ru/antlitr/t.htm?a=1358239035" TargetMode="External"/><Relationship Id="rId12" Type="http://schemas.openxmlformats.org/officeDocument/2006/relationships/hyperlink" Target="https://ru.wikipedia.org/wiki/%D0%A1%D0%BC%D0%B0%D0%B3%D0%B8%D0%BD%D0%B0,_%D0%95%D0%B2%D0%B3%D0%B5%D0%BD%D0%B8%D1%8F_%D0%91%D0%BE%D1%80%D0%B8%D1%81%D0%BE%D0%B2%D0%BD%D0%B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sylib.ukrweb.net/books/lose008/txt13.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u.wikipedia.org/wiki/%D0%9B%D0%BE%D1%81%D0%B5%D0%B2,_%D0%90%D0%BB%D0%B5%D0%BA%D1%81%D0%B5%D0%B9_%D0%A4%D1%91%D0%B4%D0%BE%D1%80%D0%BE%D0%B2%D0%B8%D1%87" TargetMode="External"/><Relationship Id="rId4" Type="http://schemas.openxmlformats.org/officeDocument/2006/relationships/webSettings" Target="webSettings.xml"/><Relationship Id="rId9" Type="http://schemas.openxmlformats.org/officeDocument/2006/relationships/hyperlink" Target="https://ru.wikipedia.org/wiki/%D0%94%D0%BE%D0%B2%D0%B0%D1%82%D1%83%D1%80,_%D0%90%D1%80%D0%B8%D1%81%D1%82%D0%B8%D0%B4_%D0%98%D0%B2%D0%B0%D0%BD%D0%BE%D0%B2%D0%B8%D1%87"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ru.wikipedia.org/wiki/%D0%94%D0%BE%D0%B2%D0%B0%D1%82%D1%83%D1%80,_%D0%90%D1%80%D0%B8%D1%81%D1%82%D0%B8%D0%B4_%D0%98%D0%B2%D0%B0%D0%BD%D0%BE%D0%B2%D0%B8%D1%87" TargetMode="External"/><Relationship Id="rId2" Type="http://schemas.openxmlformats.org/officeDocument/2006/relationships/hyperlink" Target="https://ru.wikipedia.org/wiki/%D0%90%D0%B2%D1%82%D0%BE%D1%80%D1%8B_%D0%B6%D0%B8%D0%B7%D0%BD%D0%B5%D0%BE%D0%BF%D0%B8%D1%81%D0%B0%D0%BD%D0%B8%D0%B9_%D0%90%D0%B2%D0%B3%D1%83%D1%81%D1%82%D0%BE%D0%B2" TargetMode="External"/><Relationship Id="rId1" Type="http://schemas.openxmlformats.org/officeDocument/2006/relationships/hyperlink" Target="http://ancientrome.ru/antlitr/t.htm?a=1358239035" TargetMode="External"/><Relationship Id="rId6" Type="http://schemas.openxmlformats.org/officeDocument/2006/relationships/hyperlink" Target="http://www.psylib.ukrweb.net/books/lose008/txt13.htm" TargetMode="External"/><Relationship Id="rId5" Type="http://schemas.openxmlformats.org/officeDocument/2006/relationships/hyperlink" Target="https://ru.wikipedia.org/wiki/%D0%9B%D0%BE%D1%81%D0%B5%D0%B2,_%D0%90%D0%BB%D0%B5%D0%BA%D1%81%D0%B5%D0%B9_%D0%A4%D1%91%D0%B4%D0%BE%D1%80%D0%BE%D0%B2%D0%B8%D1%87" TargetMode="External"/><Relationship Id="rId4" Type="http://schemas.openxmlformats.org/officeDocument/2006/relationships/hyperlink" Target="https://ru.wikipedia.org/wiki/%D0%A1%D0%BC%D0%B0%D0%B3%D0%B8%D0%BD%D0%B0,_%D0%95%D0%B2%D0%B3%D0%B5%D0%BD%D0%B8%D1%8F_%D0%91%D0%BE%D1%80%D0%B8%D1%81%D0%BE%D0%B2%D0%BD%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07FF8-7D57-4036-BE34-84E597965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1485</Words>
  <Characters>8469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FuckYouBill</dc:creator>
  <cp:keywords/>
  <dc:description/>
  <cp:lastModifiedBy>FuckYouBill</cp:lastModifiedBy>
  <cp:revision>7</cp:revision>
  <dcterms:created xsi:type="dcterms:W3CDTF">2015-11-03T13:58:00Z</dcterms:created>
  <dcterms:modified xsi:type="dcterms:W3CDTF">2015-11-03T16:39:00Z</dcterms:modified>
</cp:coreProperties>
</file>