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SPECIFICATIONS FOR RENOVATED HOMES 2017</w:t>
      </w:r>
    </w:p>
    <w:p w:rsidR="00000000" w:rsidDel="00000000" w:rsidP="00000000" w:rsidRDefault="00000000" w:rsidRPr="00000000" w14:paraId="00000002">
      <w:pPr>
        <w:pageBreakBefore w:val="0"/>
        <w:rPr/>
      </w:pPr>
      <w:r w:rsidDel="00000000" w:rsidR="00000000" w:rsidRPr="00000000">
        <w:rPr>
          <w:rtl w:val="0"/>
        </w:rPr>
        <w:t xml:space="preserve">IN CASE OF DISCREPANCY OWNER SPECIFICATIONS TAKE PRIORITY</w:t>
      </w:r>
    </w:p>
    <w:p w:rsidR="00000000" w:rsidDel="00000000" w:rsidP="00000000" w:rsidRDefault="00000000" w:rsidRPr="00000000" w14:paraId="00000003">
      <w:pPr>
        <w:pageBreakBefore w:val="0"/>
        <w:rPr/>
      </w:pPr>
      <w:r w:rsidDel="00000000" w:rsidR="00000000" w:rsidRPr="00000000">
        <w:rPr>
          <w:rtl w:val="0"/>
        </w:rPr>
        <w:t xml:space="preserve">DIVISION 1 1. Contractors responsible for State and local code compliance. 2. Contractor to verify all dimensions and site conditions. Report any discrepancies to Owner prior to beginning construction. 3. Do not scale drawings. 4. The Contractor will provide Owner with all permits and inspections, occupancy permit prior to final completion as well as a bonafide release of liens form with each subcontractorʼs signature. 5. All temporary utilities are the responsibility of the Contractor. 6. Contractor to use water-based caulk at all gaps between dissimilar materials in order to insure the buildings are weather tight. 7. Significant landscape elements determined by Owner will be protected and saved; remainder of the site to be cleared and graded. 8. Vegetation that is removed will be chipped and spread on-site as mulch where possible. 9. Contractor shall perform any testing in accord with guidelines and provide test results to Owner if applicable. (Northampton County) </w:t>
      </w:r>
    </w:p>
    <w:p w:rsidR="00000000" w:rsidDel="00000000" w:rsidP="00000000" w:rsidRDefault="00000000" w:rsidRPr="00000000" w14:paraId="00000004">
      <w:pPr>
        <w:pageBreakBefore w:val="0"/>
        <w:rPr/>
      </w:pPr>
      <w:r w:rsidDel="00000000" w:rsidR="00000000" w:rsidRPr="00000000">
        <w:rPr>
          <w:rtl w:val="0"/>
        </w:rPr>
        <w:t xml:space="preserve">DIVISION 2 SITE WORK 1. Minimize grading, balance cut-and-fill, avoid importing and exporting soil products. 2. Implement erosion control measures during construction. 3. General water usage: Clean and free from deleterious amounts of acid, alkali, salts, chemical pollutants, and organic matter 4. Engineered Fill: Use existing site material if available. Imported fill material shall be from closest available source. 5. Products: Slope Protection and Erosion Control: (When applicable) a. Erosion-control blanket: Natural fibers woven on biodegradable netting. b. Foundation and Subsurface Drainpipe: Plastic pipe: a HDPE plastic with recycled content as manufactured by ERS, Inc., (p 770-630-7530), or approved alternate. c. Filter Fabric: ProPex 4550 by Amoco or Geotex 451 by Synthetic Industries or approved alternate. d. Filter Material: #26 crushed stone, graded 3/4” minimum to 1-1/2” maximum, free-draining 6. Install products listed in accordance with manufacturerʼs printed instructions, and in conformance with the soils report for the Project if available; and applicable local codes. 7. Plan equipment access to minimize and confine soil disturbance and compaction to areas indicated on Drawings. 8. Sitework: Do not disturb topsoil and vegetation in areas outside those indicated on Drawings. 9. Protect trees, vegetation, and other designated features by erecting a high-visibility, reusable construction fence when required by owner. Limit access of people, equipment, and supplies inside fencing. Locate fencing no closer to trees than the drip line. 10. Provide soil erosion and sedimentation control and seeding to protect slopes in accordance with the Virginia Soil Erosion and Sedimentation Control Handbook. 11. Strip topsoil to required depth only in areas to be excavated either for pile foundations or spread footings. Stockpile topsoil for reuse in the area designated by the Owner. Cover pile with polyethylene tarp and weight edges to ensure secure protection of soil. Conduct rough grading as indicated on the drawings. (When applicable) 12. Provide virgin soil bearing condition below frost for all footings. Where virgin soil is not achievable, Contractor shall provide suitable compacted fill as certified by qualified geotechnical engineer. The Contractor shall also provide suitable bearing for all concrete slabs. 13. Provide temporary foundation dewatering measures as required. 14. The Contractor shall be responsible for all required piping and utilities connections (water, septic, electric, telephone, etc) to building. 15. The Contractor shall be responsible for maintaining construction drive(s) during construction. 16. The Owner shall pay reasonable costs incurred by the Contractor as a result of subsurface rock removal, unexpectedly high water table, or other work required to correct unanticipated subsurface conditions. The Contractor shall notify the Owner of the existence of such conditions prior to proceeding with any such work. If geotechnical surveys are required, the Owner shall bear the cost. </w:t>
      </w:r>
    </w:p>
    <w:p w:rsidR="00000000" w:rsidDel="00000000" w:rsidP="00000000" w:rsidRDefault="00000000" w:rsidRPr="00000000" w14:paraId="00000005">
      <w:pPr>
        <w:pageBreakBefore w:val="0"/>
        <w:rPr/>
      </w:pPr>
      <w:r w:rsidDel="00000000" w:rsidR="00000000" w:rsidRPr="00000000">
        <w:rPr>
          <w:rtl w:val="0"/>
        </w:rPr>
        <w:t xml:space="preserve">DIVISION 3 CONCRETE 1. Provide 4” concrete slabs as indicated with 6 x 6 x 1.4/1.4 WWF or with fiberglass reinforcement as approved by Owner. Compressive strength at 28 days shall be 3,500 PSI. The Contractor shall provide slab isolation (bond breaker), control, and expansion joints as required to minimize cracking. Use Homex 300 as manufactured by Homasote, Inc., for all joint applications. 2. Provide continuous strip footings as indicated on drawings, concrete to be 3,500 PSI with (2) # 4 rebar on rebar chairs. Footing to be on undisturbed soil, step footing as required. Soil bearing pressure is assumed to be 2000 PSF. 3. OPTION: Flyash: Up to a maximum of 30% by volume flyash shall be used in lieu of portland cement for concrete mixtures. Flyash for use in portland cement concrete shall conform to the requirements of ASTM C 618, Standard Specification for Flyash and Raw or Calcined Natural Pozzolan Class C Flyash for use as a Mineral Admixture in Portland Cement. Specifically, it shall conform to all requirements of Table 1 and Table 2 as outlined therein. The concrete supplier shall furnish a notarized certificate from the flyash marketer at the time of submittal of concrete mix designs for approval indicating conformance with these requirements. Also, a copy of the most recent chemical analysis shall be provided. At no time during the course of the project will a change of flyash source (plant) be permitted without the prior written consent of a professional Engineer. For sulfate environments, only Class F flyash will be permitted and under no circumstances will Class C flyash be used.</w:t>
      </w:r>
    </w:p>
    <w:p w:rsidR="00000000" w:rsidDel="00000000" w:rsidP="00000000" w:rsidRDefault="00000000" w:rsidRPr="00000000" w14:paraId="00000006">
      <w:pPr>
        <w:pageBreakBefore w:val="0"/>
        <w:rPr/>
      </w:pPr>
      <w:r w:rsidDel="00000000" w:rsidR="00000000" w:rsidRPr="00000000">
        <w:rPr>
          <w:rtl w:val="0"/>
        </w:rPr>
        <w:t xml:space="preserve">DIVISION 4 MASONRY 1. All masonry walls of residence to be constructed of lightweight sand and gravel concrete masonry units (CMU). Hollow load bearing units ASTMC-90, type 1, Grade G or P. 2. Block walls shall have continuous horizontal joint reinforcement (Dur-a-wall or equivalent) every other course vertically on foundations above 2ʼ in height. 3. Brick to be selected by owner. </w:t>
      </w:r>
    </w:p>
    <w:p w:rsidR="00000000" w:rsidDel="00000000" w:rsidP="00000000" w:rsidRDefault="00000000" w:rsidRPr="00000000" w14:paraId="00000007">
      <w:pPr>
        <w:pageBreakBefore w:val="0"/>
        <w:rPr/>
      </w:pPr>
      <w:r w:rsidDel="00000000" w:rsidR="00000000" w:rsidRPr="00000000">
        <w:rPr>
          <w:rtl w:val="0"/>
        </w:rPr>
        <w:t xml:space="preserve">DIVISION 6 WOODS &amp; PLASTICS 1. Structural framing, blocking and studs shall be No. 2 or better Southern Yellow Pine (19% max. moisture content, fb= 1200, E= 1,600,000), unless noted otherwise. Lumber pieces which exhibit excessive warping, twisting or bowing are to be excluded and utilized where feasible as blocking or otherwise appropriate or advantageous. 2. Provide engineered wood floor joists as manufactured by Weyerhauser, Georgia Pacific or approved alternative, sizes as indicated on drawings. 3. Laminated Veneer Lumber (LVL's): 1 Description: Engineered wood members fabricated from wood veneers and exterior adhesives, laminated under pressure; complying with ASTM D2559. 2 Provide members of dimensions, and with minimum stress levels (fb= 2850, E= 2,000,000), or as indicated on Drawings. 3 Acceptable manufacturers and products: i. Weyerhauser/TruJoist (MicroLam); ii. Georgia Pacific; 4. Roof Sheathing: 1/2” unless indicated otherwise. 5. Wall Sheathing: 7/16” unless indicated otherwise. 6. Framer to lay out work carefully. Cut materials to fit; level, plumb, and brace to hold work in proper position. 7. Unless otherwise indicated, install wood studs on 24” spacing. Unless otherwise noted, use ʻstackʼ or ʻin-lineʼ framing method (studs align with rafters/ joists above and below). 8. Provide single sill (bottom) plate and single top plate at all load bearing walls; use single top plate at all non-load bearing partitions, unless otherwise indicated or approved by Owner. 9. Exterior trim shall be Azek, Miratek or owner approved alternative. 10. All wood in contact w/ concrete slabs or within 18” of grade shall be pressure treated. 11. Termite Treatment: On wood structural elements use Bora-Care treatment as manufacturer by Nisus Corporation or approved alternative. 12. Provide supplementary support and/or framing at all lighting fixtures, bathtubs, soffits, etc. 13. Contractor responsible for obtaining owner approved shop drawings for all truss configurations. 14. Attic access panel shall be insulated to R-30 with rigid foam board. 15. All exterior sheathing to be 7/16” OSB sheathing unless otherwise approved by owner. 16. All exterior nails shall be hot-dipped galvanized to meet ASTM A 153 Class D. When used in contact with treated lumber, metal connectors shall be USP Triple Zinc G-185, or approved alternative. 17. Covered porch flooring: Trex Transcend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DIVISION 7 THERMAL &amp; MOISTURE PROTECTION 1. Insulation A. Exterior Walls: full damp spray cellulose, per wall cavity depth. OPTIONAL: ½” expanding closed cell foam air seal by Icynene or approved alternative. B. Roof: R-38, loose-fill cellulose insulation. No fiberglass batts on exterior walls. Formaldehyde free fiberglass batts may be used on interior walls for soundproofing, by Johns Manville, Owens Corning or approved alternative. 2. Siding to be pre-painted “HardiPlank” (smooth finish) unless another siding material is approved by owner. 3. Insulation to include caulk and seal package to fill all holes / cracks in outside walls, unless full exterior foam air seal option is taken. 4. New homes to be built to meet EPAʼs 5-star energy efficiency standards. 5. Vapor barrier shall be 6 mil. polyethylene sheet with 12” to 24” lapped and sealed seams at ground in crawl 6. Sill gasket seal: polyethylene foam as manufactured by Dow Styrofoam, .25” x 5.5” or as otherwise indicated on the Drawings. 7. Seal all gaps at wall penetrations, around exterior door and window jambs with closed cell urethane foam sealant. 8.</w:t>
      </w:r>
      <w:r w:rsidDel="00000000" w:rsidR="00000000" w:rsidRPr="00000000">
        <w:rPr>
          <w:rtl w:val="0"/>
        </w:rPr>
        <w:t xml:space="preserve"> Schluter KERDI system or equivalent to be used beneath all tiling.</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SECTION 8 DOORS &amp; WINDOWS 1. Tempered glass shall be installed in all hazardous locations per code and as indicated on plans. 2. Simulated divided lites (vertical pattern) windows to be Silverline, w/ low e glass, pre-finished white w/ insect screens on all operable units unless specified otherwise on window schedule. All units shall carry an NFRC label and have U-factors of not more than .35 and an SHGC of .40 or less. 3. All new interior doors to be formed four panel doors. Exterior doors to be 4 panel, standard residential height and thickness, insulated core, unless specified otherwise on plans. 4. Hardware by “Schlage” or equal. Provide privacy locks at all bedrooms and bathrooms. Provide passage hardware at all other locations. 5. Contractor shall be solely responsible for fit and coordination of window sizes with framing. Costs associated with redesign due to window substitution shall be borne solely by the Contractor. Window installation shall be coordinated with details on the drawings and installation methods desired by the Contractor to assure proper fit and function. 6. Window supplier shall be responsible for the provision of features such as tempered glass to ensure compliance with requirements of governing laws, codes and ordinances. Ensure that egress requirements are met where applicable. 7. Window supplier shall provide non-prorated warranty for the repair and/or replacement of defective materials, including parts, glazing, and workmanship to the fullest extent of standard product warranty. All window and door units are to be included under this warranty. </w:t>
      </w:r>
    </w:p>
    <w:p w:rsidR="00000000" w:rsidDel="00000000" w:rsidP="00000000" w:rsidRDefault="00000000" w:rsidRPr="00000000" w14:paraId="0000000B">
      <w:pPr>
        <w:pageBreakBefore w:val="0"/>
        <w:rPr/>
      </w:pPr>
      <w:r w:rsidDel="00000000" w:rsidR="00000000" w:rsidRPr="00000000">
        <w:rPr>
          <w:rtl w:val="0"/>
        </w:rPr>
        <w:t xml:space="preserve">SECTION 9 FINISHES 1. Drywall shall be as manufactured by Temple (800-231-6060) ASTM C1396, certified recycled material, USG or owner approved alternative. Drywall shall be screwed with bugle-head screws to framing per manufacturerʼs recommendations. Finish joints and screws with three coats (min) joint compound and sand smooth. Install metal corner bead at outside corners, tape inside corners and intersection of boards. Thicknesses to be as indicated on the Drawings. 2. Painting: A. Exterior wood trim and Exterior Doors: Paint: semi-gloss enamel latex or approved equal. One coat primer. One coat finish. Tint primer to match finish. B. Exterior siding: Pre-painted Hardiplank to be caulked and touched up as needed. 3. Interior Walls and All Ceilings: Use flat latex, low VOC in “Dove wing”, or approved equal. One coat primer, one coat finish. Tint primer to match finish coat. 4. Interior Wood Trim: Wood trim to receive semi-gloss latex Enamel in white, low VOC or approved equal. One coat primer, one coat finish. 5. Bathrooms: Use semi-gloss latex enamel for walls, low VOC in “Dove wing” , or approved equal. One coat primer, one coat finish. Tint primer to match finish coat. 6. Vinyl flooring by “Armstrong” or equal builder grade as selected by owner. 7. Carpet and pad to meet VHDA requirements. Carpet by “Shaw” or equal as selected and approved by owner. Carpet to be Carpet and Rug Institute Green Label. 8. Floor, wall, and ceiling finishes shall extend over, under or behind any item of equipment, furniture, etc. 9. Contractor shall provide and install mini-blinds properly fitted to be interior mounted at each window. </w:t>
      </w:r>
    </w:p>
    <w:p w:rsidR="00000000" w:rsidDel="00000000" w:rsidP="00000000" w:rsidRDefault="00000000" w:rsidRPr="00000000" w14:paraId="0000000C">
      <w:pPr>
        <w:pageBreakBefore w:val="0"/>
        <w:rPr/>
      </w:pPr>
      <w:r w:rsidDel="00000000" w:rsidR="00000000" w:rsidRPr="00000000">
        <w:rPr>
          <w:rtl w:val="0"/>
        </w:rPr>
        <w:t xml:space="preserve">SECTION 10 SPECIALTIES Provide bathroom accessories by “Bradley” or equal. Each full bathroom to have one white 24” towel bar. Half bath to have one white 18” towel bar. Each bath to have one toilet paper holder in white. Provide accessories including house numbers &amp; peep hole and locking mail box. Accessories provided are “as equal” builder grade. Sealants and adhesives to be water based, no urea formaldehyde based products. </w:t>
      </w:r>
    </w:p>
    <w:p w:rsidR="00000000" w:rsidDel="00000000" w:rsidP="00000000" w:rsidRDefault="00000000" w:rsidRPr="00000000" w14:paraId="0000000D">
      <w:pPr>
        <w:pageBreakBefore w:val="0"/>
        <w:rPr/>
      </w:pPr>
      <w:r w:rsidDel="00000000" w:rsidR="00000000" w:rsidRPr="00000000">
        <w:rPr>
          <w:rtl w:val="0"/>
        </w:rPr>
        <w:t xml:space="preserve">SECTION 11 EQUIPMENT All equipment to be installed and provided by contractor. All appliances (except dryer) to be Energy Star rated. Equipment includes: 1/2HP Disposer — GE/Hotpoint or equal Dishwasher — 24” Frigidaire Model # FDB750RCS or owner approved equal Range — 30” Frigidaire Model # FEF326AS or owner approved equal Range hood — Broan Combination light/exhaust fans from each bathroom to exterior. ! ! Refrigerator — by others. </w:t>
      </w:r>
    </w:p>
    <w:p w:rsidR="00000000" w:rsidDel="00000000" w:rsidP="00000000" w:rsidRDefault="00000000" w:rsidRPr="00000000" w14:paraId="0000000E">
      <w:pPr>
        <w:pageBreakBefore w:val="0"/>
        <w:rPr/>
      </w:pPr>
      <w:r w:rsidDel="00000000" w:rsidR="00000000" w:rsidRPr="00000000">
        <w:rPr>
          <w:rtl w:val="0"/>
        </w:rPr>
        <w:t xml:space="preserve">SECTION 12 CASEWORK Kitchen cabinets and bathroom vanities are “Merrillat” by Reico, Kraftmaid formaldehyde-free or approved alternative to meet VHDA standards. Exposed pressboard surfaces to be sealed with a lowVOC sealer by cabinet manufacturer. Provide laminate countertops with 4” backsplash and rolled front edge. Contractor to provide all necessary ductwork, electrical junctions, wiring, and plumbing work for all appliances shown on plan.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SECTION 15 MECHANICAL 1. Plumbing A. Sewer and water lines. DWV type PVC, 50 LF maximum, no tap fee included. B. All under cabinet plumbing to be ABS or approved alternative. Toilets to be low flow at 1.28 gallons/minute, builder grade or equal in white. Substitutions must be approved by Owner prior to installation. C. Bathroom sinks to be builder grade or equal. Substitutions must be approved by Owner prior to installation. Supply lines to be PEX, for all applications D. Lavatory faucets to be low flow at 2.0 gallons per minute, chrome finish. Substitutions must be approved by Owner prior to installation. E. Tub and shower faucets to be low flow at 2.0 gallons per minute, chrome finish. Substitutions must be approved by Owner prior to installation. F. Kitchen sink faucet with built-in sprayer to be low flow at 2.0 gallons per minute, chrome finish. G. Kitchen sink to be 8” deep, Sterling model #14708 double bowl. Contractor responsible for providing all necessary connections and fittings for all fixtures. H. Contractor to be responsible for locating and tying into all utility laterals. I. Provide 40 to 50 gallon “Energy Smart” Electric Water Heater with drain pan, if possible. Unit performance shall be 0.92 EF minimum. J. Escutcheon and seal around every pipe penetration at walls. 2. Mechanical: A. Heat pumps shall have variable speed air handling have a minimum HSPF of 7.7 and SEER 14. As per ACCA and ASHRAE guidelines, unit shall be sized within 2,000 btu/h and 10,000 btu/h of calculated load for cooling and heating respectively; final sizing of unit shall be based on whole house energy modeling. Return air volume shall be 120% of supply capacity and not be open directly to any living space; distance between air handling unit and return diffuser shall be 5 feet minimum and shall include at least one elbow. HVAC design parameters: • Summer Outside Cooling: 94°F - 50% relative humidity • Summer Inside Conditions: 75 °F • Winter Outside Heating: 6 °F • Winter Inside Conditions: 70 °F B. Contractor is responsible for providing and installing all necessary ducting of equipment to exterior including exhaust fans, range hoods, dryers, etc. Bath exhaust fan/lights to be Energy Star rated. C. All ductwork shall be fabricated of galvanized sheet metal and shall comply with ACCA manual D guidelines. Return air volume shall be 120% of supply capacity and not be open directly to any living space; distance between air handling unit and return diffuser shall be 5 feet minimum and shall include at least one elbow. D. To the maximum extent feasible, all duct sections shall be round. Only the final 5 feet of run-outs will be permitted to have “flex” type ducting. Insulate ducts w/ R6 fiberglass in ʻunconditionedʼ spaces. Ductwork shall be sealed with water-based duct mastic. E. System shall have digital, programmable thermostat and secondary sensors, location(s) as indicated on the Drawings. F. All bathroom exhaust ducts shall be round galvanized material and sloped (1/8” per foot) to the nearest exterior outlet. G. Contractor responsible for sealing mechanical ducts with water-based mastic (not tape) at all seams. H. All ducting to be done in compliance with ownersupplied energy model. I. Dryer vent must go down and out. J. Variable speed air handler to be located within conditioned space, and wired for continuous use. K. Per ASHRAE 62.2. Standard, ventilation and air mixing shall be accomplished with a centrally controlled AirCycler (www.aircycler.com). Final selection shall be based on actual infiltration rate as determined by certified blower door test. L. Exhaust fans are to be Energy Star and moisturerated, high-quality, low-noise units (2.0 sones max. for 75 cfm or less and 1.5 sones for units greater than 76 cfm), such as manufactured by Panasonic or approved alternate. </w:t>
      </w:r>
    </w:p>
    <w:p w:rsidR="00000000" w:rsidDel="00000000" w:rsidP="00000000" w:rsidRDefault="00000000" w:rsidRPr="00000000" w14:paraId="00000011">
      <w:pPr>
        <w:pageBreakBefore w:val="0"/>
        <w:rPr/>
      </w:pPr>
      <w:r w:rsidDel="00000000" w:rsidR="00000000" w:rsidRPr="00000000">
        <w:rPr>
          <w:rtl w:val="0"/>
        </w:rPr>
        <w:t xml:space="preserve">SECTION 16 ELECTRICAL 1. Provide new 200 amp service. Electrician is responsible for providing electrical hook-ups to all equipment indicated on plans. 2. Electrician shall install door bell, CAT 5 telephone (5) and cable TV wiring (5), junction boxes and covers. 3. Electrician responsible for verifying code compliance prior to contract. 4. Security alarm by others. Notify owner when electrician is wiring so owner can coordinate security system wiring. 5. All ceiling light boxes should be fan boxes w/ bracing in bedrooms, living room, family room, and kitchen w/ wiring provided for separate light and fan control. 6. All bedrooms circuits must have arc-fault breakers. 7. Verify all TV locations with owner prior to installation. 8. Exterior flood light w/ motion sensor to be installed at upper rear of house, wired to switch in kitchen. 9. No recessed lights are to be installed in insulated ceilings. 10. Compact fluorescent lamps shall be installed in overhead ceiling light fixtures in all rooms except kitchen, bathrooms, and dining chandelier. Provide Bright Effects Compact Fluorescent 15 Watt bulb (60 Watt equivalent) with a traditional lamp appearance, Loweʼs item # 82382 NOTES Construction and demolition waste to be re-cycled or reused to the maximum extent possible. Any excess materials shall either be donated to Habitat Restore or saved for subsequent construction of new housing units. All framing materials shall be stored above grade and completely covered by tarpaulins as required to protect from rain water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