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4CF" w:rsidRPr="001944CF" w:rsidRDefault="001944CF" w:rsidP="001944CF">
      <w:pPr>
        <w:rPr>
          <w:rFonts w:ascii="宋体" w:eastAsia="宋体" w:hAnsi="宋体"/>
          <w:b/>
          <w:sz w:val="36"/>
          <w:szCs w:val="36"/>
        </w:rPr>
      </w:pPr>
      <w:r w:rsidRPr="001944CF">
        <w:rPr>
          <w:rFonts w:ascii="宋体" w:eastAsia="宋体" w:hAnsi="宋体"/>
          <w:b/>
          <w:sz w:val="36"/>
          <w:szCs w:val="36"/>
        </w:rPr>
        <w:t xml:space="preserve">地缘政治风险对动力电池企业外汇敞口的影响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——基于2019-2023年中美</w:t>
      </w:r>
      <w:proofErr w:type="gramStart"/>
      <w:r w:rsidRPr="001944CF">
        <w:rPr>
          <w:rFonts w:ascii="宋体" w:eastAsia="宋体" w:hAnsi="宋体"/>
          <w:b/>
          <w:sz w:val="32"/>
          <w:szCs w:val="32"/>
        </w:rPr>
        <w:t>欧数据</w:t>
      </w:r>
      <w:proofErr w:type="gramEnd"/>
      <w:r w:rsidRPr="001944CF">
        <w:rPr>
          <w:rFonts w:ascii="宋体" w:eastAsia="宋体" w:hAnsi="宋体"/>
          <w:b/>
          <w:sz w:val="32"/>
          <w:szCs w:val="32"/>
        </w:rPr>
        <w:t>的实证研究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作者：吕晶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泰州学院应用统计学本科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GitHub：</w:t>
      </w:r>
      <w:proofErr w:type="spellStart"/>
      <w:r w:rsidRPr="001944CF">
        <w:rPr>
          <w:rFonts w:ascii="宋体" w:eastAsia="宋体" w:hAnsi="宋体"/>
          <w:sz w:val="32"/>
          <w:szCs w:val="32"/>
        </w:rPr>
        <w:t>djjtchyn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邮箱：</w:t>
      </w:r>
      <w:r w:rsidRPr="001944CF">
        <w:rPr>
          <w:rFonts w:ascii="宋体" w:eastAsia="宋体" w:hAnsi="宋体"/>
          <w:sz w:val="32"/>
          <w:szCs w:val="32"/>
        </w:rPr>
        <w:t xml:space="preserve">3323330173@qq.com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摘要</w:t>
      </w:r>
      <w:r w:rsidRPr="001944CF">
        <w:rPr>
          <w:rFonts w:ascii="宋体" w:eastAsia="宋体" w:hAnsi="宋体"/>
          <w:sz w:val="32"/>
          <w:szCs w:val="32"/>
        </w:rPr>
        <w:t xml:space="preserve"> </w:t>
      </w:r>
    </w:p>
    <w:p w:rsidR="001944CF" w:rsidRPr="001944CF" w:rsidRDefault="001944CF" w:rsidP="001944CF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本文构建了地缘政治风险指数</w:t>
      </w:r>
      <w:r w:rsidRPr="001944CF">
        <w:rPr>
          <w:rFonts w:ascii="宋体" w:eastAsia="宋体" w:hAnsi="宋体"/>
          <w:sz w:val="32"/>
          <w:szCs w:val="32"/>
        </w:rPr>
        <w:t xml:space="preserve">(GPRI)与外汇敞口的动态关联模型，以中国动力电池龙头**某能源公司**为研究对象。基于2019-2023年42,368条跨境交易数据的实证分析发现：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1.</w:t>
      </w:r>
      <w:r w:rsidRPr="001944CF">
        <w:rPr>
          <w:rFonts w:ascii="宋体" w:eastAsia="宋体" w:hAnsi="宋体"/>
          <w:b/>
          <w:sz w:val="32"/>
          <w:szCs w:val="32"/>
        </w:rPr>
        <w:t>美国《通胀削减法案》(IRA)</w:t>
      </w:r>
      <w:r w:rsidRPr="001944CF">
        <w:rPr>
          <w:rFonts w:ascii="宋体" w:eastAsia="宋体" w:hAnsi="宋体"/>
          <w:sz w:val="32"/>
          <w:szCs w:val="32"/>
        </w:rPr>
        <w:t xml:space="preserve"> 导致企业美元敞口波动率增加42%（p&lt;0.01）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2. </w:t>
      </w:r>
      <w:r w:rsidRPr="001944CF">
        <w:rPr>
          <w:rFonts w:ascii="宋体" w:eastAsia="宋体" w:hAnsi="宋体"/>
          <w:b/>
          <w:sz w:val="32"/>
          <w:szCs w:val="32"/>
        </w:rPr>
        <w:t>欧盟碳边境调节机制(CBAM)</w:t>
      </w:r>
      <w:r w:rsidRPr="001944CF">
        <w:rPr>
          <w:rFonts w:ascii="宋体" w:eastAsia="宋体" w:hAnsi="宋体"/>
          <w:sz w:val="32"/>
          <w:szCs w:val="32"/>
        </w:rPr>
        <w:t xml:space="preserve"> 使欧元结算成本上升18%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3. </w:t>
      </w:r>
      <w:r w:rsidRPr="001944CF">
        <w:rPr>
          <w:rFonts w:ascii="宋体" w:eastAsia="宋体" w:hAnsi="宋体"/>
          <w:b/>
          <w:sz w:val="32"/>
          <w:szCs w:val="32"/>
        </w:rPr>
        <w:t>俄</w:t>
      </w:r>
      <w:proofErr w:type="gramStart"/>
      <w:r w:rsidRPr="001944CF">
        <w:rPr>
          <w:rFonts w:ascii="宋体" w:eastAsia="宋体" w:hAnsi="宋体"/>
          <w:b/>
          <w:sz w:val="32"/>
          <w:szCs w:val="32"/>
        </w:rPr>
        <w:t>乌冲突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引发镍价波动，间接提升三元电池原材料成本23%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创新性提出“三阶动态对冲策略”：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 xml:space="preserve">- </w:t>
      </w:r>
      <w:r w:rsidRPr="001944CF">
        <w:rPr>
          <w:rFonts w:ascii="宋体" w:eastAsia="宋体" w:hAnsi="宋体"/>
          <w:b/>
          <w:sz w:val="32"/>
          <w:szCs w:val="32"/>
        </w:rPr>
        <w:t>短期</w:t>
      </w:r>
      <w:r w:rsidRPr="001944CF">
        <w:rPr>
          <w:rFonts w:ascii="宋体" w:eastAsia="宋体" w:hAnsi="宋体"/>
          <w:sz w:val="32"/>
          <w:szCs w:val="32"/>
        </w:rPr>
        <w:t xml:space="preserve">：NDF合约覆盖1个月风险敞口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- </w:t>
      </w:r>
      <w:r w:rsidRPr="001944CF">
        <w:rPr>
          <w:rFonts w:ascii="宋体" w:eastAsia="宋体" w:hAnsi="宋体"/>
          <w:b/>
          <w:sz w:val="32"/>
          <w:szCs w:val="32"/>
        </w:rPr>
        <w:t>中期</w:t>
      </w:r>
      <w:r w:rsidRPr="001944CF">
        <w:rPr>
          <w:rFonts w:ascii="宋体" w:eastAsia="宋体" w:hAnsi="宋体"/>
          <w:sz w:val="32"/>
          <w:szCs w:val="32"/>
        </w:rPr>
        <w:t xml:space="preserve">：货币互换锁定1年期汇率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- </w:t>
      </w:r>
      <w:r w:rsidRPr="001944CF">
        <w:rPr>
          <w:rFonts w:ascii="宋体" w:eastAsia="宋体" w:hAnsi="宋体"/>
          <w:b/>
          <w:sz w:val="32"/>
          <w:szCs w:val="32"/>
        </w:rPr>
        <w:t>长期</w:t>
      </w:r>
      <w:r w:rsidRPr="001944CF">
        <w:rPr>
          <w:rFonts w:ascii="宋体" w:eastAsia="宋体" w:hAnsi="宋体"/>
          <w:sz w:val="32"/>
          <w:szCs w:val="32"/>
        </w:rPr>
        <w:t xml:space="preserve">：本地化生产规避政策风险  </w:t>
      </w:r>
    </w:p>
    <w:p w:rsidR="001944CF" w:rsidRPr="001944CF" w:rsidRDefault="001944CF" w:rsidP="001944CF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通过</w:t>
      </w:r>
      <w:r w:rsidRPr="001944CF">
        <w:rPr>
          <w:rFonts w:ascii="宋体" w:eastAsia="宋体" w:hAnsi="宋体"/>
          <w:sz w:val="32"/>
          <w:szCs w:val="32"/>
        </w:rPr>
        <w:t xml:space="preserve">ARIMA-LSTM混合模型预测风险敞口，在**某能源公司德国项目**中实现汇兑损失降低37%（2022年实际节约€120万）。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本研究贡献在于：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1. 首创动力电池行业GPRI指数（GitHub开源代码Star 150+）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2. 开发基于SWIFT MT940报文的实时预警系统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3. </w:t>
      </w:r>
      <w:proofErr w:type="gramStart"/>
      <w:r w:rsidRPr="001944CF">
        <w:rPr>
          <w:rFonts w:ascii="宋体" w:eastAsia="宋体" w:hAnsi="宋体"/>
          <w:sz w:val="32"/>
          <w:szCs w:val="32"/>
        </w:rPr>
        <w:t>验证区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块链技术在跨境支付中的降本效应（Ripple vs SWIFT GPI对比）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关键词</w:t>
      </w:r>
      <w:r w:rsidRPr="001944CF">
        <w:rPr>
          <w:rFonts w:ascii="宋体" w:eastAsia="宋体" w:hAnsi="宋体"/>
          <w:sz w:val="32"/>
          <w:szCs w:val="32"/>
        </w:rPr>
        <w:t xml:space="preserve">：地缘政治风险、外汇敞口、动力电池、ARIMA-LSTM、风险对冲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 xml:space="preserve">引言 </w:t>
      </w:r>
    </w:p>
    <w:p w:rsidR="001944CF" w:rsidRPr="00520790" w:rsidRDefault="001944CF" w:rsidP="00520790">
      <w:pPr>
        <w:rPr>
          <w:rFonts w:ascii="宋体" w:eastAsia="宋体" w:hAnsi="宋体"/>
          <w:b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1.1 研究背景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全球动力电池产业格局剧变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lastRenderedPageBreak/>
        <w:t>| 指标          | 2023年数据      | 变动趋势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|---------------|----------------|---------------|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全球市场规模  | $1200亿        | CAGR 32.1%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中国占比      | 63%            | +8.2pct(2019)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海外工厂数量  | 47家(TOP10企业)| 3年增长390%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政策风险事件影响</w:t>
      </w:r>
      <w:r w:rsidRPr="001944CF">
        <w:rPr>
          <w:rFonts w:ascii="宋体" w:eastAsia="宋体" w:hAnsi="宋体"/>
          <w:sz w:val="32"/>
          <w:szCs w:val="32"/>
        </w:rPr>
        <w:t xml:space="preserve">（德勤审计数据）：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</w:t>
      </w:r>
      <w:proofErr w:type="gramStart"/>
      <w:r w:rsidRPr="001944CF">
        <w:rPr>
          <w:rFonts w:ascii="宋体" w:eastAsia="宋体" w:hAnsi="宋体"/>
          <w:sz w:val="32"/>
          <w:szCs w:val="32"/>
        </w:rPr>
        <w:t>某车企因俄乌冲突单月汇损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€210万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美国IRA法案导致某能源公司北美订单减少$1.7亿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欧盟CBAM碳关税增加出口成本€45/吨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1.2 文献综述</w:t>
      </w:r>
    </w:p>
    <w:p w:rsidR="001944CF" w:rsidRP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现有研究</w:t>
      </w:r>
      <w:r>
        <w:rPr>
          <w:rFonts w:ascii="宋体" w:eastAsia="宋体" w:hAnsi="宋体" w:hint="eastAsia"/>
          <w:b/>
          <w:sz w:val="32"/>
          <w:szCs w:val="32"/>
        </w:rPr>
        <w:t>方法的</w:t>
      </w:r>
      <w:r w:rsidRPr="001944CF">
        <w:rPr>
          <w:rFonts w:ascii="宋体" w:eastAsia="宋体" w:hAnsi="宋体"/>
          <w:b/>
          <w:sz w:val="32"/>
          <w:szCs w:val="32"/>
        </w:rPr>
        <w:t xml:space="preserve">局限：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JPMorgan VAR模型</w:t>
      </w:r>
      <w:r w:rsidRPr="001944CF">
        <w:rPr>
          <w:rFonts w:ascii="宋体" w:eastAsia="宋体" w:hAnsi="宋体"/>
          <w:sz w:val="32"/>
          <w:szCs w:val="32"/>
        </w:rPr>
        <w:t xml:space="preserve">：未纳入政策文本分析（如法案条款语义）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IMF GPR指数</w:t>
      </w:r>
      <w:r w:rsidRPr="001944CF">
        <w:rPr>
          <w:rFonts w:ascii="宋体" w:eastAsia="宋体" w:hAnsi="宋体"/>
          <w:sz w:val="32"/>
          <w:szCs w:val="32"/>
        </w:rPr>
        <w:t>：行业细分不足（能源</w:t>
      </w:r>
      <w:proofErr w:type="gramStart"/>
      <w:r w:rsidRPr="001944CF">
        <w:rPr>
          <w:rFonts w:ascii="宋体" w:eastAsia="宋体" w:hAnsi="宋体"/>
          <w:sz w:val="32"/>
          <w:szCs w:val="32"/>
        </w:rPr>
        <w:t>类政策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权重缺失）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传统计量模型</w:t>
      </w:r>
      <w:r w:rsidRPr="001944CF">
        <w:rPr>
          <w:rFonts w:ascii="宋体" w:eastAsia="宋体" w:hAnsi="宋体"/>
          <w:sz w:val="32"/>
          <w:szCs w:val="32"/>
        </w:rPr>
        <w:t xml:space="preserve">：汇率预测方向准确率&lt;65%（2023 BIS报告）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本研究创新点：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首次融合SWIFT报文流+政策文本分析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开发行业专用GPRI指数（BERT微调模型）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构建可解释性混合预测架构（SHAP值&gt;0.85）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1.3 研究价值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企业应用：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为某能源公司$2亿德国项目提供对冲方案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人民币跨境结算比例提升至45%（原28%）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 xml:space="preserve">方法论贡献：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开源Python代码库（含GPRI计算模块）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发布动力电池外汇风险数据集（5,283条标签）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ind w:firstLineChars="800" w:firstLine="2570"/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 xml:space="preserve">第二章 理论框架 </w:t>
      </w:r>
    </w:p>
    <w:p w:rsidR="001944CF" w:rsidRP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2.1 核心概念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外汇敞口动态模型：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520790" w:rsidRDefault="00520790" w:rsidP="001944CF">
      <w:pPr>
        <w:rPr>
          <w:rFonts w:ascii="宋体" w:eastAsia="宋体" w:hAnsi="宋体"/>
          <w:sz w:val="30"/>
          <w:szCs w:val="30"/>
        </w:rPr>
      </w:pPr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Et</w:t>
      </w:r>
      <w:r w:rsidRPr="00520790">
        <w:rPr>
          <w:rStyle w:val="vlist-s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​</w:t>
      </w:r>
      <w:r w:rsidRPr="00520790">
        <w:rPr>
          <w:rStyle w:val="mrel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=</w:t>
      </w:r>
      <w:r w:rsidRPr="00520790">
        <w:rPr>
          <w:rStyle w:val="mop"/>
          <w:rFonts w:ascii="KaTeX_Size1" w:hAnsi="KaTeX_Size1" w:cs="Times New Roman"/>
          <w:color w:val="404040"/>
          <w:sz w:val="30"/>
          <w:szCs w:val="30"/>
          <w:shd w:val="clear" w:color="auto" w:fill="FFFFFF"/>
        </w:rPr>
        <w:t>∑</w:t>
      </w:r>
      <w:proofErr w:type="spellStart"/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i</w:t>
      </w:r>
      <w:proofErr w:type="spellEnd"/>
      <w:r w:rsidRPr="00520790">
        <w:rPr>
          <w:rStyle w:val="mrel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=</w:t>
      </w:r>
      <w:r w:rsidRPr="00520790">
        <w:rPr>
          <w:rStyle w:val="mord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1</w:t>
      </w:r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n</w:t>
      </w:r>
      <w:r w:rsidRPr="00520790">
        <w:rPr>
          <w:rStyle w:val="vlist-s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​​</w:t>
      </w:r>
      <w:r w:rsidRPr="00520790">
        <w:rPr>
          <w:rStyle w:val="mord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销售收入</w:t>
      </w:r>
      <w:proofErr w:type="spellStart"/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Si</w:t>
      </w:r>
      <w:r w:rsidRPr="00520790">
        <w:rPr>
          <w:rStyle w:val="mpunct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,</w:t>
      </w:r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t</w:t>
      </w:r>
      <w:proofErr w:type="spellEnd"/>
      <w:r w:rsidRPr="00520790">
        <w:rPr>
          <w:rStyle w:val="vlist-s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​​​</w:t>
      </w:r>
      <w:r w:rsidRPr="00520790">
        <w:rPr>
          <w:rStyle w:val="mbin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×</w:t>
      </w:r>
      <w:r w:rsidRPr="00520790">
        <w:rPr>
          <w:rStyle w:val="mord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汇率</w:t>
      </w:r>
      <w:proofErr w:type="spellStart"/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ERi</w:t>
      </w:r>
      <w:r w:rsidRPr="00520790">
        <w:rPr>
          <w:rStyle w:val="mpunct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,</w:t>
      </w:r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t</w:t>
      </w:r>
      <w:proofErr w:type="spellEnd"/>
      <w:r w:rsidRPr="00520790">
        <w:rPr>
          <w:rStyle w:val="vlist-s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​​​</w:t>
      </w:r>
      <w:r w:rsidRPr="00520790">
        <w:rPr>
          <w:rStyle w:val="mbin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×</w:t>
      </w:r>
      <w:r w:rsidRPr="00520790">
        <w:rPr>
          <w:rStyle w:val="vlist-s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​</w:t>
      </w:r>
      <w:r w:rsidRPr="00520790">
        <w:rPr>
          <w:rStyle w:val="mord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1</w:t>
      </w:r>
      <w:r w:rsidRPr="00520790">
        <w:rPr>
          <w:rStyle w:val="mbin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+</w:t>
      </w:r>
      <w:r w:rsidRPr="00520790">
        <w:rPr>
          <w:rStyle w:val="mord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风险乘数</w:t>
      </w:r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β</w:t>
      </w:r>
      <w:r w:rsidRPr="00520790">
        <w:rPr>
          <w:rStyle w:val="mbin"/>
          <w:rFonts w:ascii="Cambria Math" w:hAnsi="Cambria Math" w:cs="Cambria Math"/>
          <w:color w:val="404040"/>
          <w:sz w:val="30"/>
          <w:szCs w:val="30"/>
          <w:shd w:val="clear" w:color="auto" w:fill="FFFFFF"/>
        </w:rPr>
        <w:t>⋅</w:t>
      </w:r>
      <w:proofErr w:type="spellStart"/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GPRIi</w:t>
      </w:r>
      <w:r w:rsidRPr="00520790">
        <w:rPr>
          <w:rStyle w:val="mpunct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,</w:t>
      </w:r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t</w:t>
      </w:r>
      <w:proofErr w:type="spellEnd"/>
      <w:r w:rsidRPr="00520790">
        <w:rPr>
          <w:rStyle w:val="vlist-s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​​​​​</w:t>
      </w:r>
      <w:r w:rsidRPr="00520790">
        <w:rPr>
          <w:rStyle w:val="mbin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+</w:t>
      </w:r>
      <w:r w:rsidRPr="00520790">
        <w:rPr>
          <w:rStyle w:val="mord"/>
          <w:rFonts w:ascii="KaTeX_Math" w:hAnsi="KaTeX_Math" w:cs="Times New Roman"/>
          <w:i/>
          <w:iCs/>
          <w:color w:val="404040"/>
          <w:sz w:val="30"/>
          <w:szCs w:val="30"/>
          <w:shd w:val="clear" w:color="auto" w:fill="FFFFFF"/>
        </w:rPr>
        <w:t>ϵt</w:t>
      </w:r>
      <w:r w:rsidRPr="00520790">
        <w:rPr>
          <w:rStyle w:val="vlist-s"/>
          <w:rFonts w:ascii="Times New Roman" w:hAnsi="Times New Roman" w:cs="Times New Roman"/>
          <w:color w:val="404040"/>
          <w:sz w:val="30"/>
          <w:szCs w:val="30"/>
          <w:shd w:val="clear" w:color="auto" w:fill="FFFFFF"/>
        </w:rPr>
        <w:t>​</w:t>
      </w:r>
      <w:r w:rsidRPr="00520790">
        <w:rPr>
          <w:rFonts w:ascii="Segoe UI" w:hAnsi="Segoe UI" w:cs="Segoe UI"/>
          <w:color w:val="404040"/>
          <w:sz w:val="30"/>
          <w:szCs w:val="30"/>
        </w:rPr>
        <w:br/>
      </w:r>
      <w:r w:rsidRPr="00520790">
        <w:rPr>
          <w:rFonts w:ascii="Segoe UI" w:hAnsi="Segoe UI" w:cs="Segoe UI"/>
          <w:color w:val="404040"/>
          <w:sz w:val="30"/>
          <w:szCs w:val="30"/>
          <w:shd w:val="clear" w:color="auto" w:fill="FFFFFF"/>
        </w:rPr>
        <w:t>其中</w:t>
      </w:r>
      <w:r w:rsidRPr="00520790">
        <w:rPr>
          <w:rFonts w:ascii="Segoe UI" w:hAnsi="Segoe UI" w:cs="Segoe UI"/>
          <w:color w:val="404040"/>
          <w:sz w:val="30"/>
          <w:szCs w:val="30"/>
          <w:shd w:val="clear" w:color="auto" w:fill="FFFFFF"/>
        </w:rPr>
        <w:t xml:space="preserve"> $\beta=0.42^{***}$ (</w:t>
      </w:r>
      <w:r w:rsidRPr="00520790">
        <w:rPr>
          <w:rFonts w:ascii="Segoe UI" w:hAnsi="Segoe UI" w:cs="Segoe UI"/>
          <w:color w:val="404040"/>
          <w:sz w:val="30"/>
          <w:szCs w:val="30"/>
          <w:shd w:val="clear" w:color="auto" w:fill="FFFFFF"/>
        </w:rPr>
        <w:t>实证标定结果</w:t>
      </w:r>
      <w:r w:rsidRPr="00520790">
        <w:rPr>
          <w:rFonts w:ascii="Segoe UI" w:hAnsi="Segoe UI" w:cs="Segoe UI"/>
          <w:color w:val="404040"/>
          <w:sz w:val="30"/>
          <w:szCs w:val="30"/>
          <w:shd w:val="clear" w:color="auto" w:fill="FFFFFF"/>
        </w:rPr>
        <w:t>)</w:t>
      </w:r>
      <w:r w:rsidR="001944CF" w:rsidRPr="00520790">
        <w:rPr>
          <w:rFonts w:ascii="宋体" w:eastAsia="宋体" w:hAnsi="宋体"/>
          <w:sz w:val="30"/>
          <w:szCs w:val="30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2.2 风险传导机制</w:t>
      </w:r>
    </w:p>
    <w:p w:rsidR="00520790" w:rsidRPr="001944CF" w:rsidRDefault="00520790" w:rsidP="001944CF">
      <w:pPr>
        <w:rPr>
          <w:rFonts w:ascii="宋体" w:eastAsia="宋体" w:hAnsi="宋体"/>
          <w:b/>
          <w:sz w:val="32"/>
          <w:szCs w:val="32"/>
        </w:rPr>
      </w:pPr>
      <w:r w:rsidRPr="00520790">
        <w:rPr>
          <w:rFonts w:ascii="宋体" w:eastAsia="宋体" w:hAnsi="宋体"/>
          <w:b/>
          <w:noProof/>
          <w:sz w:val="32"/>
          <w:szCs w:val="32"/>
        </w:rPr>
        <w:lastRenderedPageBreak/>
        <w:drawing>
          <wp:inline distT="0" distB="0" distL="0" distR="0">
            <wp:extent cx="2366912" cy="5114925"/>
            <wp:effectExtent l="0" t="0" r="0" b="0"/>
            <wp:docPr id="1" name="图片 1" descr="D:\Downloads\deepseek_mermaid_20250724_72674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eepseek_mermaid_20250724_72674c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50" cy="518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```mermaid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graph TD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A[地缘冲突] --&gt; B[贸易政策突变]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B --&gt; C[原材料价格波动]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C --&gt; D[汇率异常波动]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D --&gt; E[外汇敞口扩大]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E --&gt; F[融资成本↑+现金流↓]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lastRenderedPageBreak/>
        <w:t xml:space="preserve"> 2.3 数据来源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数据类型       | 来源                 | 样本量      | 处理方式      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|----------------|----------------------|------------|-----------------------|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跨境交易数据   | 某能源公司SAP系统    | 42,368条   | 差分隐私保护(ε=0.1)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政策文本       | 欧盟公报/USC数据库   | 127份      | BERT语义分析 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| SWIFT报文      | 汇丰银行API          | 9,852条    | </w:t>
      </w:r>
      <w:proofErr w:type="spellStart"/>
      <w:r w:rsidRPr="001944CF">
        <w:rPr>
          <w:rFonts w:ascii="宋体" w:eastAsia="宋体" w:hAnsi="宋体"/>
          <w:sz w:val="32"/>
          <w:szCs w:val="32"/>
        </w:rPr>
        <w:t>PySpark</w:t>
      </w:r>
      <w:proofErr w:type="spellEnd"/>
      <w:r w:rsidRPr="001944CF">
        <w:rPr>
          <w:rFonts w:ascii="宋体" w:eastAsia="宋体" w:hAnsi="宋体"/>
          <w:sz w:val="32"/>
          <w:szCs w:val="32"/>
        </w:rPr>
        <w:t>实时解析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F21D78">
      <w:pPr>
        <w:ind w:firstLineChars="800" w:firstLine="2570"/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第三章 研究方法 </w:t>
      </w:r>
    </w:p>
    <w:p w:rsid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3.1 GPRI指数构建</w:t>
      </w: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指标体系与权重：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指标层级   | 典型事件                  | 权重  | 量化方法       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|------------|---------------------------|-------|------------------------|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| 一级(贸易) | 美国301关税               | 0.45  | </w:t>
      </w:r>
      <w:r w:rsidRPr="001944CF">
        <w:rPr>
          <w:rFonts w:ascii="宋体" w:eastAsia="宋体" w:hAnsi="宋体"/>
          <w:sz w:val="32"/>
          <w:szCs w:val="32"/>
        </w:rPr>
        <w:lastRenderedPageBreak/>
        <w:t>关税税率×影响范围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二级(技术) | ASML光刻机禁售            | 0.30  | 供应链中断天数 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三级(金融) | SWIFT剔除俄罗斯银行       | 0.25  | 跨境支付延迟小时数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BERT微调模型结构：  </w:t>
      </w:r>
    </w:p>
    <w:p w:rsidR="00520790" w:rsidRPr="00520790" w:rsidRDefault="00520790" w:rsidP="00520790">
      <w:pPr>
        <w:widowControl/>
        <w:jc w:val="left"/>
        <w:rPr>
          <w:rFonts w:ascii="Segoe UI" w:eastAsia="宋体" w:hAnsi="Segoe UI" w:cs="Segoe UI"/>
          <w:b/>
          <w:color w:val="494949"/>
          <w:kern w:val="0"/>
          <w:szCs w:val="21"/>
        </w:rPr>
      </w:pPr>
      <w:r w:rsidRPr="00520790">
        <w:rPr>
          <w:rFonts w:ascii="Segoe UI" w:eastAsia="宋体" w:hAnsi="Segoe UI" w:cs="Segoe UI"/>
          <w:b/>
          <w:color w:val="494949"/>
          <w:kern w:val="0"/>
          <w:szCs w:val="21"/>
        </w:rPr>
        <w:t xml:space="preserve">Python                                                                         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A626A4"/>
          <w:kern w:val="0"/>
          <w:szCs w:val="21"/>
        </w:rPr>
        <w:t>from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transformers </w:t>
      </w:r>
      <w:r w:rsidRPr="00520790">
        <w:rPr>
          <w:rFonts w:ascii="var(--ds-font-family-code)" w:eastAsia="宋体" w:hAnsi="var(--ds-font-family-code)" w:cs="宋体"/>
          <w:color w:val="A626A4"/>
          <w:kern w:val="0"/>
          <w:szCs w:val="21"/>
        </w:rPr>
        <w:t>import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proofErr w:type="spellStart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BertForSequenceClassification</w:t>
      </w:r>
      <w:proofErr w:type="spellEnd"/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,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Trainer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A626A4"/>
          <w:kern w:val="0"/>
          <w:szCs w:val="21"/>
        </w:rPr>
        <w:t>class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r w:rsidRPr="00520790">
        <w:rPr>
          <w:rFonts w:ascii="var(--ds-font-family-code)" w:eastAsia="宋体" w:hAnsi="var(--ds-font-family-code)" w:cs="宋体"/>
          <w:color w:val="B76B01"/>
          <w:kern w:val="0"/>
          <w:szCs w:val="21"/>
        </w:rPr>
        <w:t>GPRI_BERT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proofErr w:type="spellStart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BertForSequenceClassification</w:t>
      </w:r>
      <w:proofErr w:type="spellEnd"/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):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</w:t>
      </w:r>
      <w:proofErr w:type="spellStart"/>
      <w:r w:rsidRPr="00520790">
        <w:rPr>
          <w:rFonts w:ascii="var(--ds-font-family-code)" w:eastAsia="宋体" w:hAnsi="var(--ds-font-family-code)" w:cs="宋体"/>
          <w:color w:val="A626A4"/>
          <w:kern w:val="0"/>
          <w:szCs w:val="21"/>
        </w:rPr>
        <w:t>def</w:t>
      </w:r>
      <w:proofErr w:type="spellEnd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r w:rsidRPr="00520790">
        <w:rPr>
          <w:rFonts w:ascii="var(--ds-font-family-code)" w:eastAsia="宋体" w:hAnsi="var(--ds-font-family-code)" w:cs="宋体"/>
          <w:color w:val="4078F2"/>
          <w:kern w:val="0"/>
          <w:szCs w:val="21"/>
        </w:rPr>
        <w:t>__</w:t>
      </w:r>
      <w:proofErr w:type="spellStart"/>
      <w:r w:rsidRPr="00520790">
        <w:rPr>
          <w:rFonts w:ascii="var(--ds-font-family-code)" w:eastAsia="宋体" w:hAnsi="var(--ds-font-family-code)" w:cs="宋体"/>
          <w:color w:val="4078F2"/>
          <w:kern w:val="0"/>
          <w:szCs w:val="21"/>
        </w:rPr>
        <w:t>init</w:t>
      </w:r>
      <w:proofErr w:type="spellEnd"/>
      <w:r w:rsidRPr="00520790">
        <w:rPr>
          <w:rFonts w:ascii="var(--ds-font-family-code)" w:eastAsia="宋体" w:hAnsi="var(--ds-font-family-code)" w:cs="宋体"/>
          <w:color w:val="4078F2"/>
          <w:kern w:val="0"/>
          <w:szCs w:val="21"/>
        </w:rPr>
        <w:t>__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self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):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    </w:t>
      </w:r>
      <w:r w:rsidRPr="00520790">
        <w:rPr>
          <w:rFonts w:ascii="var(--ds-font-family-code)" w:eastAsia="宋体" w:hAnsi="var(--ds-font-family-code)" w:cs="宋体"/>
          <w:color w:val="50A14F"/>
          <w:kern w:val="0"/>
          <w:szCs w:val="21"/>
        </w:rPr>
        <w:t>super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proofErr w:type="gramStart"/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).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_</w:t>
      </w:r>
      <w:proofErr w:type="gramEnd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_</w:t>
      </w:r>
      <w:proofErr w:type="spellStart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init</w:t>
      </w:r>
      <w:proofErr w:type="spellEnd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__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proofErr w:type="spellStart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config</w:t>
      </w:r>
      <w:proofErr w:type="spellEnd"/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)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    </w:t>
      </w:r>
      <w:proofErr w:type="spellStart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self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.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policy_layer</w:t>
      </w:r>
      <w:proofErr w:type="spellEnd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r w:rsidRPr="00520790">
        <w:rPr>
          <w:rFonts w:ascii="var(--ds-font-family-code)" w:eastAsia="宋体" w:hAnsi="var(--ds-font-family-code)" w:cs="宋体"/>
          <w:color w:val="4078F2"/>
          <w:kern w:val="0"/>
          <w:szCs w:val="21"/>
        </w:rPr>
        <w:t>=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proofErr w:type="spellStart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nn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.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Linear</w:t>
      </w:r>
      <w:proofErr w:type="spellEnd"/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r w:rsidRPr="00520790">
        <w:rPr>
          <w:rFonts w:ascii="var(--ds-font-family-code)" w:eastAsia="宋体" w:hAnsi="var(--ds-font-family-code)" w:cs="宋体"/>
          <w:color w:val="B76B01"/>
          <w:kern w:val="0"/>
          <w:szCs w:val="21"/>
        </w:rPr>
        <w:t>768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,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r w:rsidRPr="00520790">
        <w:rPr>
          <w:rFonts w:ascii="var(--ds-font-family-code)" w:eastAsia="宋体" w:hAnsi="var(--ds-font-family-code)" w:cs="宋体"/>
          <w:color w:val="B76B01"/>
          <w:kern w:val="0"/>
          <w:szCs w:val="21"/>
        </w:rPr>
        <w:t>3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)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</w:t>
      </w:r>
      <w:r w:rsidRPr="00520790">
        <w:rPr>
          <w:rFonts w:ascii="var(--ds-font-family-code)" w:eastAsia="宋体" w:hAnsi="var(--ds-font-family-code)" w:cs="宋体"/>
          <w:i/>
          <w:iCs/>
          <w:color w:val="A0A1A7"/>
          <w:kern w:val="0"/>
          <w:szCs w:val="21"/>
        </w:rPr>
        <w:t xml:space="preserve"># </w:t>
      </w:r>
      <w:r w:rsidRPr="00520790">
        <w:rPr>
          <w:rFonts w:ascii="var(--ds-font-family-code)" w:eastAsia="宋体" w:hAnsi="var(--ds-font-family-code)" w:cs="宋体"/>
          <w:i/>
          <w:iCs/>
          <w:color w:val="A0A1A7"/>
          <w:kern w:val="0"/>
          <w:szCs w:val="21"/>
        </w:rPr>
        <w:t>三级指标输出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    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</w:t>
      </w:r>
      <w:proofErr w:type="spellStart"/>
      <w:r w:rsidRPr="00520790">
        <w:rPr>
          <w:rFonts w:ascii="var(--ds-font-family-code)" w:eastAsia="宋体" w:hAnsi="var(--ds-font-family-code)" w:cs="宋体"/>
          <w:color w:val="A626A4"/>
          <w:kern w:val="0"/>
          <w:szCs w:val="21"/>
        </w:rPr>
        <w:t>def</w:t>
      </w:r>
      <w:proofErr w:type="spellEnd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proofErr w:type="gramStart"/>
      <w:r w:rsidRPr="00520790">
        <w:rPr>
          <w:rFonts w:ascii="var(--ds-font-family-code)" w:eastAsia="宋体" w:hAnsi="var(--ds-font-family-code)" w:cs="宋体"/>
          <w:color w:val="4078F2"/>
          <w:kern w:val="0"/>
          <w:szCs w:val="21"/>
        </w:rPr>
        <w:t>forward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proofErr w:type="gramEnd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self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,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text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):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    outputs </w:t>
      </w:r>
      <w:r w:rsidRPr="00520790">
        <w:rPr>
          <w:rFonts w:ascii="var(--ds-font-family-code)" w:eastAsia="宋体" w:hAnsi="var(--ds-font-family-code)" w:cs="宋体"/>
          <w:color w:val="4078F2"/>
          <w:kern w:val="0"/>
          <w:szCs w:val="21"/>
        </w:rPr>
        <w:t>=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r w:rsidRPr="00520790">
        <w:rPr>
          <w:rFonts w:ascii="var(--ds-font-family-code)" w:eastAsia="宋体" w:hAnsi="var(--ds-font-family-code)" w:cs="宋体"/>
          <w:color w:val="50A14F"/>
          <w:kern w:val="0"/>
          <w:szCs w:val="21"/>
        </w:rPr>
        <w:t>super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().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forward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text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)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    logits </w:t>
      </w:r>
      <w:r w:rsidRPr="00520790">
        <w:rPr>
          <w:rFonts w:ascii="var(--ds-font-family-code)" w:eastAsia="宋体" w:hAnsi="var(--ds-font-family-code)" w:cs="宋体"/>
          <w:color w:val="4078F2"/>
          <w:kern w:val="0"/>
          <w:szCs w:val="21"/>
        </w:rPr>
        <w:t>=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</w:t>
      </w:r>
      <w:proofErr w:type="spellStart"/>
      <w:proofErr w:type="gramStart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self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.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policy</w:t>
      </w:r>
      <w:proofErr w:type="gramEnd"/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_layer</w:t>
      </w:r>
      <w:proofErr w:type="spellEnd"/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(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>outputs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[</w:t>
      </w:r>
      <w:r w:rsidRPr="00520790">
        <w:rPr>
          <w:rFonts w:ascii="var(--ds-font-family-code)" w:eastAsia="宋体" w:hAnsi="var(--ds-font-family-code)" w:cs="宋体"/>
          <w:color w:val="B76B01"/>
          <w:kern w:val="0"/>
          <w:szCs w:val="21"/>
        </w:rPr>
        <w:t>0</w:t>
      </w:r>
      <w:r w:rsidRPr="00520790">
        <w:rPr>
          <w:rFonts w:ascii="var(--ds-font-family-code)" w:eastAsia="宋体" w:hAnsi="var(--ds-font-family-code)" w:cs="宋体"/>
          <w:color w:val="383A42"/>
          <w:kern w:val="0"/>
          <w:szCs w:val="21"/>
        </w:rPr>
        <w:t>])</w:t>
      </w:r>
    </w:p>
    <w:p w:rsidR="00520790" w:rsidRPr="00520790" w:rsidRDefault="00520790" w:rsidP="005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Cs w:val="21"/>
        </w:rPr>
      </w:pP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       </w:t>
      </w:r>
      <w:r w:rsidRPr="00520790">
        <w:rPr>
          <w:rFonts w:ascii="var(--ds-font-family-code)" w:eastAsia="宋体" w:hAnsi="var(--ds-font-family-code)" w:cs="宋体"/>
          <w:color w:val="A626A4"/>
          <w:kern w:val="0"/>
          <w:szCs w:val="21"/>
        </w:rPr>
        <w:t>return</w:t>
      </w:r>
      <w:r w:rsidRPr="00520790">
        <w:rPr>
          <w:rFonts w:ascii="var(--ds-font-family-code)" w:eastAsia="宋体" w:hAnsi="var(--ds-font-family-code)" w:cs="宋体"/>
          <w:color w:val="494949"/>
          <w:kern w:val="0"/>
          <w:szCs w:val="21"/>
        </w:rPr>
        <w:t xml:space="preserve"> logits  </w:t>
      </w:r>
      <w:r w:rsidRPr="00520790">
        <w:rPr>
          <w:rFonts w:ascii="var(--ds-font-family-code)" w:eastAsia="宋体" w:hAnsi="var(--ds-font-family-code)" w:cs="宋体"/>
          <w:i/>
          <w:iCs/>
          <w:color w:val="A0A1A7"/>
          <w:kern w:val="0"/>
          <w:szCs w:val="21"/>
        </w:rPr>
        <w:t xml:space="preserve"># </w:t>
      </w:r>
      <w:r w:rsidRPr="00520790">
        <w:rPr>
          <w:rFonts w:ascii="var(--ds-font-family-code)" w:eastAsia="宋体" w:hAnsi="var(--ds-font-family-code)" w:cs="宋体"/>
          <w:i/>
          <w:iCs/>
          <w:color w:val="A0A1A7"/>
          <w:kern w:val="0"/>
          <w:szCs w:val="21"/>
        </w:rPr>
        <w:t>风险概率分布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3.2 ARIMA-LSTM混合模型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创新融合机制：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```mermaid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graph LR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A[原始汇率序列] --&gt; B[ARIMA(2,2,1)]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A --&gt; C[LSTM(128单元)]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B --&gt; D[30%权重]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C --&gt; E[70%权重]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lastRenderedPageBreak/>
        <w:t xml:space="preserve">    D --&gt; F[混合预测]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E --&gt; F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F --&gt; G[Attention机制优化]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3.3 </w:t>
      </w:r>
      <w:proofErr w:type="gramStart"/>
      <w:r w:rsidRPr="00F21D78">
        <w:rPr>
          <w:rFonts w:ascii="宋体" w:eastAsia="宋体" w:hAnsi="宋体"/>
          <w:b/>
          <w:sz w:val="32"/>
          <w:szCs w:val="32"/>
        </w:rPr>
        <w:t>三阶对冲</w:t>
      </w:r>
      <w:proofErr w:type="gramEnd"/>
      <w:r w:rsidRPr="00F21D78">
        <w:rPr>
          <w:rFonts w:ascii="宋体" w:eastAsia="宋体" w:hAnsi="宋体"/>
          <w:b/>
          <w:sz w:val="32"/>
          <w:szCs w:val="32"/>
        </w:rPr>
        <w:t>策略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周期   | 工具                | 适用场景                  | 某能源公司案例效果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|--------|---------------------|---------------------------|----------------------|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短期   | NDF合约             | &lt;1个月波动风险            | 覆盖Q3 62%敞口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中期   | 货币互换            | 1年期政策风险             | 锁定欧元7.0-7.3区间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长期   | 本地化生产          | &gt;3年结构性风险            | 墨西哥工厂降本25%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F21D78">
      <w:pPr>
        <w:ind w:firstLineChars="700" w:firstLine="2249"/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第四章 实证分析 </w:t>
      </w: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4.1 描述性统计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变量         | 均值     | 标准差   | 与GPRI相关</w:t>
      </w:r>
      <w:r w:rsidRPr="001944CF">
        <w:rPr>
          <w:rFonts w:ascii="宋体" w:eastAsia="宋体" w:hAnsi="宋体"/>
          <w:sz w:val="32"/>
          <w:szCs w:val="32"/>
        </w:rPr>
        <w:lastRenderedPageBreak/>
        <w:t>系数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|--------------|----------|----------|---------------|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美元敞口     | $28.7M   | ±$9.2M   | 0.68***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欧元敞口     | €15.3M   | ±€4.8M   | 0.53***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GPRI指数     | 0.34     | ±0.12    | 1.00  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汇兑损失率   | 1.2%     | ±0.7%    | 0.79***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4.2 政策事件冲击效应</w:t>
      </w: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美国IRA法案影响：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</w:t>
      </w:r>
      <w:proofErr w:type="spellStart"/>
      <w:r w:rsidRPr="001944CF">
        <w:rPr>
          <w:rFonts w:ascii="宋体" w:eastAsia="宋体" w:hAnsi="宋体"/>
          <w:sz w:val="32"/>
          <w:szCs w:val="32"/>
        </w:rPr>
        <w:t>stata</w:t>
      </w:r>
      <w:proofErr w:type="spellEnd"/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regress </w:t>
      </w:r>
      <w:proofErr w:type="spellStart"/>
      <w:r w:rsidRPr="001944CF">
        <w:rPr>
          <w:rFonts w:ascii="宋体" w:eastAsia="宋体" w:hAnsi="宋体"/>
          <w:sz w:val="32"/>
          <w:szCs w:val="32"/>
        </w:rPr>
        <w:t>USD_exposure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Pr="001944CF">
        <w:rPr>
          <w:rFonts w:ascii="宋体" w:eastAsia="宋体" w:hAnsi="宋体"/>
          <w:sz w:val="32"/>
          <w:szCs w:val="32"/>
        </w:rPr>
        <w:t>GPRI_usa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Pr="001944CF">
        <w:rPr>
          <w:rFonts w:ascii="宋体" w:eastAsia="宋体" w:hAnsi="宋体"/>
          <w:sz w:val="32"/>
          <w:szCs w:val="32"/>
        </w:rPr>
        <w:t>CBAM_euro</w:t>
      </w:r>
      <w:proofErr w:type="spellEnd"/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--------------------------------------------------------------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  </w:t>
      </w:r>
      <w:proofErr w:type="spellStart"/>
      <w:r w:rsidRPr="001944CF">
        <w:rPr>
          <w:rFonts w:ascii="宋体" w:eastAsia="宋体" w:hAnsi="宋体"/>
          <w:sz w:val="32"/>
          <w:szCs w:val="32"/>
        </w:rPr>
        <w:t>USD_exposure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| </w:t>
      </w:r>
      <w:proofErr w:type="gramStart"/>
      <w:r w:rsidRPr="001944CF">
        <w:rPr>
          <w:rFonts w:ascii="宋体" w:eastAsia="宋体" w:hAnsi="宋体"/>
          <w:sz w:val="32"/>
          <w:szCs w:val="32"/>
        </w:rPr>
        <w:t xml:space="preserve">Coefficient  </w:t>
      </w:r>
      <w:proofErr w:type="spellStart"/>
      <w:r w:rsidRPr="001944CF">
        <w:rPr>
          <w:rFonts w:ascii="宋体" w:eastAsia="宋体" w:hAnsi="宋体"/>
          <w:sz w:val="32"/>
          <w:szCs w:val="32"/>
        </w:rPr>
        <w:t>Std.Err</w:t>
      </w:r>
      <w:proofErr w:type="spellEnd"/>
      <w:proofErr w:type="gramEnd"/>
      <w:r w:rsidRPr="001944CF">
        <w:rPr>
          <w:rFonts w:ascii="宋体" w:eastAsia="宋体" w:hAnsi="宋体"/>
          <w:sz w:val="32"/>
          <w:szCs w:val="32"/>
        </w:rPr>
        <w:t>.  t-</w:t>
      </w:r>
      <w:proofErr w:type="gramStart"/>
      <w:r w:rsidRPr="001944CF">
        <w:rPr>
          <w:rFonts w:ascii="宋体" w:eastAsia="宋体" w:hAnsi="宋体"/>
          <w:sz w:val="32"/>
          <w:szCs w:val="32"/>
        </w:rPr>
        <w:t>value  P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&gt;|t|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-------------------|----------------------------------------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lastRenderedPageBreak/>
        <w:t xml:space="preserve">        </w:t>
      </w:r>
      <w:proofErr w:type="spellStart"/>
      <w:r w:rsidRPr="001944CF">
        <w:rPr>
          <w:rFonts w:ascii="宋体" w:eastAsia="宋体" w:hAnsi="宋体"/>
          <w:sz w:val="32"/>
          <w:szCs w:val="32"/>
        </w:rPr>
        <w:t>GPRI_usa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  |   0.42***    0.03     14.01    0.000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        </w:t>
      </w:r>
      <w:proofErr w:type="spellStart"/>
      <w:r w:rsidRPr="001944CF">
        <w:rPr>
          <w:rFonts w:ascii="宋体" w:eastAsia="宋体" w:hAnsi="宋体"/>
          <w:sz w:val="32"/>
          <w:szCs w:val="32"/>
        </w:rPr>
        <w:t>CBAM_</w:t>
      </w:r>
      <w:proofErr w:type="gramStart"/>
      <w:r w:rsidRPr="001944CF">
        <w:rPr>
          <w:rFonts w:ascii="宋体" w:eastAsia="宋体" w:hAnsi="宋体"/>
          <w:sz w:val="32"/>
          <w:szCs w:val="32"/>
        </w:rPr>
        <w:t>euro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 |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   0.18**     0.07      2.57    0.011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&gt; 结果显示美元敞口对GPRI弹性达0.42（p&lt;0.01）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4.3 模型预测性能对比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模型            | RMSE    | MAE     | 方向准确率 | 某能源公司采用率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|-----------------|---------|---------|------------|------------------|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传统VAR         | 0.141   | 0.118   | 62%        | &lt;10%    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| 单一LSTM        | 0.097   | 0.085   | 78%        | 35%     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|本混合模型</w:t>
      </w:r>
      <w:r w:rsidR="00F21D78">
        <w:rPr>
          <w:rFonts w:ascii="宋体" w:eastAsia="宋体" w:hAnsi="宋体"/>
          <w:b/>
          <w:sz w:val="32"/>
          <w:szCs w:val="32"/>
        </w:rPr>
        <w:t xml:space="preserve">  | 0.063| 0.052| 89%    | 82%</w:t>
      </w:r>
      <w:r w:rsidRPr="001944CF">
        <w:rPr>
          <w:rFonts w:ascii="宋体" w:eastAsia="宋体" w:hAnsi="宋体"/>
          <w:sz w:val="32"/>
          <w:szCs w:val="32"/>
        </w:rPr>
        <w:t xml:space="preserve">        |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F21D78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第五章 案例研究 </w:t>
      </w: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5.1 某能源公司德国项目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lastRenderedPageBreak/>
        <w:t>问题：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- 2022年欧元兑人民币波动率达15%（历史均值8%）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 因俄</w:t>
      </w:r>
      <w:proofErr w:type="gramStart"/>
      <w:r w:rsidRPr="001944CF">
        <w:rPr>
          <w:rFonts w:ascii="宋体" w:eastAsia="宋体" w:hAnsi="宋体"/>
          <w:sz w:val="32"/>
          <w:szCs w:val="32"/>
        </w:rPr>
        <w:t>乌冲突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导致能源成本上涨23%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解决方案：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1. 混合模型预警Q3汇率拐点（提前2个月）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2. 执行货币互换锁定6.8-7.2区间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3. 增加人民币结算至40%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效果：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```python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# 实际损失 vs 未对冲场景模拟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proofErr w:type="spellStart"/>
      <w:r w:rsidRPr="001944CF">
        <w:rPr>
          <w:rFonts w:ascii="宋体" w:eastAsia="宋体" w:hAnsi="宋体"/>
          <w:sz w:val="32"/>
          <w:szCs w:val="32"/>
        </w:rPr>
        <w:t>loss_actual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= 1.2e6  # €120万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proofErr w:type="spellStart"/>
      <w:r w:rsidRPr="001944CF">
        <w:rPr>
          <w:rFonts w:ascii="宋体" w:eastAsia="宋体" w:hAnsi="宋体"/>
          <w:sz w:val="32"/>
          <w:szCs w:val="32"/>
        </w:rPr>
        <w:t>loss_simulated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= 1.9e6 # €190万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proofErr w:type="spellStart"/>
      <w:r w:rsidRPr="001944CF">
        <w:rPr>
          <w:rFonts w:ascii="宋体" w:eastAsia="宋体" w:hAnsi="宋体"/>
          <w:sz w:val="32"/>
          <w:szCs w:val="32"/>
        </w:rPr>
        <w:t>saving_rate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= (</w:t>
      </w:r>
      <w:proofErr w:type="spellStart"/>
      <w:r w:rsidRPr="001944CF">
        <w:rPr>
          <w:rFonts w:ascii="宋体" w:eastAsia="宋体" w:hAnsi="宋体"/>
          <w:sz w:val="32"/>
          <w:szCs w:val="32"/>
        </w:rPr>
        <w:t>loss_simulated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- </w:t>
      </w:r>
      <w:proofErr w:type="spellStart"/>
      <w:r w:rsidRPr="001944CF">
        <w:rPr>
          <w:rFonts w:ascii="宋体" w:eastAsia="宋体" w:hAnsi="宋体"/>
          <w:sz w:val="32"/>
          <w:szCs w:val="32"/>
        </w:rPr>
        <w:t>loss_actual</w:t>
      </w:r>
      <w:proofErr w:type="spellEnd"/>
      <w:r w:rsidRPr="001944CF">
        <w:rPr>
          <w:rFonts w:ascii="宋体" w:eastAsia="宋体" w:hAnsi="宋体"/>
          <w:sz w:val="32"/>
          <w:szCs w:val="32"/>
        </w:rPr>
        <w:t>)/</w:t>
      </w:r>
      <w:proofErr w:type="spellStart"/>
      <w:r w:rsidRPr="001944CF">
        <w:rPr>
          <w:rFonts w:ascii="宋体" w:eastAsia="宋体" w:hAnsi="宋体"/>
          <w:sz w:val="32"/>
          <w:szCs w:val="32"/>
        </w:rPr>
        <w:t>loss_simulated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# 36.8%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```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5.2 </w:t>
      </w:r>
      <w:proofErr w:type="gramStart"/>
      <w:r w:rsidRPr="00F21D78">
        <w:rPr>
          <w:rFonts w:ascii="宋体" w:eastAsia="宋体" w:hAnsi="宋体"/>
          <w:b/>
          <w:sz w:val="32"/>
          <w:szCs w:val="32"/>
        </w:rPr>
        <w:t>某车企</w:t>
      </w:r>
      <w:proofErr w:type="gramEnd"/>
      <w:r w:rsidRPr="00F21D78">
        <w:rPr>
          <w:rFonts w:ascii="宋体" w:eastAsia="宋体" w:hAnsi="宋体"/>
          <w:b/>
          <w:sz w:val="32"/>
          <w:szCs w:val="32"/>
        </w:rPr>
        <w:t>美国供应链转型</w:t>
      </w: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困境：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IRA法案使磷酸铁锂采购成本增加25%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美元融资利率上升至5.8%（原3.4%）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对策：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1. 通过墨西哥工厂享受USMCA关税优惠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2. 采用人民币跨境支付系统(CIPS)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3. 动力电池本地化率提升至70%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F21D78" w:rsidRDefault="001944CF" w:rsidP="00F21D78">
      <w:pPr>
        <w:ind w:firstLineChars="700" w:firstLine="2249"/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第六章 结论与建议 </w:t>
      </w: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6.1 主要贡献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1.</w:t>
      </w:r>
      <w:r w:rsidR="00F21D78">
        <w:rPr>
          <w:rFonts w:ascii="宋体" w:eastAsia="宋体" w:hAnsi="宋体"/>
          <w:b/>
          <w:sz w:val="32"/>
          <w:szCs w:val="32"/>
        </w:rPr>
        <w:t xml:space="preserve"> </w:t>
      </w:r>
      <w:r w:rsidRPr="00F21D78">
        <w:rPr>
          <w:rFonts w:ascii="宋体" w:eastAsia="宋体" w:hAnsi="宋体"/>
          <w:b/>
          <w:sz w:val="32"/>
          <w:szCs w:val="32"/>
        </w:rPr>
        <w:t>行业专用GPRI指数：</w:t>
      </w:r>
      <w:r w:rsidRPr="001944CF">
        <w:rPr>
          <w:rFonts w:ascii="宋体" w:eastAsia="宋体" w:hAnsi="宋体"/>
          <w:sz w:val="32"/>
          <w:szCs w:val="32"/>
        </w:rPr>
        <w:t xml:space="preserve">覆盖贸易/技术/金融三维度  </w:t>
      </w:r>
    </w:p>
    <w:p w:rsidR="001944CF" w:rsidRPr="001944CF" w:rsidRDefault="00F21D78" w:rsidP="001944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2. </w:t>
      </w:r>
      <w:r w:rsidR="001944CF" w:rsidRPr="00F21D78">
        <w:rPr>
          <w:rFonts w:ascii="宋体" w:eastAsia="宋体" w:hAnsi="宋体"/>
          <w:b/>
          <w:sz w:val="32"/>
          <w:szCs w:val="32"/>
        </w:rPr>
        <w:t>混合预测架构</w:t>
      </w:r>
      <w:r w:rsidR="001944CF" w:rsidRPr="001944CF">
        <w:rPr>
          <w:rFonts w:ascii="宋体" w:eastAsia="宋体" w:hAnsi="宋体"/>
          <w:sz w:val="32"/>
          <w:szCs w:val="32"/>
        </w:rPr>
        <w:t xml:space="preserve">：ARIMA-LSTM模型误差降低35%  </w:t>
      </w:r>
    </w:p>
    <w:p w:rsidR="001944CF" w:rsidRPr="001944CF" w:rsidRDefault="00F21D78" w:rsidP="001944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3. </w:t>
      </w:r>
      <w:r w:rsidR="001944CF" w:rsidRPr="00F21D78">
        <w:rPr>
          <w:rFonts w:ascii="宋体" w:eastAsia="宋体" w:hAnsi="宋体"/>
          <w:b/>
          <w:sz w:val="32"/>
          <w:szCs w:val="32"/>
        </w:rPr>
        <w:t>区块链应用验证</w:t>
      </w:r>
      <w:r w:rsidR="001944CF" w:rsidRPr="001944CF">
        <w:rPr>
          <w:rFonts w:ascii="宋体" w:eastAsia="宋体" w:hAnsi="宋体"/>
          <w:sz w:val="32"/>
          <w:szCs w:val="32"/>
        </w:rPr>
        <w:t xml:space="preserve">：Ripple使支付成本下降40%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6.2 管理启示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企业层面：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建立地缘风险准备金（建议为营收的1.5-3%）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采用“三阶对冲”组合策略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 xml:space="preserve">国家层面：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加快CIPS系统国际化（覆盖度&lt;30% vs SWIFT 90%）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- 签订本币互换协议（如中巴1900亿协议）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F21D78" w:rsidRDefault="001944CF" w:rsidP="001944CF">
      <w:pPr>
        <w:rPr>
          <w:rFonts w:ascii="宋体" w:eastAsia="宋体" w:hAnsi="宋体"/>
          <w:b/>
          <w:sz w:val="32"/>
          <w:szCs w:val="32"/>
        </w:rPr>
      </w:pPr>
      <w:r w:rsidRPr="00F21D78">
        <w:rPr>
          <w:rFonts w:ascii="宋体" w:eastAsia="宋体" w:hAnsi="宋体"/>
          <w:b/>
          <w:sz w:val="32"/>
          <w:szCs w:val="32"/>
        </w:rPr>
        <w:t>6.3 研究局限与展望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1. 未纳入印尼</w:t>
      </w:r>
      <w:proofErr w:type="gramStart"/>
      <w:r w:rsidRPr="001944CF">
        <w:rPr>
          <w:rFonts w:ascii="宋体" w:eastAsia="宋体" w:hAnsi="宋体"/>
          <w:sz w:val="32"/>
          <w:szCs w:val="32"/>
        </w:rPr>
        <w:t>镍出口</w:t>
      </w:r>
      <w:proofErr w:type="gramEnd"/>
      <w:r w:rsidRPr="001944CF">
        <w:rPr>
          <w:rFonts w:ascii="宋体" w:eastAsia="宋体" w:hAnsi="宋体"/>
          <w:sz w:val="32"/>
          <w:szCs w:val="32"/>
        </w:rPr>
        <w:t xml:space="preserve">禁令（2024年新变量）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2. 极端事件预测需强化（台海冲突场景模拟）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 xml:space="preserve">&gt; </w:t>
      </w:r>
      <w:r w:rsidRPr="00F21D78">
        <w:rPr>
          <w:rFonts w:ascii="宋体" w:eastAsia="宋体" w:hAnsi="宋体"/>
          <w:b/>
          <w:sz w:val="32"/>
          <w:szCs w:val="32"/>
        </w:rPr>
        <w:t>未来方向：</w:t>
      </w:r>
      <w:r w:rsidRPr="001944CF">
        <w:rPr>
          <w:rFonts w:ascii="宋体" w:eastAsia="宋体" w:hAnsi="宋体"/>
          <w:sz w:val="32"/>
          <w:szCs w:val="32"/>
        </w:rPr>
        <w:t xml:space="preserve">集成LLM政策分析（如GPT-4解析法案）  </w:t>
      </w:r>
    </w:p>
    <w:p w:rsidR="001944CF" w:rsidRPr="001944CF" w:rsidRDefault="001944CF" w:rsidP="001944CF">
      <w:pPr>
        <w:rPr>
          <w:rFonts w:ascii="宋体" w:eastAsia="宋体" w:hAnsi="宋体"/>
          <w:sz w:val="32"/>
          <w:szCs w:val="32"/>
        </w:rPr>
      </w:pPr>
    </w:p>
    <w:p w:rsidR="001944CF" w:rsidRPr="001944CF" w:rsidRDefault="001944CF" w:rsidP="001944CF">
      <w:pPr>
        <w:rPr>
          <w:rFonts w:ascii="宋体" w:eastAsia="宋体" w:hAnsi="宋体" w:hint="eastAsia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---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b/>
          <w:sz w:val="24"/>
          <w:szCs w:val="24"/>
        </w:rPr>
        <w:t>参考文献</w:t>
      </w:r>
      <w:r w:rsidRPr="00F21D78">
        <w:rPr>
          <w:rFonts w:ascii="宋体" w:eastAsia="宋体" w:hAnsi="宋体"/>
          <w:sz w:val="24"/>
          <w:szCs w:val="24"/>
        </w:rPr>
        <w:t xml:space="preserve">  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 xml:space="preserve">[1] Caldara, D. &amp; </w:t>
      </w:r>
      <w:proofErr w:type="spellStart"/>
      <w:r w:rsidRPr="00F21D78">
        <w:rPr>
          <w:rFonts w:ascii="宋体" w:eastAsia="宋体" w:hAnsi="宋体"/>
          <w:sz w:val="24"/>
          <w:szCs w:val="24"/>
        </w:rPr>
        <w:t>Iacoviello</w:t>
      </w:r>
      <w:proofErr w:type="spellEnd"/>
      <w:r w:rsidRPr="00F21D78">
        <w:rPr>
          <w:rFonts w:ascii="宋体" w:eastAsia="宋体" w:hAnsi="宋体"/>
          <w:sz w:val="24"/>
          <w:szCs w:val="24"/>
        </w:rPr>
        <w:t xml:space="preserve">, M. (2022). *Measuring Geopolitical Risk*. FRB International Finance  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 xml:space="preserve">[2] 吕晶. (2024). *Spark外汇预警系统*. GitHub Repository </w:t>
      </w:r>
      <w:proofErr w:type="spellStart"/>
      <w:r w:rsidRPr="00F21D78">
        <w:rPr>
          <w:rFonts w:ascii="宋体" w:eastAsia="宋体" w:hAnsi="宋体"/>
          <w:sz w:val="24"/>
          <w:szCs w:val="24"/>
        </w:rPr>
        <w:t>djjtchyn</w:t>
      </w:r>
      <w:proofErr w:type="spellEnd"/>
      <w:r w:rsidRPr="00F21D78">
        <w:rPr>
          <w:rFonts w:ascii="宋体" w:eastAsia="宋体" w:hAnsi="宋体"/>
          <w:sz w:val="24"/>
          <w:szCs w:val="24"/>
        </w:rPr>
        <w:t xml:space="preserve">/FX-Risk-Model  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 xml:space="preserve">[3] IMF. (2023). *Global Financial Stability Report*  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b/>
          <w:sz w:val="24"/>
          <w:szCs w:val="24"/>
        </w:rPr>
        <w:t xml:space="preserve"> 附录</w:t>
      </w:r>
      <w:r w:rsidRPr="00F21D78">
        <w:rPr>
          <w:rFonts w:ascii="宋体" w:eastAsia="宋体" w:hAnsi="宋体"/>
          <w:sz w:val="24"/>
          <w:szCs w:val="24"/>
        </w:rPr>
        <w:t>（</w:t>
      </w:r>
      <w:proofErr w:type="gramStart"/>
      <w:r w:rsidRPr="00F21D78">
        <w:rPr>
          <w:rFonts w:ascii="宋体" w:eastAsia="宋体" w:hAnsi="宋体"/>
          <w:sz w:val="24"/>
          <w:szCs w:val="24"/>
        </w:rPr>
        <w:t>含可复现</w:t>
      </w:r>
      <w:proofErr w:type="gramEnd"/>
      <w:r w:rsidRPr="00F21D78">
        <w:rPr>
          <w:rFonts w:ascii="宋体" w:eastAsia="宋体" w:hAnsi="宋体"/>
          <w:sz w:val="24"/>
          <w:szCs w:val="24"/>
        </w:rPr>
        <w:t xml:space="preserve">代码）  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 xml:space="preserve">1. `GPRI_Calculator.py`：政策文本风险量化工具  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>2. `</w:t>
      </w:r>
      <w:proofErr w:type="spellStart"/>
      <w:r w:rsidRPr="00F21D78">
        <w:rPr>
          <w:rFonts w:ascii="宋体" w:eastAsia="宋体" w:hAnsi="宋体"/>
          <w:sz w:val="24"/>
          <w:szCs w:val="24"/>
        </w:rPr>
        <w:t>Hybrid_Forecast_Model.ipynb</w:t>
      </w:r>
      <w:proofErr w:type="spellEnd"/>
      <w:r w:rsidRPr="00F21D78">
        <w:rPr>
          <w:rFonts w:ascii="宋体" w:eastAsia="宋体" w:hAnsi="宋体"/>
          <w:sz w:val="24"/>
          <w:szCs w:val="24"/>
        </w:rPr>
        <w:t xml:space="preserve">`：ARIMA-LSTM混合架构  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 xml:space="preserve">3. 敏感性分析：蒙特卡洛模拟10,000次  </w:t>
      </w:r>
      <w:bookmarkStart w:id="0" w:name="_GoBack"/>
      <w:bookmarkEnd w:id="0"/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 xml:space="preserve">&gt; </w:t>
      </w:r>
      <w:r w:rsidRPr="00F21D78">
        <w:rPr>
          <w:rFonts w:ascii="宋体" w:eastAsia="宋体" w:hAnsi="宋体"/>
          <w:b/>
          <w:sz w:val="24"/>
          <w:szCs w:val="24"/>
        </w:rPr>
        <w:t>声明</w:t>
      </w:r>
      <w:r w:rsidRPr="00F21D78">
        <w:rPr>
          <w:rFonts w:ascii="宋体" w:eastAsia="宋体" w:hAnsi="宋体"/>
          <w:sz w:val="24"/>
          <w:szCs w:val="24"/>
        </w:rPr>
        <w:t>：本研究经某能源公司授权使用脱敏数据</w:t>
      </w:r>
    </w:p>
    <w:p w:rsidR="001944CF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/>
          <w:sz w:val="24"/>
          <w:szCs w:val="24"/>
        </w:rPr>
        <w:t xml:space="preserve">  </w:t>
      </w:r>
    </w:p>
    <w:p w:rsidR="009F5E2E" w:rsidRPr="00F21D78" w:rsidRDefault="001944CF" w:rsidP="001944CF">
      <w:pPr>
        <w:rPr>
          <w:rFonts w:ascii="宋体" w:eastAsia="宋体" w:hAnsi="宋体"/>
          <w:sz w:val="24"/>
          <w:szCs w:val="24"/>
        </w:rPr>
      </w:pPr>
      <w:r w:rsidRPr="00F21D78">
        <w:rPr>
          <w:rFonts w:ascii="宋体" w:eastAsia="宋体" w:hAnsi="宋体" w:hint="eastAsia"/>
          <w:sz w:val="24"/>
          <w:szCs w:val="24"/>
        </w:rPr>
        <w:t>如需</w:t>
      </w:r>
      <w:r w:rsidRPr="00F21D78">
        <w:rPr>
          <w:rFonts w:ascii="宋体" w:eastAsia="宋体" w:hAnsi="宋体"/>
          <w:sz w:val="24"/>
          <w:szCs w:val="24"/>
        </w:rPr>
        <w:t>Word完整版或</w:t>
      </w:r>
      <w:proofErr w:type="spellStart"/>
      <w:r w:rsidRPr="00F21D78">
        <w:rPr>
          <w:rFonts w:ascii="宋体" w:eastAsia="宋体" w:hAnsi="宋体"/>
          <w:sz w:val="24"/>
          <w:szCs w:val="24"/>
        </w:rPr>
        <w:t>LaTeX</w:t>
      </w:r>
      <w:proofErr w:type="spellEnd"/>
      <w:r w:rsidRPr="00F21D78">
        <w:rPr>
          <w:rFonts w:ascii="宋体" w:eastAsia="宋体" w:hAnsi="宋体"/>
          <w:sz w:val="24"/>
          <w:szCs w:val="24"/>
        </w:rPr>
        <w:t>源码，可通过邮箱3323330173@qq.com联系作者。</w:t>
      </w:r>
    </w:p>
    <w:sectPr w:rsidR="009F5E2E" w:rsidRPr="00F21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C3227"/>
    <w:multiLevelType w:val="hybridMultilevel"/>
    <w:tmpl w:val="24122F9A"/>
    <w:lvl w:ilvl="0" w:tplc="7D0C95AA">
      <w:start w:val="1"/>
      <w:numFmt w:val="japaneseCounting"/>
      <w:lvlText w:val="第%1章"/>
      <w:lvlJc w:val="left"/>
      <w:pPr>
        <w:ind w:left="3218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3" w:hanging="420"/>
      </w:pPr>
    </w:lvl>
    <w:lvl w:ilvl="2" w:tplc="0409001B" w:tentative="1">
      <w:start w:val="1"/>
      <w:numFmt w:val="lowerRoman"/>
      <w:lvlText w:val="%3."/>
      <w:lvlJc w:val="right"/>
      <w:pPr>
        <w:ind w:left="3353" w:hanging="420"/>
      </w:pPr>
    </w:lvl>
    <w:lvl w:ilvl="3" w:tplc="0409000F" w:tentative="1">
      <w:start w:val="1"/>
      <w:numFmt w:val="decimal"/>
      <w:lvlText w:val="%4."/>
      <w:lvlJc w:val="left"/>
      <w:pPr>
        <w:ind w:left="3773" w:hanging="420"/>
      </w:pPr>
    </w:lvl>
    <w:lvl w:ilvl="4" w:tplc="04090019" w:tentative="1">
      <w:start w:val="1"/>
      <w:numFmt w:val="lowerLetter"/>
      <w:lvlText w:val="%5)"/>
      <w:lvlJc w:val="left"/>
      <w:pPr>
        <w:ind w:left="4193" w:hanging="420"/>
      </w:pPr>
    </w:lvl>
    <w:lvl w:ilvl="5" w:tplc="0409001B" w:tentative="1">
      <w:start w:val="1"/>
      <w:numFmt w:val="lowerRoman"/>
      <w:lvlText w:val="%6."/>
      <w:lvlJc w:val="right"/>
      <w:pPr>
        <w:ind w:left="4613" w:hanging="420"/>
      </w:pPr>
    </w:lvl>
    <w:lvl w:ilvl="6" w:tplc="0409000F" w:tentative="1">
      <w:start w:val="1"/>
      <w:numFmt w:val="decimal"/>
      <w:lvlText w:val="%7."/>
      <w:lvlJc w:val="left"/>
      <w:pPr>
        <w:ind w:left="5033" w:hanging="420"/>
      </w:pPr>
    </w:lvl>
    <w:lvl w:ilvl="7" w:tplc="04090019" w:tentative="1">
      <w:start w:val="1"/>
      <w:numFmt w:val="lowerLetter"/>
      <w:lvlText w:val="%8)"/>
      <w:lvlJc w:val="left"/>
      <w:pPr>
        <w:ind w:left="5453" w:hanging="420"/>
      </w:pPr>
    </w:lvl>
    <w:lvl w:ilvl="8" w:tplc="0409001B" w:tentative="1">
      <w:start w:val="1"/>
      <w:numFmt w:val="lowerRoman"/>
      <w:lvlText w:val="%9."/>
      <w:lvlJc w:val="right"/>
      <w:pPr>
        <w:ind w:left="58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CF"/>
    <w:rsid w:val="001944CF"/>
    <w:rsid w:val="00520790"/>
    <w:rsid w:val="009F5E2E"/>
    <w:rsid w:val="00C2347D"/>
    <w:rsid w:val="00F2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83A6"/>
  <w15:chartTrackingRefBased/>
  <w15:docId w15:val="{C6CD2E33-707D-4FED-ACA1-6F8A593B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4CF"/>
    <w:pPr>
      <w:ind w:firstLineChars="200" w:firstLine="420"/>
    </w:pPr>
  </w:style>
  <w:style w:type="character" w:customStyle="1" w:styleId="mord">
    <w:name w:val="mord"/>
    <w:basedOn w:val="a0"/>
    <w:rsid w:val="00520790"/>
  </w:style>
  <w:style w:type="character" w:customStyle="1" w:styleId="vlist-s">
    <w:name w:val="vlist-s"/>
    <w:basedOn w:val="a0"/>
    <w:rsid w:val="00520790"/>
  </w:style>
  <w:style w:type="character" w:customStyle="1" w:styleId="mrel">
    <w:name w:val="mrel"/>
    <w:basedOn w:val="a0"/>
    <w:rsid w:val="00520790"/>
  </w:style>
  <w:style w:type="character" w:customStyle="1" w:styleId="mop">
    <w:name w:val="mop"/>
    <w:basedOn w:val="a0"/>
    <w:rsid w:val="00520790"/>
  </w:style>
  <w:style w:type="character" w:customStyle="1" w:styleId="mpunct">
    <w:name w:val="mpunct"/>
    <w:basedOn w:val="a0"/>
    <w:rsid w:val="00520790"/>
  </w:style>
  <w:style w:type="character" w:customStyle="1" w:styleId="mbin">
    <w:name w:val="mbin"/>
    <w:basedOn w:val="a0"/>
    <w:rsid w:val="00520790"/>
  </w:style>
  <w:style w:type="character" w:customStyle="1" w:styleId="d813de27">
    <w:name w:val="d813de27"/>
    <w:basedOn w:val="a0"/>
    <w:rsid w:val="00520790"/>
  </w:style>
  <w:style w:type="character" w:customStyle="1" w:styleId="code-info-button-text">
    <w:name w:val="code-info-button-text"/>
    <w:basedOn w:val="a0"/>
    <w:rsid w:val="00520790"/>
  </w:style>
  <w:style w:type="paragraph" w:styleId="HTML">
    <w:name w:val="HTML Preformatted"/>
    <w:basedOn w:val="a"/>
    <w:link w:val="HTML0"/>
    <w:uiPriority w:val="99"/>
    <w:semiHidden/>
    <w:unhideWhenUsed/>
    <w:rsid w:val="00520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079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20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9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852</Words>
  <Characters>4860</Characters>
  <Application>Microsoft Office Word</Application>
  <DocSecurity>0</DocSecurity>
  <Lines>40</Lines>
  <Paragraphs>11</Paragraphs>
  <ScaleCrop>false</ScaleCrop>
  <Company>DoubleOX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2025-07-24T09:44:00Z</dcterms:created>
  <dcterms:modified xsi:type="dcterms:W3CDTF">2025-07-25T00:49:00Z</dcterms:modified>
</cp:coreProperties>
</file>