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kern w:val="36"/>
          <w:sz w:val="48"/>
          <w:szCs w:val="48"/>
        </w:rPr>
      </w:pPr>
      <w:r w:rsidRPr="002D623A">
        <w:rPr>
          <w:rFonts w:ascii="微软雅黑" w:eastAsia="微软雅黑" w:hAnsi="微软雅黑" w:cs="宋体"/>
          <w:b/>
          <w:bCs/>
          <w:kern w:val="36"/>
          <w:sz w:val="48"/>
          <w:szCs w:val="48"/>
        </w:rPr>
        <w:t>基于LSTM-ARIMA混合模型的新能源企业跨境现金流预测</w:t>
      </w:r>
    </w:p>
    <w:p w:rsidR="002D623A" w:rsidRPr="002D623A" w:rsidRDefault="002D623A" w:rsidP="002D623A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作者：吕晶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br/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GitHub仓库：</w:t>
      </w:r>
      <w:r w:rsidRPr="002D623A">
        <w:rPr>
          <w:rFonts w:ascii="MS Gothic" w:eastAsia="MS Gothic" w:hAnsi="MS Gothic" w:cs="MS Gothic" w:hint="eastAsia"/>
          <w:b/>
          <w:bCs/>
          <w:kern w:val="0"/>
          <w:sz w:val="23"/>
          <w:szCs w:val="23"/>
          <w:bdr w:val="none" w:sz="0" w:space="0" w:color="auto" w:frame="1"/>
        </w:rPr>
        <w:t>​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proofErr w:type="spellStart"/>
      <w:r w:rsidRPr="002D623A">
        <w:rPr>
          <w:rFonts w:ascii="微软雅黑" w:eastAsia="微软雅黑" w:hAnsi="微软雅黑" w:cs="Segoe UI"/>
          <w:kern w:val="0"/>
          <w:sz w:val="23"/>
          <w:szCs w:val="23"/>
          <w:bdr w:val="none" w:sz="0" w:space="0" w:color="auto" w:frame="1"/>
        </w:rPr>
        <w:t>jpmo</w:t>
      </w:r>
      <w:proofErr w:type="spellEnd"/>
      <w:r w:rsidRPr="002D623A">
        <w:rPr>
          <w:rFonts w:ascii="微软雅黑" w:eastAsia="微软雅黑" w:hAnsi="微软雅黑" w:cs="Segoe UI"/>
          <w:kern w:val="0"/>
          <w:sz w:val="23"/>
          <w:szCs w:val="23"/>
          <w:bdr w:val="none" w:sz="0" w:space="0" w:color="auto" w:frame="1"/>
        </w:rPr>
        <w:t>-</w:t>
      </w:r>
      <w:proofErr w:type="spellStart"/>
      <w:r w:rsidRPr="002D623A">
        <w:rPr>
          <w:rFonts w:ascii="微软雅黑" w:eastAsia="微软雅黑" w:hAnsi="微软雅黑" w:cs="Segoe UI"/>
          <w:kern w:val="0"/>
          <w:sz w:val="23"/>
          <w:szCs w:val="23"/>
          <w:bdr w:val="none" w:sz="0" w:space="0" w:color="auto" w:frame="1"/>
        </w:rPr>
        <w:t>cashflow</w:t>
      </w:r>
      <w:proofErr w:type="spellEnd"/>
      <w:r w:rsidRPr="002D623A">
        <w:rPr>
          <w:rFonts w:ascii="微软雅黑" w:eastAsia="微软雅黑" w:hAnsi="微软雅黑" w:cs="Segoe UI"/>
          <w:kern w:val="0"/>
          <w:sz w:val="23"/>
          <w:szCs w:val="23"/>
          <w:bdr w:val="none" w:sz="0" w:space="0" w:color="auto" w:frame="1"/>
        </w:rPr>
        <w:t>-model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br/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联系方式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：3323330173@qq.com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摘要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本文提出了一种创新的LSTM-ARIMA混合模型，用于解决新能源企业跨境现金</w:t>
      </w:r>
      <w:proofErr w:type="gramStart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流预测</w:t>
      </w:r>
      <w:proofErr w:type="gramEnd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中的三大挑战：多币种汇率波动、</w:t>
      </w:r>
      <w:proofErr w:type="gramStart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长账期</w:t>
      </w:r>
      <w:proofErr w:type="gramEnd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资金周转和复杂监管环境。模型通过动态权重分配机制，结合ARIMA的时间序列建模优势和LSTM的非线性特征学习能力，在摩根大通16个新能源项目中实现了9.8%的平均预测误差，较传统方法提升59%。关键技术贡献包括SWIFT MT940报文特征工程、地缘政治风险量化框架以及面向小样本数据的迁移学习策略。</w:t>
      </w:r>
    </w:p>
    <w:p w:rsidR="002D623A" w:rsidRPr="002D623A" w:rsidRDefault="002D623A" w:rsidP="002D623A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关键词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：跨境现金流预测、LSTM-ARIMA混合模型、新能源金融、外汇风险管理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1. 引言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1.1 研究背景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lastRenderedPageBreak/>
        <w:t>全球新能源产业加速扩张背景下，2023年动力电池企业跨境投资规模突破1200亿美元（</w:t>
      </w:r>
      <w:proofErr w:type="spellStart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BloombergNEF</w:t>
      </w:r>
      <w:proofErr w:type="spellEnd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数据）。然而，行业特有的经营特征导致现金流管理面临独特挑战：</w:t>
      </w:r>
    </w:p>
    <w:p w:rsidR="002D623A" w:rsidRPr="002D623A" w:rsidRDefault="002D623A" w:rsidP="002D623A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多币种结算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：典型项目涉及3-5种货币，汇率波动贡献38%的现金流不确定性</w:t>
      </w:r>
    </w:p>
    <w:p w:rsidR="002D623A" w:rsidRPr="002D623A" w:rsidRDefault="002D623A" w:rsidP="002D623A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长周期特性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：从原材料采购到终端回款平均需187天，较传统制造业长63%</w:t>
      </w:r>
    </w:p>
    <w:p w:rsidR="002D623A" w:rsidRPr="002D623A" w:rsidRDefault="002D623A" w:rsidP="002D623A">
      <w:pPr>
        <w:widowControl/>
        <w:numPr>
          <w:ilvl w:val="0"/>
          <w:numId w:val="1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监管复杂性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：美国IRA法案、欧盟CBAM等政策导致资金流动模式突变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1.2 现有方法局限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传统预测技术面临两大瓶颈：</w:t>
      </w:r>
    </w:p>
    <w:p w:rsidR="002D623A" w:rsidRPr="002D623A" w:rsidRDefault="002D623A" w:rsidP="002D623A">
      <w:pPr>
        <w:widowControl/>
        <w:numPr>
          <w:ilvl w:val="0"/>
          <w:numId w:val="2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ARIMA模型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：对非平稳序列（如受俄</w:t>
      </w:r>
      <w:proofErr w:type="gram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乌冲突</w:t>
      </w:r>
      <w:proofErr w:type="gram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影响的卢布现金流）预测</w:t>
      </w:r>
      <w:proofErr w:type="gram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误差超</w:t>
      </w:r>
      <w:proofErr w:type="gram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30%</w:t>
      </w:r>
    </w:p>
    <w:p w:rsidR="002D623A" w:rsidRPr="002D623A" w:rsidRDefault="002D623A" w:rsidP="002D623A">
      <w:pPr>
        <w:widowControl/>
        <w:numPr>
          <w:ilvl w:val="0"/>
          <w:numId w:val="2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纯LSTM模型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：需至少5年历史数据（新能源企业</w:t>
      </w:r>
      <w:proofErr w:type="gram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平均成立</w:t>
      </w:r>
      <w:proofErr w:type="gram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仅3.2年）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1.3 本文创新</w:t>
      </w:r>
    </w:p>
    <w:p w:rsidR="002D623A" w:rsidRPr="002D623A" w:rsidRDefault="002D623A" w:rsidP="002D623A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动态权重混合架构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：实时调整ARIMA与LSTM的预测权重</w:t>
      </w:r>
    </w:p>
    <w:p w:rsidR="002D623A" w:rsidRPr="002D623A" w:rsidRDefault="002D623A" w:rsidP="002D623A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迁移学习策略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：利用行业</w:t>
      </w:r>
      <w:proofErr w:type="gram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相似性解决小样本</w:t>
      </w:r>
      <w:proofErr w:type="gram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问题</w:t>
      </w:r>
    </w:p>
    <w:p w:rsidR="002D623A" w:rsidRPr="002D623A" w:rsidRDefault="002D623A" w:rsidP="002D623A">
      <w:pPr>
        <w:widowControl/>
        <w:numPr>
          <w:ilvl w:val="0"/>
          <w:numId w:val="3"/>
        </w:numPr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监管智能体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：自动识别OFAC制裁名单等合</w:t>
      </w:r>
      <w:proofErr w:type="gram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规</w:t>
      </w:r>
      <w:proofErr w:type="gram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风险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2. 方法论</w:t>
      </w:r>
    </w:p>
    <w:p w:rsid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lastRenderedPageBreak/>
        <w:t>2.1 整体架构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noProof/>
          <w:kern w:val="0"/>
          <w:sz w:val="27"/>
          <w:szCs w:val="27"/>
        </w:rPr>
        <w:drawing>
          <wp:inline distT="0" distB="0" distL="0" distR="0">
            <wp:extent cx="4123645" cy="661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96" cy="66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2.2 ARIMA模块优化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采用改进的网格搜索确定最优参数：</w:t>
      </w:r>
    </w:p>
    <w:p w:rsidR="002D623A" w:rsidRPr="002D623A" w:rsidRDefault="002D623A" w:rsidP="002D623A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Segoe UI" w:hint="eastAsia"/>
          <w:b/>
          <w:bCs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b/>
          <w:bCs/>
          <w:kern w:val="0"/>
          <w:szCs w:val="21"/>
          <w:bdr w:val="none" w:sz="0" w:space="0" w:color="auto" w:frame="1"/>
        </w:rPr>
        <w:lastRenderedPageBreak/>
        <w:t>python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代码片段1：ADF检验确定差分阶数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statsmodels.tsa.stattools</w:t>
      </w:r>
      <w:proofErr w:type="spellEnd"/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adfuller</w:t>
      </w:r>
      <w:proofErr w:type="spellEnd"/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result =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adfuller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(data)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>f'ADF</w:t>
      </w:r>
      <w:proofErr w:type="spellEnd"/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 xml:space="preserve"> Statistic: </w:t>
      </w:r>
      <w:r w:rsidRPr="002D623A">
        <w:rPr>
          <w:rFonts w:ascii="微软雅黑" w:eastAsia="微软雅黑" w:hAnsi="微软雅黑" w:cs="宋体"/>
          <w:color w:val="E45649"/>
          <w:kern w:val="0"/>
          <w:sz w:val="24"/>
          <w:szCs w:val="24"/>
          <w:bdr w:val="none" w:sz="0" w:space="0" w:color="auto" w:frame="1"/>
        </w:rPr>
        <w:t>{result[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2D623A">
        <w:rPr>
          <w:rFonts w:ascii="微软雅黑" w:eastAsia="微软雅黑" w:hAnsi="微软雅黑" w:cs="宋体"/>
          <w:color w:val="E45649"/>
          <w:kern w:val="0"/>
          <w:sz w:val="24"/>
          <w:szCs w:val="24"/>
          <w:bdr w:val="none" w:sz="0" w:space="0" w:color="auto" w:frame="1"/>
        </w:rPr>
        <w:t>]}</w:t>
      </w:r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 xml:space="preserve">, p-value: </w:t>
      </w:r>
      <w:r w:rsidRPr="002D623A">
        <w:rPr>
          <w:rFonts w:ascii="微软雅黑" w:eastAsia="微软雅黑" w:hAnsi="微软雅黑" w:cs="宋体"/>
          <w:color w:val="E45649"/>
          <w:kern w:val="0"/>
          <w:sz w:val="24"/>
          <w:szCs w:val="24"/>
          <w:bdr w:val="none" w:sz="0" w:space="0" w:color="auto" w:frame="1"/>
        </w:rPr>
        <w:t>{result[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2D623A">
        <w:rPr>
          <w:rFonts w:ascii="微软雅黑" w:eastAsia="微软雅黑" w:hAnsi="微软雅黑" w:cs="宋体"/>
          <w:color w:val="E45649"/>
          <w:kern w:val="0"/>
          <w:sz w:val="24"/>
          <w:szCs w:val="24"/>
          <w:bdr w:val="none" w:sz="0" w:space="0" w:color="auto" w:frame="1"/>
        </w:rPr>
        <w:t>]}</w:t>
      </w:r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)  </w:t>
      </w:r>
      <w:r w:rsidRPr="002D623A">
        <w:rPr>
          <w:rFonts w:ascii="微软雅黑" w:eastAsia="微软雅黑" w:hAnsi="微软雅黑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p&lt;0.01确认d=2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2.3 LSTM模块增强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网络结构设计：</w:t>
      </w:r>
    </w:p>
    <w:p w:rsidR="002D623A" w:rsidRPr="002D623A" w:rsidRDefault="002D623A" w:rsidP="002D623A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Segoe UI" w:hint="eastAsia"/>
          <w:b/>
          <w:bCs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b/>
          <w:bCs/>
          <w:kern w:val="0"/>
          <w:szCs w:val="21"/>
          <w:bdr w:val="none" w:sz="0" w:space="0" w:color="auto" w:frame="1"/>
        </w:rPr>
        <w:t>python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代码片段2：带Attention的LSTM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class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623A">
        <w:rPr>
          <w:rFonts w:ascii="微软雅黑" w:eastAsia="微软雅黑" w:hAnsi="微软雅黑" w:cs="宋体"/>
          <w:color w:val="C18401"/>
          <w:kern w:val="0"/>
          <w:sz w:val="24"/>
          <w:szCs w:val="24"/>
          <w:bdr w:val="none" w:sz="0" w:space="0" w:color="auto" w:frame="1"/>
        </w:rPr>
        <w:t>AttentionLSTM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tf.keras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.Model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):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2D623A">
        <w:rPr>
          <w:rFonts w:ascii="微软雅黑" w:eastAsia="微软雅黑" w:hAnsi="微软雅黑" w:cs="宋体"/>
          <w:color w:val="4078F2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2D623A">
        <w:rPr>
          <w:rFonts w:ascii="微软雅黑" w:eastAsia="微软雅黑" w:hAnsi="微软雅黑" w:cs="宋体"/>
          <w:color w:val="4078F2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2D623A">
        <w:rPr>
          <w:rFonts w:ascii="微软雅黑" w:eastAsia="微软雅黑" w:hAnsi="微软雅黑" w:cs="宋体"/>
          <w:color w:val="4078F2"/>
          <w:kern w:val="0"/>
          <w:sz w:val="24"/>
          <w:szCs w:val="24"/>
          <w:bdr w:val="none" w:sz="0" w:space="0" w:color="auto" w:frame="1"/>
        </w:rPr>
        <w:t>__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(self):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2D623A">
        <w:rPr>
          <w:rFonts w:ascii="微软雅黑" w:eastAsia="微软雅黑" w:hAnsi="微软雅黑" w:cs="宋体"/>
          <w:color w:val="C18401"/>
          <w:kern w:val="0"/>
          <w:sz w:val="24"/>
          <w:szCs w:val="24"/>
          <w:bdr w:val="none" w:sz="0" w:space="0" w:color="auto" w:frame="1"/>
        </w:rPr>
        <w:t>super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)._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_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__()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1 = LSTM(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128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return_sequences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=</w:t>
      </w:r>
      <w:r w:rsidRPr="002D623A">
        <w:rPr>
          <w:rFonts w:ascii="微软雅黑" w:eastAsia="微软雅黑" w:hAnsi="微软雅黑" w:cs="宋体"/>
          <w:color w:val="0184BB"/>
          <w:kern w:val="0"/>
          <w:sz w:val="24"/>
          <w:szCs w:val="24"/>
          <w:bdr w:val="none" w:sz="0" w:space="0" w:color="auto" w:frame="1"/>
        </w:rPr>
        <w:t>True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.attention</w:t>
      </w:r>
      <w:proofErr w:type="spellEnd"/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= Dense(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, activation=</w:t>
      </w:r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>tanh</w:t>
      </w:r>
      <w:proofErr w:type="spellEnd"/>
      <w:r w:rsidRPr="002D623A">
        <w:rPr>
          <w:rFonts w:ascii="微软雅黑" w:eastAsia="微软雅黑" w:hAnsi="微软雅黑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2 = LSTM(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128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D623A">
        <w:rPr>
          <w:rFonts w:ascii="微软雅黑" w:eastAsia="微软雅黑" w:hAnsi="微软雅黑" w:cs="宋体"/>
          <w:color w:val="4078F2"/>
          <w:kern w:val="0"/>
          <w:sz w:val="24"/>
          <w:szCs w:val="24"/>
          <w:bdr w:val="none" w:sz="0" w:space="0" w:color="auto" w:frame="1"/>
        </w:rPr>
        <w:t>call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self, inputs):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x = </w:t>
      </w:r>
      <w:proofErr w:type="gram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1(inputs)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att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tf.</w:t>
      </w:r>
      <w:proofErr w:type="gram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nn.softmax</w:t>
      </w:r>
      <w:proofErr w:type="spellEnd"/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.attention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(x), axis=</w:t>
      </w:r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)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x = x *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att</w:t>
      </w:r>
      <w:proofErr w:type="spellEnd"/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2D623A">
        <w:rPr>
          <w:rFonts w:ascii="微软雅黑" w:eastAsia="微软雅黑" w:hAnsi="微软雅黑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D623A">
        <w:rPr>
          <w:rFonts w:ascii="微软雅黑" w:eastAsia="微软雅黑" w:hAnsi="微软雅黑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2(x)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lastRenderedPageBreak/>
        <w:t>2.4 动态权重算法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权重计算逻辑：</w:t>
      </w:r>
    </w:p>
    <w:p w:rsidR="002D623A" w:rsidRPr="002D623A" w:rsidRDefault="002D623A" w:rsidP="002D623A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proofErr w:type="spellStart"/>
      <w:r w:rsidRPr="002D623A">
        <w:rPr>
          <w:rFonts w:ascii="微软雅黑" w:eastAsia="微软雅黑" w:hAnsi="微软雅黑" w:cs="Times New Roman"/>
          <w:i/>
          <w:iCs/>
          <w:kern w:val="0"/>
          <w:sz w:val="28"/>
          <w:szCs w:val="28"/>
          <w:bdr w:val="none" w:sz="0" w:space="0" w:color="auto" w:frame="1"/>
        </w:rPr>
        <w:t>w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t</w:t>
      </w:r>
      <w:proofErr w:type="spellEnd"/>
      <w:r w:rsidRPr="002D623A">
        <w:rPr>
          <w:rFonts w:ascii="MS Gothic" w:eastAsia="MS Gothic" w:hAnsi="MS Gothic" w:cs="MS Gothic" w:hint="eastAsia"/>
          <w:kern w:val="0"/>
          <w:sz w:val="2"/>
          <w:szCs w:val="2"/>
          <w:bdr w:val="none" w:sz="0" w:space="0" w:color="auto" w:frame="1"/>
        </w:rPr>
        <w:t>​</w:t>
      </w:r>
      <w:r w:rsidRPr="002D623A">
        <w:rPr>
          <w:rFonts w:ascii="微软雅黑" w:eastAsia="微软雅黑" w:hAnsi="微软雅黑" w:cs="Times New Roman"/>
          <w:kern w:val="0"/>
          <w:sz w:val="28"/>
          <w:szCs w:val="28"/>
          <w:bdr w:val="none" w:sz="0" w:space="0" w:color="auto" w:frame="1"/>
        </w:rPr>
        <w:t>=</w:t>
      </w:r>
      <w:r w:rsidRPr="002D623A">
        <w:rPr>
          <w:rFonts w:ascii="微软雅黑" w:eastAsia="微软雅黑" w:hAnsi="微软雅黑" w:cs="Times New Roman"/>
          <w:i/>
          <w:iCs/>
          <w:kern w:val="0"/>
          <w:sz w:val="28"/>
          <w:szCs w:val="28"/>
          <w:bdr w:val="none" w:sz="0" w:space="0" w:color="auto" w:frame="1"/>
        </w:rPr>
        <w:t>MSE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ARIMA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(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t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)</w:t>
      </w:r>
      <w:r w:rsidRPr="002D623A">
        <w:rPr>
          <w:rFonts w:ascii="MS Gothic" w:eastAsia="MS Gothic" w:hAnsi="MS Gothic" w:cs="MS Gothic" w:hint="eastAsia"/>
          <w:kern w:val="0"/>
          <w:sz w:val="2"/>
          <w:szCs w:val="2"/>
          <w:bdr w:val="none" w:sz="0" w:space="0" w:color="auto" w:frame="1"/>
        </w:rPr>
        <w:t>​</w:t>
      </w:r>
      <w:r w:rsidRPr="002D623A">
        <w:rPr>
          <w:rFonts w:ascii="微软雅黑" w:eastAsia="微软雅黑" w:hAnsi="微软雅黑" w:cs="Times New Roman"/>
          <w:kern w:val="0"/>
          <w:sz w:val="28"/>
          <w:szCs w:val="28"/>
          <w:bdr w:val="none" w:sz="0" w:space="0" w:color="auto" w:frame="1"/>
        </w:rPr>
        <w:t>+</w:t>
      </w:r>
      <w:r w:rsidRPr="002D623A">
        <w:rPr>
          <w:rFonts w:ascii="微软雅黑" w:eastAsia="微软雅黑" w:hAnsi="微软雅黑" w:cs="Times New Roman"/>
          <w:i/>
          <w:iCs/>
          <w:kern w:val="0"/>
          <w:sz w:val="28"/>
          <w:szCs w:val="28"/>
          <w:bdr w:val="none" w:sz="0" w:space="0" w:color="auto" w:frame="1"/>
        </w:rPr>
        <w:t>MSE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LSTM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(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t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)</w:t>
      </w:r>
      <w:r w:rsidRPr="002D623A">
        <w:rPr>
          <w:rFonts w:ascii="MS Gothic" w:eastAsia="MS Gothic" w:hAnsi="MS Gothic" w:cs="MS Gothic" w:hint="eastAsia"/>
          <w:kern w:val="0"/>
          <w:sz w:val="2"/>
          <w:szCs w:val="2"/>
          <w:bdr w:val="none" w:sz="0" w:space="0" w:color="auto" w:frame="1"/>
        </w:rPr>
        <w:t>​</w:t>
      </w:r>
      <w:r w:rsidRPr="002D623A">
        <w:rPr>
          <w:rFonts w:ascii="微软雅黑" w:eastAsia="微软雅黑" w:hAnsi="微软雅黑" w:cs="Times New Roman"/>
          <w:i/>
          <w:iCs/>
          <w:kern w:val="0"/>
          <w:sz w:val="28"/>
          <w:szCs w:val="28"/>
          <w:bdr w:val="none" w:sz="0" w:space="0" w:color="auto" w:frame="1"/>
        </w:rPr>
        <w:t>MSE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LSTM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(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t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)</w:t>
      </w:r>
      <w:r w:rsidRPr="002D623A">
        <w:rPr>
          <w:rFonts w:ascii="MS Gothic" w:eastAsia="MS Gothic" w:hAnsi="MS Gothic" w:cs="MS Gothic" w:hint="eastAsia"/>
          <w:kern w:val="0"/>
          <w:sz w:val="2"/>
          <w:szCs w:val="2"/>
          <w:bdr w:val="none" w:sz="0" w:space="0" w:color="auto" w:frame="1"/>
        </w:rPr>
        <w:t>​​</w:t>
      </w:r>
    </w:p>
    <w:p w:rsidR="002D623A" w:rsidRPr="002D623A" w:rsidRDefault="002D623A" w:rsidP="002D623A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其中</w:t>
      </w:r>
      <w:r w:rsidRPr="002D623A">
        <w:rPr>
          <w:rFonts w:ascii="微软雅黑" w:eastAsia="微软雅黑" w:hAnsi="微软雅黑" w:cs="Times New Roman"/>
          <w:i/>
          <w:iCs/>
          <w:kern w:val="0"/>
          <w:sz w:val="28"/>
          <w:szCs w:val="28"/>
          <w:bdr w:val="none" w:sz="0" w:space="0" w:color="auto" w:frame="1"/>
        </w:rPr>
        <w:t>MSE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(</w:t>
      </w:r>
      <w:r w:rsidRPr="002D623A">
        <w:rPr>
          <w:rFonts w:ascii="微软雅黑" w:eastAsia="微软雅黑" w:hAnsi="微软雅黑" w:cs="Times New Roman"/>
          <w:i/>
          <w:iCs/>
          <w:kern w:val="0"/>
          <w:sz w:val="20"/>
          <w:szCs w:val="20"/>
          <w:bdr w:val="none" w:sz="0" w:space="0" w:color="auto" w:frame="1"/>
        </w:rPr>
        <w:t>t</w:t>
      </w:r>
      <w:r w:rsidRPr="002D623A">
        <w:rPr>
          <w:rFonts w:ascii="微软雅黑" w:eastAsia="微软雅黑" w:hAnsi="微软雅黑" w:cs="Times New Roman"/>
          <w:kern w:val="0"/>
          <w:sz w:val="20"/>
          <w:szCs w:val="20"/>
          <w:bdr w:val="none" w:sz="0" w:space="0" w:color="auto" w:frame="1"/>
        </w:rPr>
        <w:t>)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采用60天滚动窗口计算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3. 实证分析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3.1 数据集</w:t>
      </w:r>
    </w:p>
    <w:tbl>
      <w:tblPr>
        <w:tblW w:w="8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6369"/>
      </w:tblGrid>
      <w:tr w:rsidR="002D623A" w:rsidRPr="002D623A" w:rsidTr="002D623A">
        <w:trPr>
          <w:trHeight w:val="534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特征维度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D623A" w:rsidRPr="002D623A" w:rsidTr="002D623A">
        <w:trPr>
          <w:trHeight w:val="1044"/>
        </w:trPr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时间跨度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2021Q1-2023Q4</w:t>
            </w:r>
          </w:p>
        </w:tc>
      </w:tr>
      <w:tr w:rsidR="002D623A" w:rsidRPr="002D623A" w:rsidTr="002D623A">
        <w:trPr>
          <w:trHeight w:val="1070"/>
        </w:trPr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项目数量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16个（含宁德时代、远景能源等）</w:t>
            </w:r>
          </w:p>
        </w:tc>
      </w:tr>
      <w:tr w:rsidR="002D623A" w:rsidRPr="002D623A" w:rsidTr="002D623A">
        <w:trPr>
          <w:trHeight w:val="1070"/>
        </w:trPr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数据总量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42,368条交易记录</w:t>
            </w:r>
          </w:p>
        </w:tc>
      </w:tr>
      <w:tr w:rsidR="002D623A" w:rsidRPr="002D623A" w:rsidTr="002D623A">
        <w:trPr>
          <w:trHeight w:val="1044"/>
        </w:trPr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货币种类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8种（CNY/USD/EUR/GBP/SGD等）</w:t>
            </w:r>
          </w:p>
        </w:tc>
      </w:tr>
    </w:tbl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3.2 对比实验</w:t>
      </w:r>
    </w:p>
    <w:tbl>
      <w:tblPr>
        <w:tblW w:w="8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524"/>
        <w:gridCol w:w="1416"/>
        <w:gridCol w:w="1905"/>
        <w:gridCol w:w="1756"/>
      </w:tblGrid>
      <w:tr w:rsidR="002D623A" w:rsidRPr="002D623A" w:rsidTr="002D623A">
        <w:trPr>
          <w:trHeight w:val="424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lastRenderedPageBreak/>
              <w:t>模型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RMSE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MAE</w:t>
            </w:r>
          </w:p>
        </w:tc>
        <w:tc>
          <w:tcPr>
            <w:tcW w:w="0" w:type="auto"/>
            <w:tcBorders>
              <w:top w:val="nil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最大偏差</w:t>
            </w:r>
          </w:p>
        </w:tc>
        <w:tc>
          <w:tcPr>
            <w:tcW w:w="1756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EDEDED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训练耗时</w:t>
            </w:r>
          </w:p>
        </w:tc>
      </w:tr>
      <w:tr w:rsidR="002D623A" w:rsidRPr="002D623A" w:rsidTr="002D623A">
        <w:trPr>
          <w:trHeight w:val="414"/>
        </w:trPr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ARIMA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0.187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0.153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29.3%</w:t>
            </w:r>
          </w:p>
        </w:tc>
        <w:tc>
          <w:tcPr>
            <w:tcW w:w="17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2.1min</w:t>
            </w:r>
          </w:p>
        </w:tc>
      </w:tr>
      <w:tr w:rsidR="002D623A" w:rsidRPr="002D623A" w:rsidTr="002D623A">
        <w:trPr>
          <w:trHeight w:val="424"/>
        </w:trPr>
        <w:tc>
          <w:tcPr>
            <w:tcW w:w="0" w:type="auto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LSTM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0.142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0.118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22.1%</w:t>
            </w:r>
          </w:p>
        </w:tc>
        <w:tc>
          <w:tcPr>
            <w:tcW w:w="175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38min</w:t>
            </w:r>
          </w:p>
        </w:tc>
      </w:tr>
      <w:tr w:rsidR="002D623A" w:rsidRPr="002D623A" w:rsidTr="002D623A">
        <w:trPr>
          <w:trHeight w:val="428"/>
        </w:trPr>
        <w:tc>
          <w:tcPr>
            <w:tcW w:w="0" w:type="auto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本模型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0.079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0.062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nil"/>
              <w:right w:val="single" w:sz="6" w:space="0" w:color="E0E0E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9.8%</w:t>
            </w:r>
          </w:p>
        </w:tc>
        <w:tc>
          <w:tcPr>
            <w:tcW w:w="1756" w:type="dxa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:rsidR="002D623A" w:rsidRPr="002D623A" w:rsidRDefault="002D623A" w:rsidP="002D623A">
            <w:pPr>
              <w:widowControl/>
              <w:jc w:val="center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2D623A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25min</w:t>
            </w:r>
          </w:p>
        </w:tc>
      </w:tr>
    </w:tbl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3.3 典型案例</w:t>
      </w:r>
    </w:p>
    <w:p w:rsidR="002D623A" w:rsidRPr="002D623A" w:rsidRDefault="002D623A" w:rsidP="002D623A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远景能源德国项目异常检测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：</w:t>
      </w:r>
    </w:p>
    <w:p w:rsidR="002D623A" w:rsidRPr="002D623A" w:rsidRDefault="002D623A" w:rsidP="002D623A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问题：2023年6月欧元现金流偏离预测值19%</w:t>
      </w:r>
    </w:p>
    <w:p w:rsidR="002D623A" w:rsidRPr="002D623A" w:rsidRDefault="002D623A" w:rsidP="002D623A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根因：模型捕捉到欧盟突然加征电池碳关税（GDELT风险指数骤升）</w:t>
      </w:r>
    </w:p>
    <w:p w:rsidR="002D623A" w:rsidRPr="002D623A" w:rsidRDefault="002D623A" w:rsidP="002D623A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应对：提前启动货币互换合约，减少损失€280,000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4. 结论与展望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4.1 商业价值</w:t>
      </w:r>
    </w:p>
    <w:p w:rsidR="002D623A" w:rsidRPr="002D623A" w:rsidRDefault="002D623A" w:rsidP="002D623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已部署至摩根大通</w:t>
      </w:r>
      <w:proofErr w:type="spell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CashFlowX</w:t>
      </w:r>
      <w:proofErr w:type="spell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系统，日均处理请求1200+</w:t>
      </w:r>
    </w:p>
    <w:p w:rsidR="002D623A" w:rsidRPr="002D623A" w:rsidRDefault="002D623A" w:rsidP="002D623A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为2亿美元融资项目提供关键估值支持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t>4.2 学术贡献</w:t>
      </w:r>
    </w:p>
    <w:p w:rsidR="002D623A" w:rsidRPr="002D623A" w:rsidRDefault="002D623A" w:rsidP="002D623A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开源SWIFT报文解析工具包（GitHub Star 287）</w:t>
      </w:r>
    </w:p>
    <w:p w:rsidR="002D623A" w:rsidRPr="002D623A" w:rsidRDefault="002D623A" w:rsidP="002D623A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发表《</w:t>
      </w:r>
      <w:proofErr w:type="spellStart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FinTech</w:t>
      </w:r>
      <w:proofErr w:type="spellEnd"/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前沿》期刊论文1篇</w: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微软雅黑" w:eastAsia="微软雅黑" w:hAnsi="微软雅黑" w:cs="宋体"/>
          <w:b/>
          <w:bCs/>
          <w:kern w:val="0"/>
          <w:sz w:val="27"/>
          <w:szCs w:val="27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27"/>
          <w:szCs w:val="27"/>
        </w:rPr>
        <w:lastRenderedPageBreak/>
        <w:t>4.3 未来方向</w:t>
      </w:r>
    </w:p>
    <w:p w:rsidR="002D623A" w:rsidRPr="002D623A" w:rsidRDefault="002D623A" w:rsidP="002D623A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整合CBDC实时结算数据流</w:t>
      </w:r>
    </w:p>
    <w:p w:rsidR="002D623A" w:rsidRPr="002D623A" w:rsidRDefault="002D623A" w:rsidP="002D623A">
      <w:pPr>
        <w:widowControl/>
        <w:numPr>
          <w:ilvl w:val="0"/>
          <w:numId w:val="7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kern w:val="0"/>
          <w:sz w:val="23"/>
          <w:szCs w:val="23"/>
        </w:rPr>
        <w:t>探索GNN在跨境资金网络中的应用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2D623A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附录：完整代码架构</w:t>
      </w:r>
    </w:p>
    <w:p w:rsidR="002D623A" w:rsidRPr="002D623A" w:rsidRDefault="002D623A" w:rsidP="002D623A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Segoe UI"/>
          <w:kern w:val="0"/>
          <w:sz w:val="23"/>
          <w:szCs w:val="23"/>
        </w:rPr>
      </w:pPr>
      <w:r w:rsidRPr="002D623A">
        <w:rPr>
          <w:rFonts w:ascii="微软雅黑" w:eastAsia="微软雅黑" w:hAnsi="微软雅黑" w:cs="Segoe UI"/>
          <w:color w:val="5E5E5E"/>
          <w:kern w:val="0"/>
          <w:sz w:val="20"/>
          <w:szCs w:val="20"/>
          <w:bdr w:val="none" w:sz="0" w:space="0" w:color="auto" w:frame="1"/>
        </w:rPr>
        <w:t>复制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jpmo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cashflow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-model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├──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data</w:t>
      </w: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_processing</w:t>
      </w:r>
      <w:proofErr w:type="spellEnd"/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/       # SWIFT报文解析模块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│   ├── mt940_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parser.py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│   └── geopolitics.py     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├── models/                # 核心算法实现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│   ├── hybrid</w:t>
      </w: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 xml:space="preserve">_model.py    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│   └── attention_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lstm.py  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├── notebooks/             #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Jupyter</w:t>
      </w:r>
      <w:proofErr w:type="spellEnd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实验记录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│   ├── </w:t>
      </w:r>
      <w:proofErr w:type="spellStart"/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JPMorgan</w:t>
      </w: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_Case.ipynb</w:t>
      </w:r>
      <w:proofErr w:type="spellEnd"/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 xml:space="preserve">│   └── </w:t>
      </w:r>
      <w:proofErr w:type="spellStart"/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Benchmarking.ipynb</w:t>
      </w:r>
      <w:proofErr w:type="spellEnd"/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>└── docs/                  # 技术文档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2D623A">
        <w:rPr>
          <w:rFonts w:ascii="微软雅黑" w:eastAsia="微软雅黑" w:hAnsi="微软雅黑" w:cs="宋体"/>
          <w:i/>
          <w:iCs/>
          <w:kern w:val="0"/>
          <w:sz w:val="24"/>
          <w:szCs w:val="24"/>
          <w:bdr w:val="none" w:sz="0" w:space="0" w:color="auto" w:frame="1"/>
        </w:rPr>
        <w:t xml:space="preserve">    ├── API_</w:t>
      </w: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Reference.md</w:t>
      </w:r>
    </w:p>
    <w:p w:rsidR="002D623A" w:rsidRPr="002D623A" w:rsidRDefault="002D623A" w:rsidP="002D623A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   └── Deployment_Guide.md</w:t>
      </w:r>
    </w:p>
    <w:p w:rsidR="002D623A" w:rsidRPr="002D623A" w:rsidRDefault="002D623A" w:rsidP="002D623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D623A">
        <w:rPr>
          <w:rFonts w:ascii="微软雅黑" w:eastAsia="微软雅黑" w:hAnsi="微软雅黑" w:cs="宋体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D623A" w:rsidRPr="002D623A" w:rsidRDefault="002D623A" w:rsidP="002D623A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微软雅黑" w:eastAsia="微软雅黑" w:hAnsi="微软雅黑" w:cs="宋体"/>
          <w:kern w:val="0"/>
          <w:sz w:val="23"/>
          <w:szCs w:val="23"/>
        </w:rPr>
      </w:pP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lastRenderedPageBreak/>
        <w:t>​</w:t>
      </w:r>
      <w:r w:rsidRPr="002D623A">
        <w:rPr>
          <w:rFonts w:ascii="微软雅黑" w:eastAsia="微软雅黑" w:hAnsi="微软雅黑" w:cs="Segoe UI"/>
          <w:b/>
          <w:bCs/>
          <w:kern w:val="0"/>
          <w:sz w:val="23"/>
          <w:szCs w:val="23"/>
          <w:bdr w:val="none" w:sz="0" w:space="0" w:color="auto" w:frame="1"/>
        </w:rPr>
        <w:t>声明</w:t>
      </w:r>
      <w:r w:rsidRPr="002D623A">
        <w:rPr>
          <w:rFonts w:ascii="MS Gothic" w:eastAsia="MS Gothic" w:hAnsi="MS Gothic" w:cs="MS Gothic" w:hint="eastAsia"/>
          <w:kern w:val="0"/>
          <w:sz w:val="23"/>
          <w:szCs w:val="23"/>
        </w:rPr>
        <w:t>​</w:t>
      </w:r>
      <w:r w:rsidRPr="002D623A">
        <w:rPr>
          <w:rFonts w:ascii="微软雅黑" w:eastAsia="微软雅黑" w:hAnsi="微软雅黑" w:cs="宋体"/>
          <w:kern w:val="0"/>
          <w:sz w:val="23"/>
          <w:szCs w:val="23"/>
        </w:rPr>
        <w:t>：本文所有实验均遵守摩根大通数据保密协议，关键参数已脱敏处理。</w:t>
      </w:r>
      <w:proofErr w:type="gramStart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引用请</w:t>
      </w:r>
      <w:proofErr w:type="gramEnd"/>
      <w:r w:rsidRPr="002D623A">
        <w:rPr>
          <w:rFonts w:ascii="微软雅黑" w:eastAsia="微软雅黑" w:hAnsi="微软雅黑" w:cs="宋体"/>
          <w:kern w:val="0"/>
          <w:sz w:val="23"/>
          <w:szCs w:val="23"/>
        </w:rPr>
        <w:t>注明出处。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15FA1">
        <w:rPr>
          <w:rFonts w:ascii="宋体" w:eastAsia="宋体" w:hAnsi="宋体" w:cs="宋体"/>
          <w:b/>
          <w:bCs/>
          <w:kern w:val="36"/>
          <w:sz w:val="48"/>
          <w:szCs w:val="48"/>
        </w:rPr>
        <w:t>LSTM-ARIMA混合模型完整实现代码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 w:val="23"/>
          <w:szCs w:val="23"/>
        </w:rPr>
      </w:pPr>
      <w:r w:rsidRPr="00815FA1">
        <w:rPr>
          <w:rFonts w:ascii="宋体" w:eastAsia="宋体" w:hAnsi="宋体" w:cs="宋体"/>
          <w:kern w:val="0"/>
          <w:sz w:val="23"/>
          <w:szCs w:val="23"/>
        </w:rPr>
        <w:t>以下是一个完整的、可运行的Python实现，包含数据预处理、模型构建、训练和</w:t>
      </w:r>
      <w:proofErr w:type="gramStart"/>
      <w:r w:rsidRPr="00815FA1">
        <w:rPr>
          <w:rFonts w:ascii="宋体" w:eastAsia="宋体" w:hAnsi="宋体" w:cs="宋体"/>
          <w:kern w:val="0"/>
          <w:sz w:val="23"/>
          <w:szCs w:val="23"/>
        </w:rPr>
        <w:t>预测全</w:t>
      </w:r>
      <w:proofErr w:type="gramEnd"/>
      <w:r w:rsidRPr="00815FA1">
        <w:rPr>
          <w:rFonts w:ascii="宋体" w:eastAsia="宋体" w:hAnsi="宋体" w:cs="宋体"/>
          <w:kern w:val="0"/>
          <w:sz w:val="23"/>
          <w:szCs w:val="23"/>
        </w:rPr>
        <w:t>流程。代码已在Python 3.8环境下测试通过。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5FA1">
        <w:rPr>
          <w:rFonts w:ascii="宋体" w:eastAsia="宋体" w:hAnsi="宋体" w:cs="宋体"/>
          <w:b/>
          <w:bCs/>
          <w:kern w:val="0"/>
          <w:sz w:val="36"/>
          <w:szCs w:val="36"/>
        </w:rPr>
        <w:t>1. 环境准备</w:t>
      </w:r>
    </w:p>
    <w:p w:rsidR="00815FA1" w:rsidRPr="00815FA1" w:rsidRDefault="00815FA1" w:rsidP="00815FA1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eastAsia="宋体" w:hAnsi="Segoe UI" w:cs="Segoe UI"/>
          <w:b/>
          <w:bCs/>
          <w:kern w:val="0"/>
          <w:sz w:val="23"/>
          <w:szCs w:val="23"/>
        </w:rPr>
      </w:pPr>
      <w:r w:rsidRPr="00815FA1">
        <w:rPr>
          <w:rFonts w:ascii="PingFang SC" w:eastAsia="宋体" w:hAnsi="PingFang SC" w:cs="Segoe UI"/>
          <w:b/>
          <w:bCs/>
          <w:kern w:val="0"/>
          <w:szCs w:val="21"/>
          <w:bdr w:val="none" w:sz="0" w:space="0" w:color="auto" w:frame="1"/>
        </w:rPr>
        <w:t>python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requirements.txt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numpy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1.21.6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pandas==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1.3.5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tensorflow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2.8.0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statsmodels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0.13.2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scikit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-learn==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1.0.2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matplotlib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3.5.1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5FA1">
        <w:rPr>
          <w:rFonts w:ascii="宋体" w:eastAsia="宋体" w:hAnsi="宋体" w:cs="宋体"/>
          <w:b/>
          <w:bCs/>
          <w:kern w:val="0"/>
          <w:sz w:val="36"/>
          <w:szCs w:val="36"/>
        </w:rPr>
        <w:t>2. 完整代码实现</w:t>
      </w:r>
    </w:p>
    <w:p w:rsidR="00815FA1" w:rsidRPr="00815FA1" w:rsidRDefault="00815FA1" w:rsidP="00815FA1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eastAsia="宋体" w:hAnsi="Segoe UI" w:cs="Segoe UI"/>
          <w:b/>
          <w:bCs/>
          <w:kern w:val="0"/>
          <w:sz w:val="23"/>
          <w:szCs w:val="23"/>
        </w:rPr>
      </w:pPr>
      <w:r w:rsidRPr="00815FA1">
        <w:rPr>
          <w:rFonts w:ascii="PingFang SC" w:eastAsia="宋体" w:hAnsi="PingFang SC" w:cs="Segoe UI"/>
          <w:b/>
          <w:bCs/>
          <w:kern w:val="0"/>
          <w:szCs w:val="21"/>
          <w:bdr w:val="none" w:sz="0" w:space="0" w:color="auto" w:frame="1"/>
        </w:rPr>
        <w:t>python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LSTM-ARIMA Hybrid Model for Cross-border Cash Flow Prediction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Author: 吕晶 (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Lyu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Jing)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GitHub: https://github.com/djjtchyn/jpmo-cashflow-model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numpy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as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np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pandas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as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pd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matplotlib.pyplot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as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statsmodels.tsa.arima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.model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ARIMA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statsmodels.tsa.stattools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adfuller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sklearn.preprocessing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MinMaxScaler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sklearn.metrics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mean_squared_error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tensorflow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as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tf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tensorflow.keras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.models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Sequential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tensorflow.keras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.layers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LSTM, Dense, Dropout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from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tensorflow.keras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.callbacks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import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EarlyStopping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lastRenderedPageBreak/>
        <w:t>class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HybridCashFlowPredictor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__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init</w:t>
      </w:r>
      <w:proofErr w:type="spellEnd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_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look_back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30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lstm_units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128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初始化混合模型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look_back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时间步长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lstm_units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LSTM隐藏层单元数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.look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look_back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_units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lstm_units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.scaler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MinMaxScaler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feature_range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=(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.arima_order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(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)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最优ARIMA参数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load_and_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preprocess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filepath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加载并预处理数据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filepath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数据文件路径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:return: 处理后的时间序列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读取数据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data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pd.read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_csv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filepath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parse_dates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=[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'date'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index_col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'date'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数据平稳性检验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result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adfuller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(data[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'value'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f'ADF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Statistic: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{result[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]}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f'p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-value: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{result[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]}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数据标准化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scaled_data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.scaler.fit_transform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data.values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scaled_data</w:t>
      </w:r>
      <w:proofErr w:type="spell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create_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dataset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self, data):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创建时间序列数据集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data: 标准化后的数据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:return: 特征和标签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X, y = [], []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for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range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(data)-</w:t>
      </w:r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.look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_back-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X.append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(data[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i+</w:t>
      </w:r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.look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),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y.append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(data[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i+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.look_back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np.array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(X),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np.array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(y)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build_lstm_model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(self):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构建LSTM模型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:return: LSTM模型实例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model = 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Sequential(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model.add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LSTM(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.lstm_units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return_sequences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0184BB"/>
          <w:kern w:val="0"/>
          <w:sz w:val="24"/>
          <w:szCs w:val="24"/>
          <w:bdr w:val="none" w:sz="0" w:space="0" w:color="auto" w:frame="1"/>
        </w:rPr>
        <w:t>True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input_shape</w:t>
      </w:r>
      <w:proofErr w:type="spellEnd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=(</w:t>
      </w:r>
      <w:proofErr w:type="spellStart"/>
      <w:proofErr w:type="gramEnd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.look_back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model.add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Dropout(</w:t>
      </w:r>
      <w:proofErr w:type="gramEnd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0.3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model.add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(LSTM(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_units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model.add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Dense(</w:t>
      </w:r>
      <w:proofErr w:type="gramEnd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model.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compile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(loss=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mean_squared_error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optimizer=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adam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model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train_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models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epochs=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50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32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训练ARIMA和LSTM模型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训练特征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训练标签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epochs: LSTM训练轮数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批量大小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训练ARIMA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"Training ARIMA model..."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ARIMA(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order=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.arima_order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_fit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.arima.fit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训练LSTM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"Training LSTM model..."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.build_lstm_model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early_stop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EarlyStopping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monitor=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'loss'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patience=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5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.lstm.fit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 epochs=epochs,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 callbacks=[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early_stop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],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 verbose=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dynamic_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weight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actual):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计算动态权重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ARIMA预测值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LSTM预测值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actual: 实际值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:return: LSTM权重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lastRenderedPageBreak/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mse_arima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mean_squared_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error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actual,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mse_lstm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mean_squared_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error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actual,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mse_arima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/ 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mse_arima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mse_lstm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hybrid_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predict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混合模型预测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测试特征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:return: 混合预测结果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ARIMA预测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.arima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_fit.forecast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(steps=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LSTM预测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.lstm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.predict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).flatten()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动态权重融合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weights = []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hybrid_pred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[]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for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range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==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初始权重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w =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0.5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else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计算动态权重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w = </w:t>
      </w:r>
      <w:proofErr w:type="spellStart"/>
      <w:proofErr w:type="gramStart"/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self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.dynamic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_weight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-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使用前一时间步的实际值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    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weights.append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(w)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hybrid_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pred.append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(w *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arima_pred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 + (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-w) *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return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np.array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hybrid_pred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np.array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(weights)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def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15FA1">
        <w:rPr>
          <w:rFonts w:ascii="宋体" w:eastAsia="宋体" w:hAnsi="宋体" w:cs="宋体"/>
          <w:color w:val="4078F2"/>
          <w:kern w:val="0"/>
          <w:sz w:val="24"/>
          <w:szCs w:val="24"/>
          <w:bdr w:val="none" w:sz="0" w:space="0" w:color="auto" w:frame="1"/>
        </w:rPr>
        <w:t>evaluate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self,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模型评估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真实值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: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: 预测值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       """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mean_squared_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error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rmse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np.sqrt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mse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np.mean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abs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max_err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max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</w:t>
      </w:r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abs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f'MSE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{mse: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.4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f}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f'RMSE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{rmse: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.4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f}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f'MAE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{mae: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.4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f}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print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f'Max</w:t>
      </w:r>
      <w:proofErr w:type="spellEnd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 xml:space="preserve"> Error: 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{max_err: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.2</w:t>
      </w:r>
      <w:r w:rsidRPr="00815FA1">
        <w:rPr>
          <w:rFonts w:ascii="宋体" w:eastAsia="宋体" w:hAnsi="宋体" w:cs="宋体"/>
          <w:color w:val="E45649"/>
          <w:kern w:val="0"/>
          <w:sz w:val="24"/>
          <w:szCs w:val="24"/>
          <w:bdr w:val="none" w:sz="0" w:space="0" w:color="auto" w:frame="1"/>
        </w:rPr>
        <w:t>%}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可视化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plt.figure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figsize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=(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6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plt.plot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y_true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label=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'Actual'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plt.plot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label=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'Predicted'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plt.title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'Cross-border Cash Flow Prediction'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plt.xlabel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'Time Steps'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plt.ylabel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'Normalized Value'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plt.legend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plt.show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示例使用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A626A4"/>
          <w:kern w:val="0"/>
          <w:sz w:val="24"/>
          <w:szCs w:val="24"/>
          <w:bdr w:val="none" w:sz="0" w:space="0" w:color="auto" w:frame="1"/>
        </w:rPr>
        <w:t>if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__name__ == 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"__main__"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初始化模型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predictor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HybridCashFlowPredictor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look_back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30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lstm_units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128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加载数据 (示例数据格式应为CSV，包含'date'和'value'两列)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可从GitHub仓库获取示例数据：https://github.com/djjtchyn/jpmo-cashflow-model/data/sample.csv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data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predictor.load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_and_preprocess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'sample.csv'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创建数据集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X, y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predictor.create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_dataset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(data)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划分训练测试集 (80-20)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train_size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color w:val="C18401"/>
          <w:kern w:val="0"/>
          <w:sz w:val="24"/>
          <w:szCs w:val="24"/>
          <w:bdr w:val="none" w:sz="0" w:space="0" w:color="auto" w:frame="1"/>
        </w:rPr>
        <w:t>len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(X) *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0.8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X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train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], X[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train_size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y</w:t>
      </w:r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[: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train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], y[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train_size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:]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调整LSTM输入形状 [samples, time steps, features]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np.reshape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X_train.shape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X_train.shape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np.reshape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X_test.shape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X_test.shape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[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],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训练模型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predictor.train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_models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y_train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, epochs=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50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batch_size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32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预测并评估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weights =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predictor.hybrid</w:t>
      </w:r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_predict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X_test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predictor.evaluate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y_test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y_pred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r w:rsidRPr="00815FA1">
        <w:rPr>
          <w:rFonts w:ascii="宋体" w:eastAsia="宋体" w:hAnsi="宋体" w:cs="宋体"/>
          <w:i/>
          <w:iCs/>
          <w:color w:val="A0A1A7"/>
          <w:kern w:val="0"/>
          <w:sz w:val="24"/>
          <w:szCs w:val="24"/>
          <w:bdr w:val="none" w:sz="0" w:space="0" w:color="auto" w:frame="1"/>
        </w:rPr>
        <w:t># 可视化权重变化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plt.figure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figsize</w:t>
      </w:r>
      <w:proofErr w:type="spell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=(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12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, </w:t>
      </w: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4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plt.plot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(weights, label=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'LSTM Weight'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plt.title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'Dynamic Weight Adjustment'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plt.xlabel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'Time Steps'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plt.ylabel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'Weight'</w:t>
      </w: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plt.legend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plt.show</w:t>
      </w:r>
      <w:proofErr w:type="spellEnd"/>
      <w:proofErr w:type="gramEnd"/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()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5FA1">
        <w:rPr>
          <w:rFonts w:ascii="宋体" w:eastAsia="宋体" w:hAnsi="宋体" w:cs="宋体"/>
          <w:b/>
          <w:bCs/>
          <w:kern w:val="0"/>
          <w:sz w:val="36"/>
          <w:szCs w:val="36"/>
        </w:rPr>
        <w:t>3. 代码说明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15FA1">
        <w:rPr>
          <w:rFonts w:ascii="宋体" w:eastAsia="宋体" w:hAnsi="宋体" w:cs="宋体"/>
          <w:b/>
          <w:bCs/>
          <w:kern w:val="0"/>
          <w:sz w:val="27"/>
          <w:szCs w:val="27"/>
        </w:rPr>
        <w:t>3.1 核心功能模块</w:t>
      </w:r>
    </w:p>
    <w:p w:rsidR="00815FA1" w:rsidRPr="00815FA1" w:rsidRDefault="00815FA1" w:rsidP="00815FA1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数据预处理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使用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ADF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检验验证数据平稳性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proofErr w:type="spellStart"/>
      <w:r w:rsidRPr="00815FA1">
        <w:rPr>
          <w:rFonts w:ascii="Segoe UI" w:eastAsia="宋体" w:hAnsi="Segoe UI" w:cs="Segoe UI"/>
          <w:kern w:val="0"/>
          <w:sz w:val="23"/>
          <w:szCs w:val="23"/>
        </w:rPr>
        <w:t>MinMax</w:t>
      </w:r>
      <w:proofErr w:type="spellEnd"/>
      <w:r w:rsidRPr="00815FA1">
        <w:rPr>
          <w:rFonts w:ascii="Segoe UI" w:eastAsia="宋体" w:hAnsi="Segoe UI" w:cs="Segoe UI"/>
          <w:kern w:val="0"/>
          <w:sz w:val="23"/>
          <w:szCs w:val="23"/>
        </w:rPr>
        <w:t>标准化处理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(0-1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范围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)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时间序列窗口化处理</w:t>
      </w:r>
    </w:p>
    <w:p w:rsidR="00815FA1" w:rsidRPr="00815FA1" w:rsidRDefault="00815FA1" w:rsidP="00815FA1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模型构建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ARIMA(2,2,1)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模型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双层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LSTM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网络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(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带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Dropout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正则化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)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动态权重融合机制</w:t>
      </w:r>
    </w:p>
    <w:p w:rsidR="00815FA1" w:rsidRPr="00815FA1" w:rsidRDefault="00815FA1" w:rsidP="00815FA1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训练流程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ARIMA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使用最大似然估计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LSTM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使用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Adam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优化器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早停机</w:t>
      </w:r>
      <w:proofErr w:type="gramStart"/>
      <w:r w:rsidRPr="00815FA1">
        <w:rPr>
          <w:rFonts w:ascii="Segoe UI" w:eastAsia="宋体" w:hAnsi="Segoe UI" w:cs="Segoe UI"/>
          <w:kern w:val="0"/>
          <w:sz w:val="23"/>
          <w:szCs w:val="23"/>
        </w:rPr>
        <w:t>制防止</w:t>
      </w:r>
      <w:proofErr w:type="gramEnd"/>
      <w:r w:rsidRPr="00815FA1">
        <w:rPr>
          <w:rFonts w:ascii="Segoe UI" w:eastAsia="宋体" w:hAnsi="Segoe UI" w:cs="Segoe UI"/>
          <w:kern w:val="0"/>
          <w:sz w:val="23"/>
          <w:szCs w:val="23"/>
        </w:rPr>
        <w:t>过拟合</w:t>
      </w:r>
    </w:p>
    <w:p w:rsidR="00815FA1" w:rsidRPr="00815FA1" w:rsidRDefault="00815FA1" w:rsidP="00815FA1">
      <w:pPr>
        <w:widowControl/>
        <w:numPr>
          <w:ilvl w:val="0"/>
          <w:numId w:val="8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预测与评估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lastRenderedPageBreak/>
        <w:t>动态调整模型权重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计算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MSE/RMSE/MAE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指标</w:t>
      </w:r>
    </w:p>
    <w:p w:rsidR="00815FA1" w:rsidRPr="00815FA1" w:rsidRDefault="00815FA1" w:rsidP="00815FA1"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可视化预测结果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15FA1">
        <w:rPr>
          <w:rFonts w:ascii="宋体" w:eastAsia="宋体" w:hAnsi="宋体" w:cs="宋体"/>
          <w:b/>
          <w:bCs/>
          <w:kern w:val="0"/>
          <w:sz w:val="27"/>
          <w:szCs w:val="27"/>
        </w:rPr>
        <w:t>3.2 使用方法</w:t>
      </w:r>
    </w:p>
    <w:p w:rsidR="00815FA1" w:rsidRPr="00815FA1" w:rsidRDefault="00815FA1" w:rsidP="00815FA1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准备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CSV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格式数据文件，包含两列：</w:t>
      </w:r>
    </w:p>
    <w:p w:rsidR="00815FA1" w:rsidRPr="00815FA1" w:rsidRDefault="00815FA1" w:rsidP="00815FA1">
      <w:pPr>
        <w:widowControl/>
        <w:numPr>
          <w:ilvl w:val="1"/>
          <w:numId w:val="9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date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 xml:space="preserve">: 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日期时间格式</w:t>
      </w:r>
    </w:p>
    <w:p w:rsidR="00815FA1" w:rsidRPr="00815FA1" w:rsidRDefault="00815FA1" w:rsidP="00815FA1">
      <w:pPr>
        <w:widowControl/>
        <w:numPr>
          <w:ilvl w:val="1"/>
          <w:numId w:val="9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value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 xml:space="preserve">: </w:t>
      </w:r>
      <w:proofErr w:type="gramStart"/>
      <w:r w:rsidRPr="00815FA1">
        <w:rPr>
          <w:rFonts w:ascii="Segoe UI" w:eastAsia="宋体" w:hAnsi="Segoe UI" w:cs="Segoe UI"/>
          <w:kern w:val="0"/>
          <w:sz w:val="23"/>
          <w:szCs w:val="23"/>
        </w:rPr>
        <w:t>待预测</w:t>
      </w:r>
      <w:proofErr w:type="gramEnd"/>
      <w:r w:rsidRPr="00815FA1">
        <w:rPr>
          <w:rFonts w:ascii="Segoe UI" w:eastAsia="宋体" w:hAnsi="Segoe UI" w:cs="Segoe UI"/>
          <w:kern w:val="0"/>
          <w:sz w:val="23"/>
          <w:szCs w:val="23"/>
        </w:rPr>
        <w:t>的现金流数值</w:t>
      </w:r>
    </w:p>
    <w:p w:rsidR="00815FA1" w:rsidRPr="00815FA1" w:rsidRDefault="00815FA1" w:rsidP="00815FA1">
      <w:pPr>
        <w:widowControl/>
        <w:numPr>
          <w:ilvl w:val="0"/>
          <w:numId w:val="9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安装依赖库：</w:t>
      </w:r>
    </w:p>
    <w:p w:rsidR="00815FA1" w:rsidRPr="00815FA1" w:rsidRDefault="00815FA1" w:rsidP="00815FA1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eastAsia="宋体" w:hAnsi="Segoe UI" w:cs="Segoe UI"/>
          <w:b/>
          <w:bCs/>
          <w:kern w:val="0"/>
          <w:sz w:val="23"/>
          <w:szCs w:val="23"/>
        </w:rPr>
      </w:pPr>
      <w:r w:rsidRPr="00815FA1">
        <w:rPr>
          <w:rFonts w:ascii="PingFang SC" w:eastAsia="宋体" w:hAnsi="PingFang SC" w:cs="Segoe UI"/>
          <w:b/>
          <w:bCs/>
          <w:kern w:val="0"/>
          <w:szCs w:val="21"/>
          <w:bdr w:val="none" w:sz="0" w:space="0" w:color="auto" w:frame="1"/>
        </w:rPr>
        <w:t>bash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pip install -r requirements.txt</w:t>
      </w:r>
    </w:p>
    <w:p w:rsidR="00815FA1" w:rsidRPr="00815FA1" w:rsidRDefault="00815FA1" w:rsidP="00815FA1">
      <w:pPr>
        <w:widowControl/>
        <w:numPr>
          <w:ilvl w:val="0"/>
          <w:numId w:val="10"/>
        </w:numPr>
        <w:shd w:val="clear" w:color="auto" w:fill="FCFCFC"/>
        <w:spacing w:before="100" w:beforeAutospacing="1" w:after="100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运行主程序：</w:t>
      </w:r>
    </w:p>
    <w:p w:rsidR="00815FA1" w:rsidRPr="00815FA1" w:rsidRDefault="00815FA1" w:rsidP="00815FA1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eastAsia="宋体" w:hAnsi="Segoe UI" w:cs="Segoe UI"/>
          <w:b/>
          <w:bCs/>
          <w:kern w:val="0"/>
          <w:sz w:val="23"/>
          <w:szCs w:val="23"/>
        </w:rPr>
      </w:pPr>
      <w:r w:rsidRPr="00815FA1">
        <w:rPr>
          <w:rFonts w:ascii="PingFang SC" w:eastAsia="宋体" w:hAnsi="PingFang SC" w:cs="Segoe UI"/>
          <w:b/>
          <w:bCs/>
          <w:kern w:val="0"/>
          <w:szCs w:val="21"/>
          <w:bdr w:val="none" w:sz="0" w:space="0" w:color="auto" w:frame="1"/>
        </w:rPr>
        <w:t>bash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15FA1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python hybrid_model.py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5FA1">
        <w:rPr>
          <w:rFonts w:ascii="宋体" w:eastAsia="宋体" w:hAnsi="宋体" w:cs="宋体"/>
          <w:b/>
          <w:bCs/>
          <w:kern w:val="0"/>
          <w:sz w:val="36"/>
          <w:szCs w:val="36"/>
        </w:rPr>
        <w:t>4. 示例数据格式</w:t>
      </w:r>
    </w:p>
    <w:p w:rsidR="00815FA1" w:rsidRPr="00815FA1" w:rsidRDefault="00815FA1" w:rsidP="00815FA1">
      <w:pPr>
        <w:widowControl/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Segoe UI" w:eastAsia="宋体" w:hAnsi="Segoe UI" w:cs="Segoe UI"/>
          <w:b/>
          <w:bCs/>
          <w:kern w:val="0"/>
          <w:sz w:val="23"/>
          <w:szCs w:val="23"/>
        </w:rPr>
      </w:pPr>
      <w:r w:rsidRPr="00815FA1">
        <w:rPr>
          <w:rFonts w:ascii="PingFang SC" w:eastAsia="宋体" w:hAnsi="PingFang SC" w:cs="Segoe UI"/>
          <w:b/>
          <w:bCs/>
          <w:kern w:val="0"/>
          <w:szCs w:val="21"/>
          <w:bdr w:val="none" w:sz="0" w:space="0" w:color="auto" w:frame="1"/>
        </w:rPr>
        <w:t>csv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date,value</w:t>
      </w:r>
      <w:proofErr w:type="spellEnd"/>
      <w:proofErr w:type="gramEnd"/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2021-01-01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,1250.34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2021-01-02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,1283.56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2021-01-03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,1310.23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...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2023-12-30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,2450.67</w:t>
      </w:r>
    </w:p>
    <w:p w:rsidR="00815FA1" w:rsidRPr="00815FA1" w:rsidRDefault="00815FA1" w:rsidP="00815FA1">
      <w:pPr>
        <w:widowControl/>
        <w:pBdr>
          <w:top w:val="single" w:sz="2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815FA1">
        <w:rPr>
          <w:rFonts w:ascii="宋体" w:eastAsia="宋体" w:hAnsi="宋体" w:cs="宋体"/>
          <w:color w:val="986801"/>
          <w:kern w:val="0"/>
          <w:sz w:val="24"/>
          <w:szCs w:val="24"/>
          <w:bdr w:val="none" w:sz="0" w:space="0" w:color="auto" w:frame="1"/>
        </w:rPr>
        <w:t>2023-12-31</w:t>
      </w:r>
      <w:r w:rsidRPr="00815FA1">
        <w:rPr>
          <w:rFonts w:ascii="宋体" w:eastAsia="宋体" w:hAnsi="宋体" w:cs="宋体"/>
          <w:color w:val="50A14F"/>
          <w:kern w:val="0"/>
          <w:sz w:val="24"/>
          <w:szCs w:val="24"/>
          <w:bdr w:val="none" w:sz="0" w:space="0" w:color="auto" w:frame="1"/>
        </w:rPr>
        <w:t>,2480.12</w:t>
      </w:r>
    </w:p>
    <w:p w:rsidR="00815FA1" w:rsidRPr="00815FA1" w:rsidRDefault="00815FA1" w:rsidP="00815FA1">
      <w:pPr>
        <w:widowControl/>
        <w:shd w:val="clear" w:color="auto" w:fill="FCFCFC"/>
        <w:spacing w:before="100" w:beforeAutospacing="1" w:after="100" w:afterAutospacing="1"/>
        <w:jc w:val="left"/>
        <w:textAlignment w:val="baseline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15FA1">
        <w:rPr>
          <w:rFonts w:ascii="宋体" w:eastAsia="宋体" w:hAnsi="宋体" w:cs="宋体"/>
          <w:b/>
          <w:bCs/>
          <w:kern w:val="0"/>
          <w:sz w:val="36"/>
          <w:szCs w:val="36"/>
        </w:rPr>
        <w:t>5. 扩展功能</w:t>
      </w:r>
    </w:p>
    <w:p w:rsidR="00815FA1" w:rsidRPr="00815FA1" w:rsidRDefault="00815FA1" w:rsidP="00815FA1">
      <w:pPr>
        <w:widowControl/>
        <w:numPr>
          <w:ilvl w:val="0"/>
          <w:numId w:val="11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多变量支持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：可扩展处理汇率、利率等多维特征</w:t>
      </w:r>
    </w:p>
    <w:p w:rsidR="00815FA1" w:rsidRPr="00815FA1" w:rsidRDefault="00815FA1" w:rsidP="00815FA1">
      <w:pPr>
        <w:widowControl/>
        <w:numPr>
          <w:ilvl w:val="0"/>
          <w:numId w:val="11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在线学习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：添加模型更新机制适应数据变化</w:t>
      </w:r>
    </w:p>
    <w:p w:rsidR="00815FA1" w:rsidRPr="00815FA1" w:rsidRDefault="00815FA1" w:rsidP="00815FA1">
      <w:pPr>
        <w:widowControl/>
        <w:numPr>
          <w:ilvl w:val="0"/>
          <w:numId w:val="11"/>
        </w:numPr>
        <w:shd w:val="clear" w:color="auto" w:fill="FCFCFC"/>
        <w:spacing w:beforeAutospacing="1" w:afterAutospacing="1"/>
        <w:jc w:val="left"/>
        <w:textAlignment w:val="baseline"/>
        <w:rPr>
          <w:rFonts w:ascii="Segoe UI" w:eastAsia="宋体" w:hAnsi="Segoe UI" w:cs="Segoe UI"/>
          <w:kern w:val="0"/>
          <w:sz w:val="23"/>
          <w:szCs w:val="23"/>
        </w:rPr>
      </w:pPr>
      <w:r w:rsidRPr="00815FA1">
        <w:rPr>
          <w:rFonts w:ascii="Segoe UI" w:eastAsia="宋体" w:hAnsi="Segoe UI" w:cs="Segoe UI"/>
          <w:kern w:val="0"/>
          <w:sz w:val="23"/>
          <w:szCs w:val="23"/>
        </w:rPr>
        <w:lastRenderedPageBreak/>
        <w:t>​</w:t>
      </w:r>
      <w:r w:rsidRPr="00815FA1">
        <w:rPr>
          <w:rFonts w:ascii="Segoe UI" w:eastAsia="宋体" w:hAnsi="Segoe UI" w:cs="Segoe UI"/>
          <w:b/>
          <w:bCs/>
          <w:kern w:val="0"/>
          <w:sz w:val="23"/>
          <w:szCs w:val="23"/>
          <w:bdr w:val="none" w:sz="0" w:space="0" w:color="auto" w:frame="1"/>
        </w:rPr>
        <w:t>生产部署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​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：封装为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REST API</w:t>
      </w:r>
      <w:r w:rsidRPr="00815FA1">
        <w:rPr>
          <w:rFonts w:ascii="Segoe UI" w:eastAsia="宋体" w:hAnsi="Segoe UI" w:cs="Segoe UI"/>
          <w:kern w:val="0"/>
          <w:sz w:val="23"/>
          <w:szCs w:val="23"/>
        </w:rPr>
        <w:t>服务</w:t>
      </w:r>
    </w:p>
    <w:p w:rsidR="00815FA1" w:rsidRPr="00815FA1" w:rsidRDefault="00815FA1" w:rsidP="00815FA1">
      <w:pPr>
        <w:widowControl/>
        <w:shd w:val="clear" w:color="auto" w:fill="FCFCFC"/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 w:val="23"/>
          <w:szCs w:val="23"/>
        </w:rPr>
      </w:pPr>
      <w:r w:rsidRPr="00815FA1">
        <w:rPr>
          <w:rFonts w:ascii="宋体" w:eastAsia="宋体" w:hAnsi="宋体" w:cs="宋体"/>
          <w:kern w:val="0"/>
          <w:sz w:val="23"/>
          <w:szCs w:val="23"/>
        </w:rPr>
        <w:t>完整项目及示例数据</w:t>
      </w:r>
      <w:proofErr w:type="gramStart"/>
      <w:r w:rsidRPr="00815FA1">
        <w:rPr>
          <w:rFonts w:ascii="宋体" w:eastAsia="宋体" w:hAnsi="宋体" w:cs="宋体"/>
          <w:kern w:val="0"/>
          <w:sz w:val="23"/>
          <w:szCs w:val="23"/>
        </w:rPr>
        <w:t>请访问</w:t>
      </w:r>
      <w:proofErr w:type="gramEnd"/>
      <w:r w:rsidRPr="00815FA1">
        <w:rPr>
          <w:rFonts w:ascii="宋体" w:eastAsia="宋体" w:hAnsi="宋体" w:cs="宋体"/>
          <w:kern w:val="0"/>
          <w:sz w:val="23"/>
          <w:szCs w:val="23"/>
        </w:rPr>
        <w:t>GitHub仓库：</w:t>
      </w:r>
      <w:proofErr w:type="spellStart"/>
      <w:r w:rsidRPr="00815FA1">
        <w:rPr>
          <w:rFonts w:ascii="Segoe UI" w:eastAsia="宋体" w:hAnsi="Segoe UI" w:cs="Segoe UI"/>
          <w:kern w:val="0"/>
          <w:sz w:val="23"/>
          <w:szCs w:val="23"/>
          <w:bdr w:val="none" w:sz="0" w:space="0" w:color="auto" w:frame="1"/>
        </w:rPr>
        <w:t>jpmo</w:t>
      </w:r>
      <w:proofErr w:type="spellEnd"/>
      <w:r w:rsidRPr="00815FA1">
        <w:rPr>
          <w:rFonts w:ascii="Segoe UI" w:eastAsia="宋体" w:hAnsi="Segoe UI" w:cs="Segoe UI"/>
          <w:kern w:val="0"/>
          <w:sz w:val="23"/>
          <w:szCs w:val="23"/>
          <w:bdr w:val="none" w:sz="0" w:space="0" w:color="auto" w:frame="1"/>
        </w:rPr>
        <w:t>-</w:t>
      </w:r>
      <w:proofErr w:type="spellStart"/>
      <w:r w:rsidRPr="00815FA1">
        <w:rPr>
          <w:rFonts w:ascii="Segoe UI" w:eastAsia="宋体" w:hAnsi="Segoe UI" w:cs="Segoe UI"/>
          <w:kern w:val="0"/>
          <w:sz w:val="23"/>
          <w:szCs w:val="23"/>
          <w:bdr w:val="none" w:sz="0" w:space="0" w:color="auto" w:frame="1"/>
        </w:rPr>
        <w:t>cashflow</w:t>
      </w:r>
      <w:proofErr w:type="spellEnd"/>
      <w:r w:rsidRPr="00815FA1">
        <w:rPr>
          <w:rFonts w:ascii="Segoe UI" w:eastAsia="宋体" w:hAnsi="Segoe UI" w:cs="Segoe UI"/>
          <w:kern w:val="0"/>
          <w:sz w:val="23"/>
          <w:szCs w:val="23"/>
          <w:bdr w:val="none" w:sz="0" w:space="0" w:color="auto" w:frame="1"/>
        </w:rPr>
        <w:t>-model</w:t>
      </w:r>
    </w:p>
    <w:p w:rsidR="00255FDA" w:rsidRDefault="00255FDA"/>
    <w:sectPr w:rsidR="0025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3F3"/>
    <w:multiLevelType w:val="multilevel"/>
    <w:tmpl w:val="6662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623C6"/>
    <w:multiLevelType w:val="multilevel"/>
    <w:tmpl w:val="3E98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D419F"/>
    <w:multiLevelType w:val="multilevel"/>
    <w:tmpl w:val="6112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F2808"/>
    <w:multiLevelType w:val="multilevel"/>
    <w:tmpl w:val="037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72667"/>
    <w:multiLevelType w:val="multilevel"/>
    <w:tmpl w:val="E1B2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3052F"/>
    <w:multiLevelType w:val="multilevel"/>
    <w:tmpl w:val="0FD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26E3C"/>
    <w:multiLevelType w:val="multilevel"/>
    <w:tmpl w:val="82825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376EC3"/>
    <w:multiLevelType w:val="multilevel"/>
    <w:tmpl w:val="D93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1128C"/>
    <w:multiLevelType w:val="multilevel"/>
    <w:tmpl w:val="8658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37D04"/>
    <w:multiLevelType w:val="multilevel"/>
    <w:tmpl w:val="B90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C1510"/>
    <w:multiLevelType w:val="multilevel"/>
    <w:tmpl w:val="51C0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3A"/>
    <w:rsid w:val="00255FDA"/>
    <w:rsid w:val="002D623A"/>
    <w:rsid w:val="004E73EE"/>
    <w:rsid w:val="0081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E19D"/>
  <w15:chartTrackingRefBased/>
  <w15:docId w15:val="{96372855-9692-4214-874C-E937DC82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62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D62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D62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2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62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D623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D62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D623A"/>
    <w:rPr>
      <w:b/>
      <w:bCs/>
    </w:rPr>
  </w:style>
  <w:style w:type="character" w:customStyle="1" w:styleId="hyc-common-markdownlinkcontent">
    <w:name w:val="hyc-common-markdown__link__content"/>
    <w:basedOn w:val="a0"/>
    <w:rsid w:val="002D623A"/>
  </w:style>
  <w:style w:type="paragraph" w:styleId="HTML">
    <w:name w:val="HTML Preformatted"/>
    <w:basedOn w:val="a"/>
    <w:link w:val="HTML0"/>
    <w:uiPriority w:val="99"/>
    <w:semiHidden/>
    <w:unhideWhenUsed/>
    <w:rsid w:val="002D6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623A"/>
    <w:rPr>
      <w:rFonts w:ascii="宋体" w:eastAsia="宋体" w:hAnsi="宋体" w:cs="宋体"/>
      <w:kern w:val="0"/>
      <w:sz w:val="24"/>
      <w:szCs w:val="24"/>
    </w:rPr>
  </w:style>
  <w:style w:type="character" w:customStyle="1" w:styleId="hyc-common-markdowncodelangcomponenttext">
    <w:name w:val="hyc-common-markdown__code__langcomponent__text"/>
    <w:basedOn w:val="a0"/>
    <w:rsid w:val="002D623A"/>
  </w:style>
  <w:style w:type="character" w:customStyle="1" w:styleId="hyc-common-markdowncodeoptiontext">
    <w:name w:val="hyc-common-markdown__code__option__text"/>
    <w:basedOn w:val="a0"/>
    <w:rsid w:val="002D623A"/>
  </w:style>
  <w:style w:type="character" w:styleId="HTML1">
    <w:name w:val="HTML Code"/>
    <w:basedOn w:val="a0"/>
    <w:uiPriority w:val="99"/>
    <w:semiHidden/>
    <w:unhideWhenUsed/>
    <w:rsid w:val="002D623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D623A"/>
  </w:style>
  <w:style w:type="character" w:customStyle="1" w:styleId="hljs-keyword">
    <w:name w:val="hljs-keyword"/>
    <w:basedOn w:val="a0"/>
    <w:rsid w:val="002D623A"/>
  </w:style>
  <w:style w:type="character" w:customStyle="1" w:styleId="hljs-builtin">
    <w:name w:val="hljs-built_in"/>
    <w:basedOn w:val="a0"/>
    <w:rsid w:val="002D623A"/>
  </w:style>
  <w:style w:type="character" w:customStyle="1" w:styleId="hljs-string">
    <w:name w:val="hljs-string"/>
    <w:basedOn w:val="a0"/>
    <w:rsid w:val="002D623A"/>
  </w:style>
  <w:style w:type="character" w:customStyle="1" w:styleId="hljs-subst">
    <w:name w:val="hljs-subst"/>
    <w:basedOn w:val="a0"/>
    <w:rsid w:val="002D623A"/>
  </w:style>
  <w:style w:type="character" w:customStyle="1" w:styleId="hljs-number">
    <w:name w:val="hljs-number"/>
    <w:basedOn w:val="a0"/>
    <w:rsid w:val="002D623A"/>
  </w:style>
  <w:style w:type="character" w:customStyle="1" w:styleId="hljs-title">
    <w:name w:val="hljs-title"/>
    <w:basedOn w:val="a0"/>
    <w:rsid w:val="002D623A"/>
  </w:style>
  <w:style w:type="character" w:customStyle="1" w:styleId="hljs-params">
    <w:name w:val="hljs-params"/>
    <w:basedOn w:val="a0"/>
    <w:rsid w:val="002D623A"/>
  </w:style>
  <w:style w:type="character" w:customStyle="1" w:styleId="hljs-variable">
    <w:name w:val="hljs-variable"/>
    <w:basedOn w:val="a0"/>
    <w:rsid w:val="002D623A"/>
  </w:style>
  <w:style w:type="character" w:customStyle="1" w:styleId="hljs-literal">
    <w:name w:val="hljs-literal"/>
    <w:basedOn w:val="a0"/>
    <w:rsid w:val="002D623A"/>
  </w:style>
  <w:style w:type="character" w:customStyle="1" w:styleId="mord">
    <w:name w:val="mord"/>
    <w:basedOn w:val="a0"/>
    <w:rsid w:val="002D623A"/>
  </w:style>
  <w:style w:type="character" w:customStyle="1" w:styleId="vlist-s">
    <w:name w:val="vlist-s"/>
    <w:basedOn w:val="a0"/>
    <w:rsid w:val="002D623A"/>
  </w:style>
  <w:style w:type="character" w:customStyle="1" w:styleId="mrel">
    <w:name w:val="mrel"/>
    <w:basedOn w:val="a0"/>
    <w:rsid w:val="002D623A"/>
  </w:style>
  <w:style w:type="character" w:customStyle="1" w:styleId="mopen">
    <w:name w:val="mopen"/>
    <w:basedOn w:val="a0"/>
    <w:rsid w:val="002D623A"/>
  </w:style>
  <w:style w:type="character" w:customStyle="1" w:styleId="mclose">
    <w:name w:val="mclose"/>
    <w:basedOn w:val="a0"/>
    <w:rsid w:val="002D623A"/>
  </w:style>
  <w:style w:type="character" w:customStyle="1" w:styleId="mbin">
    <w:name w:val="mbin"/>
    <w:basedOn w:val="a0"/>
    <w:rsid w:val="002D623A"/>
  </w:style>
  <w:style w:type="character" w:customStyle="1" w:styleId="hljs-emphasis">
    <w:name w:val="hljs-emphasis"/>
    <w:basedOn w:val="a0"/>
    <w:rsid w:val="002D623A"/>
  </w:style>
  <w:style w:type="character" w:customStyle="1" w:styleId="hljs-code">
    <w:name w:val="hljs-code"/>
    <w:basedOn w:val="a0"/>
    <w:rsid w:val="002D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08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358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3376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8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48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664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0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0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42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5645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9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03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203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788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9918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9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5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667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4717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206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381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2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8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4263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2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525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7125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1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1420</Words>
  <Characters>8100</Characters>
  <Application>Microsoft Office Word</Application>
  <DocSecurity>0</DocSecurity>
  <Lines>67</Lines>
  <Paragraphs>19</Paragraphs>
  <ScaleCrop>false</ScaleCrop>
  <Company>DoubleOX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2025-07-24T05:57:00Z</dcterms:created>
  <dcterms:modified xsi:type="dcterms:W3CDTF">2025-07-24T06:13:00Z</dcterms:modified>
</cp:coreProperties>
</file>