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AI 분석모델 개발 정의서</w:t>
      </w:r>
    </w:p>
    <w:p>
      <w:pPr>
        <w:spacing w:after="400"/>
      </w:pPr>
      <w:r>
        <w:rPr>
          <w:rFonts w:ascii="맑은 고딕" w:cs="맑은 고딕" w:eastAsia="맑은 고딕" w:hAnsi="맑은 고딕"/>
          <w:color w:val="555555"/>
          <w:sz w:val="24"/>
          <w:szCs w:val="24"/>
        </w:rPr>
        <w:t xml:space="preserve">소형DC 기반 AI산업 성장 지원사업 — ㈜리얼타임메디체크</w:t>
      </w:r>
    </w:p>
    <w:p>
      <w:pPr>
        <w:pStyle w:val="Heading1"/>
        <w:spacing w:after="200" w:before="360"/>
      </w:pPr>
      <w:r>
        <w:t xml:space="preserve">1. 개요</w:t>
      </w:r>
    </w:p>
    <w:p>
      <w:pPr>
        <w:spacing w:after="140"/>
      </w:pPr>
      <w:r>
        <w:rPr>
          <w:rFonts w:ascii="맑은 고딕" w:cs="맑은 고딕" w:eastAsia="맑은 고딕" w:hAnsi="맑은 고딕"/>
          <w:sz w:val="22"/>
          <w:szCs w:val="22"/>
        </w:rPr>
        <w:t xml:space="preserve">핵심 AI 모델 파이프라인 6단계와 추가 확장모델 8종에 대해, 각 모델의 개발 방향(목표·입력·타겟·출력·방법·평가·비고)을 확정한 정의서다. 실제 개발 착수 전 '무엇을 어떻게 만들지'를 문서로 못박아 두는 것을 목적으로 하며, 실제 구현은 이 정의를 기준으로 순서대로 진행한다.</w:t>
      </w:r>
    </w:p>
    <w:p>
      <w:pPr>
        <w:spacing w:after="140"/>
      </w:pPr>
      <w:r>
        <w:rPr>
          <w:rFonts w:ascii="맑은 고딕" w:cs="맑은 고딕" w:eastAsia="맑은 고딕" w:hAnsi="맑은 고딕"/>
          <w:sz w:val="22"/>
          <w:szCs w:val="22"/>
        </w:rPr>
        <w:t xml:space="preserve">심각도 분류(Level) 모델은 사람이 임의로 정한 규칙이 아니라 데이터 패턴에서 그룹을 도출하는 방식(클러스터링 기반)으로 설계가 변경되었으며, 이에 따라 SHAP·성능검증·연속학습의 정의도 함께 조정되었다.</w:t>
      </w:r>
    </w:p>
    <w:p>
      <w:pPr>
        <w:pStyle w:val="Heading1"/>
        <w:spacing w:after="200" w:before="360"/>
      </w:pPr>
      <w:r>
        <w:t xml:space="preserve">2. 공통 전처리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600"/>
      </w:tblGrid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여러 모델이 공통으로 사용할 정제된 피처를 미리 만들어 반복 작업을 줄임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작업 1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부작용 컬럼 표기 정규화 — 운영 DB 표기("전신증상-피로")를 확정된 11개 대분류 표준 표기("전신")로 통일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작업 2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기저질환 컬럼 파싱 — 쉼표로 결합된 다중값("고혈압,고지혈증,당뇨")을 질환별 개별 플래그(있음/없음)로 분리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정규화된 부작용 대분류·세부증상 컬럼, 기저질환 플래그 컬럼셋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활용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핵심 파이프라인 ②③④ 및 확장모델 2·3·5·6·7순위 등 대다수 모델의 공통 입력 기반</w:t>
            </w:r>
          </w:p>
        </w:tc>
      </w:tr>
    </w:tbl>
    <w:p>
      <w:pPr>
        <w:pStyle w:val="Heading1"/>
        <w:spacing w:after="200" w:before="360"/>
      </w:pPr>
      <w:r>
        <w:t xml:space="preserve">3. 핵심 AI 모델 파이프라인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1단계 — 자가체크 구조화 (경량 방식)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600"/>
      </w:tblGrid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서술형 응답을 (증상 대분류, 세부증상, 통증강도) 구조화 데이터로 변환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입력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서술형 텍스트, 참고자료: 확정된 11개 대분류 증상 사전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출력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증상 대분류(11종 중 1개 이상), 세부증상, 통증강도(1~5)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키워드·룰 매칭(형태소 분석 + 동의어 사전)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평가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사람이 라벨링한 검증셋 대비 정확도(Precision/Recall)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실제 운영 데이터엔 서술형 원문이 없어, 1순위 확장모델(sLLM+RAG)에서 샘플 데이터로 별도 보완</w:t>
            </w:r>
          </w:p>
        </w:tc>
      </w:tr>
    </w:tbl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② 심각도 분류 (Level) 모델 — 클러스터링 기반으로 재정의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600"/>
      </w:tblGrid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Level 기준을 사람이 정하지 않고 데이터 패턴에서 직접 도출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1단계 (비지도)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통증강도·발생시간(회차)·부작용 위험군·동반증상 개수 등 특징으로 클러스터링(KMeans 등) 실행 → 그룹별 평균 프로파일을 확인해 심각도 순으로 정렬(그룹 경계는 데이터가 결정, 순서 매김만 사람이 확인)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2단계 (지도)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클러스터링 결과를 타겟으로 RandomForest/LightGBM 학습 → 신규 케이스를 실시간으로 분류할 수 있게 함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입력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성별, 연령대, 병명, 기저질환(플래그), 발생시간(3·48·72·168h 회차), 부작용(정규화된 대분류·세부증상)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타겟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클러스터링에서 도출된 그룹(심각도 순 정렬)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출력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예측 Level(그룹), 그룹별 확률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평가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실루엣 스코어(군집 타당성), 분류기 Accuracy·F1·교차검증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의료진 검수 방식이 "기준이 맞는지"에서 "데이터가 찾아낸 그룹이 타당한지" 확인으로 전환됨</w:t>
            </w:r>
          </w:p>
        </w:tc>
      </w:tr>
    </w:tbl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③ 설명가능 AI (SHAP)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600"/>
      </w:tblGrid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②의 지도학습 분류기가 왜 특정 그룹으로 예측했는지 설명. 부가적으로 클러스터링 결과의 타당성 재검증 용도로도 활용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입력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②와 동일 피처 + 학습된 분류기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출력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케이스별 상위 3~5개 요인 + 기여도(%)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TreeExplainer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평가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정성 검토 — 상위 요인이 임상적으로 납득되는지 확인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클러스터링은 직접 설명 불가 → 클러스터 결과를 학습한 지도학습 분류기를 설명 대상으로 함</w:t>
            </w:r>
          </w:p>
        </w:tc>
      </w:tr>
    </w:tbl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④ 성능검증 (자체 검증, 2갈래)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600"/>
      </w:tblGrid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검증 A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클러스터링 결과 자체 — 실루엣 스코어, 군집 간 분리도, 군집별 평균 프로파일의 해석 가능성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검증 B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분류기(②)의 예측력 — Accuracy, F1(macro), 5-fold 교차검증. "정답"이 클러스터링 결과이므로 "클러스터 패턴을 일관되게 재현하는가"를 보는 것으로 해석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검증 결과 보고서(A+B), 성과지표(자율4 "AI 모델 성능 달성율") 근거자료로 활용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공인된 정답값 없이 자체 생성 그룹을 검증하는 구조라, 검증 A(해석 가능성)가 특히 중요</w:t>
            </w:r>
          </w:p>
        </w:tc>
      </w:tr>
    </w:tbl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API 연동 테스트 — 사내 개발자 직접 진행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600"/>
      </w:tblGrid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사내 개발팀 직접 진행 (본 정의서 범위 제외)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본팀 산출물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②③이 결합된 예측 함수 1개 — 입력(케이스 피처) → 출력(Level, 요인별 기여도) 반환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형식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저장된 모델 파일(.pkl 또는 .joblib) + 예측 함수 스펙 문서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 필요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클러스터 그룹 번호를 1~4로 매핑하는 변환을 본팀에서 처리해 넘길지, 원본 그룹 번호 그대로 넘기고 개발팀이 매핑할지 — 개발팀과 협의 필요</w:t>
            </w:r>
          </w:p>
        </w:tc>
      </w:tr>
    </w:tbl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⑤ 연속학습 파이프라인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600"/>
      </w:tblGrid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재학습 대상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클러스터링과 분류기 모두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방식 A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클러스터링도 주기적으로 재실행 — 최신 데이터 반영에 유리하나 그룹 정의가 계속 바뀌면 일관성 문제 발생 가능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방식 B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클러스터링은 초기 1회만 확정하고 이후엔 분류기만 재학습 — 그룹 정의 고정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적용 계획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실증 초반(데이터 적을 때)엔 방식 A로 경계를 다듬고, 안정화되면 방식 B로 전환. 전환 시점은 ② 구현 후 실제 클러스터링 결과를 보고 결정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트리거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2~3일 주기 또는 신규 데이터 N건 누적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절차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신규 데이터 검증(스키마·결측치·그룹 분포) → 재학습 → ④ 재검증 → 이전 모델 대비 성능 비교 → 승격/롤백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버전별 모델 파일(model_v{날짜}.pkl), 성능 로그</w:t>
            </w:r>
          </w:p>
        </w:tc>
      </w:tr>
    </w:tbl>
    <w:p>
      <w:pPr>
        <w:pStyle w:val="Heading1"/>
        <w:spacing w:after="200" w:before="360"/>
      </w:pPr>
      <w:r>
        <w:t xml:space="preserve">4. 추가 확장모델</w:t>
      </w:r>
    </w:p>
    <w:p>
      <w:pPr>
        <w:pStyle w:val="Heading2"/>
        <w:spacing w:after="140" w:before="280"/>
      </w:pPr>
      <w:r>
        <w:t xml:space="preserve">4-1. 우선순위 요약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5900"/>
      </w:tblGrid>
      <w:tr>
        <w:trPr>
          <w:tblHeader/>
        </w:trPr>
        <w:tc>
          <w:tcPr>
            <w:tcW w:type="dxa" w:w="700"/>
            <w:shd w:fill="2F559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순위</w:t>
            </w:r>
          </w:p>
        </w:tc>
        <w:tc>
          <w:tcPr>
            <w:tcW w:type="dxa" w:w="4200"/>
            <w:shd w:fill="2F559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모델</w:t>
            </w:r>
          </w:p>
        </w:tc>
        <w:tc>
          <w:tcPr>
            <w:tcW w:type="dxa" w:w="5900"/>
            <w:shd w:fill="2F559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진행 방향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sLLM+RAG 구조화 모델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서술형 원문 샘플 데이터를 직접 만들어서 진행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연령/성별 기반 부작용 차이 분석(확장판)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실데이터로 바로 진행 가능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이상반응 유형 분류모델(다중분류)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실데이터로 바로 진행 가능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수요예측 AI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재고 수량 샘플 데이터를 직접 만들어서 진행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이상반응 급증 감지(시계열 이상탐지)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실데이터로 바로 진행 가능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LOT별 위험도 평가(클러스터링)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실데이터로 바로 진행 가능 — ②의 클러스터링 경험 재활용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부작용 발생 시간 예측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회귀 대신 다중분류로 재정의(아래 상세 참고)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약학정보원 등록 증상 비교 분석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그대로 진행 — 외부 데이터 별도 확보 필요</w:t>
            </w:r>
          </w:p>
        </w:tc>
      </w:tr>
    </w:tbl>
    <w:p>
      <w:pPr>
        <w:pStyle w:val="Heading2"/>
        <w:spacing w:after="140" w:before="280"/>
      </w:pPr>
      <w:r>
        <w:t xml:space="preserve">4-2. 모델별 상세 정의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1순위 — sLLM+RAG 구조화 모델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600"/>
      </w:tblGrid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1단계 키워드 매칭을 AI 기반 이해로 고도화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입력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서술형 문장(직접 제작한 샘플 데이터) + RAG 참고자료(11개 대분류 확정 사전)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출력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1단계와 동일 스펙(증상 대분류, 세부증상, 통증강도), 정확도만 개선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오픈소스 한국어 모델(Qwen2.5-7B 등) + LoRA 파인튜닝 + 벡터DB(RAG)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평가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구조화 정확도, 환각률(사전 목록 밖 답변 비율)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실제 서술형 원문 데이터가 없어 샘플 데이터 제작으로 개발 착수. 추후 실제 운영 데이터로 교체·보강 필요</w:t>
            </w:r>
          </w:p>
        </w:tc>
      </w:tr>
    </w:tbl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2순위 — 연령/성별 기반 부작용 차이 분석 (확장판)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600"/>
      </w:tblGrid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그룹별 부작용 보고율 차이의 통계적 유의성 확인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입력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성별, 연령대, 기저질환(파싱), 부작용(정규화), 통증정도, 로트번호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출력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p-value, 보정 OR(95%CI), FDR q-value, Lift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Chi-square, Fisher exact, Logistic Regression, Lift 분석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평가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결과 해석 표현은 "위험하다"가 아닌 "관찰됨" 수준으로 작성(PV-IMS 프로토타입 원칙 적용)</w:t>
            </w:r>
          </w:p>
        </w:tc>
      </w:tr>
    </w:tbl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3순위 — 이상반응 유형 분류모델 (다중분류)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600"/>
      </w:tblGrid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접종 전 정보로 예상 부작용 유형 예측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입력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성별, 연령대, 병명, 백신명, 제조사, 기저질환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출력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예측 부작용 유형 + 확률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RandomForest/XGBoost — 기존 보유 코드 재활용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평가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Accuracy, macro F1, Feature Importance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②(심각도 분류)와는 별개 문제 — 기존 지도학습 방식 그대로 유지</w:t>
            </w:r>
          </w:p>
        </w:tc>
      </w:tr>
    </w:tbl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4순위 — 수요예측 AI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600"/>
      </w:tblGrid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병명·접종기관별 향후 접종량, 재고 소진 예상일 예측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입력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접종일시(일/주 단위 집계), 병명, 접종기관, 재고 수량(직접 제작한 샘플 데이터)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출력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향후 N일 예상 접종량, 재고 부족 예상 기관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이동평균 기반 시작 → 필요 시 Prophet/SARIMA로 고도화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평가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MAPE, RMSE(walk-forward 검증)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실제 재고 데이터가 없어 샘플 데이터로 개발 착수. 추후 실제 재고 데이터로 교체·보강 필요</w:t>
            </w:r>
          </w:p>
        </w:tc>
      </w:tr>
    </w:tbl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5순위 — 이상반응 급증 감지 (시계열 이상탐지)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600"/>
      </w:tblGrid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특정 시점·로트의 이상반응 급증 탐지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입력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자가체크 일시(시간 단위 집계), 로트번호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출력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급증 시점, 해당 로트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이동평균 ± 2표준편차(단순 방식 우선 — 실증 데이터 규모상 LSTM Autoencoder는 과함)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평가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False Positive Rate</w:t>
            </w:r>
          </w:p>
        </w:tc>
      </w:tr>
    </w:tbl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6순위 — LOT별 위험도 평가 (클러스터링)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600"/>
      </w:tblGrid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로트(131개)별 위험 패턴 군집화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입력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로트별 집계: 제조사, 발생시간 평균, 부작용 다양성, 성별 비율, 통증정도 평균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출력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로트별 군집 그룹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KMeans + PCA, 실루엣 스코어로 군집 수 결정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평가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실루엣 스코어, 군집별 해석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②의 클러스터링 개발 경험을 그대로 재활용 가능</w:t>
            </w:r>
          </w:p>
        </w:tc>
      </w:tr>
    </w:tbl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7순위 — 부작용 발생 시간 예측 — 다중분류로 재정의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600"/>
      </w:tblGrid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특정 케이스·특정 부작용이 자가체크 몇 차수(3·48·72·168h)에 나타날 가능성이 높은지 확률로 제시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입력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성별, 연령대, 병명, 백신명, 기저질환(파싱), 부작용(정규화된 대분류·세부증상)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타겟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발생시간(4개 차수 중 하나)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출력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차수별 확률 분포 (예: "관절통은 48h에 발생할 확률이 가장 높음: 62%")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RandomForest/LightGBM 다중분류 + predict_proba()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활용처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자가체크 알림 타이밍 최적화(차수별 중점 문진 설계)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재정의 사유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실제 데이터의 발생시간 컬럼이 3/48/72/168 네 값만 갖는 범주형이라, 연속적인 시간값을 학습할 재료가 없음. 회귀 대신 다중분류 + 확률 출력이 "어느 차수에 발생 가능성이 높은가"라는 목표에 더 직접적으로 부합</w:t>
            </w:r>
          </w:p>
        </w:tc>
      </w:tr>
    </w:tbl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color w:val="2F5597"/>
          <w:sz w:val="22"/>
          <w:szCs w:val="22"/>
        </w:rPr>
        <w:t xml:space="preserve">8순위 — 약학정보원 등록 증상 비교 분석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600"/>
      </w:tblGrid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공식 등록 증상 vs 실제 보고 증상 매칭율 확인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입력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백신명·제조사별 실제 부작용(정규화됨), 약학정보원 공식 등록 증상 목록(외부 데이터)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출력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매칭율(%), 미등록 증상 리스트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집합 연산(교집합/차집합)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평가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매칭율(%)</w:t>
            </w:r>
          </w:p>
        </w:tc>
      </w:tr>
      <w:tr>
        <w:tc>
          <w:tcPr>
            <w:tcW w:type="dxa" w:w="2200"/>
            <w:shd w:fill="D9E2F3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  <w:tc>
          <w:tcPr>
            <w:tcW w:type="dxa" w:w="8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약학정보원 공식 등록 목록은 외부 데이터로 별도 확보 필요. 확보 전까지는 착수 대기</w:t>
            </w:r>
          </w:p>
        </w:tc>
      </w:tr>
    </w:tbl>
    <w:p>
      <w:pPr>
        <w:pStyle w:val="Heading1"/>
        <w:spacing w:after="200" w:before="360"/>
      </w:pPr>
      <w:r>
        <w:t xml:space="preserve">5. 남은 확인·결정 사항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맑은 고딕" w:cs="맑은 고딕" w:eastAsia="맑은 고딕" w:hAnsi="맑은 고딕"/>
          <w:sz w:val="22"/>
          <w:szCs w:val="22"/>
        </w:rPr>
        <w:t xml:space="preserve">클러스터 그룹 번호 → Level 1~4 라벨 변환 처리 주체(본팀 vs 개발팀) — API 연동 담당 개발팀과 협의 필요.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연속학습 방식 A(클러스터링 재실행)에서 방식 B(고정)로의 전환 시점 — ② 구현 후 실제 클러스터링 결과를 보고 결정.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맑은 고딕" w:cs="맑은 고딕" w:eastAsia="맑은 고딕" w:hAnsi="맑은 고딕"/>
          <w:sz w:val="22"/>
          <w:szCs w:val="22"/>
        </w:rPr>
        <w:t xml:space="preserve">sLLM+RAG(1순위)·수요예측 AI(4순위)에 사용할 샘플 데이터 제작 기준(건수, 생성 방식) 확정 필요.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맑은 고딕" w:cs="맑은 고딕" w:eastAsia="맑은 고딕" w:hAnsi="맑은 고딕"/>
          <w:sz w:val="22"/>
          <w:szCs w:val="22"/>
        </w:rPr>
        <w:t xml:space="preserve">약학정보원 공식 등록 증상 목록(8순위) 확보 경로 확인 필요.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맑은 고딕" w:cs="맑은 고딕" w:eastAsia="맑은 고딕" w:hAnsi="맑은 고딕"/>
          <w:sz w:val="22"/>
          <w:szCs w:val="22"/>
        </w:rPr>
        <w:t xml:space="preserve">알레르기 정보 등 API 연동 스펙에는 있으나 현재 실데이터에 없는 필드는 개발팀과 별도 확인 필요.</w:t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2026-09-16T08:14:00.713Z</dcterms:created>
  <dcterms:modified xsi:type="dcterms:W3CDTF">2026-09-16T08:14:00.720Z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