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jc w:val="center"/>
      </w:pPr>
      <w:r>
        <w:drawing>
          <wp:inline xmlns:a="http://schemas.openxmlformats.org/drawingml/2006/main" xmlns:pic="http://schemas.openxmlformats.org/drawingml/2006/picture">
            <wp:extent cx="749808" cy="749808"/>
            <wp:docPr id="1" name="Picture 1" descr="AetherOp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thero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74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etherOpsKicker"/>
        <w:jc w:val="center"/>
      </w:pPr>
      <w:r>
        <w:t>AETHEROPS RESEARCH</w:t>
      </w:r>
    </w:p>
    <w:p>
      <w:pPr>
        <w:pStyle w:val="AetherOpsCoverTitle"/>
        <w:jc w:val="center"/>
      </w:pPr>
      <w:r>
        <w:t>연구 보고서</w:t>
      </w:r>
    </w:p>
    <w:p>
      <w:pPr>
        <w:pStyle w:val="AetherOpsSubtitle"/>
        <w:jc w:val="center"/>
      </w:pPr>
      <w:r>
        <w:t>검증 가능한 근거 · 재현 가능한 해석 · 추적 가능한 지식</w:t>
      </w:r>
    </w:p>
    <w:p>
      <w:pPr>
        <w:spacing w:after="100"/>
        <w:jc w:val="center"/>
      </w:pPr>
      <w:r>
        <w:rPr>
          <w:rFonts w:ascii="Calibri" w:hAnsi="Calibri" w:eastAsia="Malgun Gothic"/>
          <w:b/>
          <w:color w:val="18222C"/>
          <w:sz w:val="36"/>
        </w:rPr>
        <w:t>〈연구 제목을 한 문장으로 입력〉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DA"/>
          <w:left w:val="single" w:sz="6" w:space="0" w:color="CBD5DA"/>
          <w:bottom w:val="single" w:sz="6" w:space="0" w:color="CBD5DA"/>
          <w:right w:val="single" w:sz="6" w:space="0" w:color="CBD5DA"/>
          <w:insideH w:val="single" w:sz="6" w:space="0" w:color="CBD5DA"/>
          <w:insideV w:val="single" w:sz="6" w:space="0" w:color="CBD5DA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EF2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프로젝트</w:t>
            </w:r>
          </w:p>
        </w:tc>
        <w:tc>
          <w:tcPr>
            <w:tcW w:type="dxa" w:w="4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EF2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연구 실행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〈프로젝트명〉</w:t>
            </w:r>
          </w:p>
        </w:tc>
        <w:tc>
          <w:tcPr>
            <w:tcW w:type="dxa" w:w="4680"/>
            <w:shd w:fill="FFFFF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〈Run ID〉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〈대화 세션〉</w:t>
            </w:r>
          </w:p>
        </w:tc>
        <w:tc>
          <w:tcPr>
            <w:tcW w:type="dxa" w:w="4680"/>
            <w:shd w:fill="FFFFF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〈완료 일시 / 시간대〉</w:t>
            </w:r>
          </w:p>
        </w:tc>
      </w:tr>
    </w:tbl>
    <w:p>
      <w:pPr>
        <w:spacing w:after="0" w:before="180"/>
      </w:pPr>
    </w:p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55D8AE"/>
          <w:left w:val="single" w:sz="6" w:space="0" w:color="55D8AE"/>
          <w:bottom w:val="single" w:sz="6" w:space="0" w:color="55D8AE"/>
          <w:right w:val="single" w:sz="6" w:space="0" w:color="55D8AE"/>
          <w:insideH w:val="single" w:sz="6" w:space="0" w:color="55D8AE"/>
          <w:insideV w:val="single" w:sz="6" w:space="0" w:color="55D8A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  <w:shd w:fill="EAF9F4" w:val="clear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257862"/>
                <w:sz w:val="20"/>
              </w:rPr>
              <w:t>근거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color w:val="18222C"/>
                <w:sz w:val="17"/>
              </w:rPr>
              <w:t>원문과 산출물까지 추적</w:t>
            </w:r>
          </w:p>
        </w:tc>
        <w:tc>
          <w:tcPr>
            <w:tcW w:type="dxa" w:w="3120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  <w:shd w:fill="EAF9F4" w:val="clear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257862"/>
                <w:sz w:val="20"/>
              </w:rPr>
              <w:t>분석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color w:val="18222C"/>
                <w:sz w:val="17"/>
              </w:rPr>
              <w:t>조건·도구·계산을 재현</w:t>
            </w:r>
          </w:p>
        </w:tc>
        <w:tc>
          <w:tcPr>
            <w:tcW w:type="dxa" w:w="3120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  <w:shd w:fill="EAF9F4" w:val="clear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257862"/>
                <w:sz w:val="20"/>
              </w:rPr>
              <w:t>판정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color w:val="18222C"/>
                <w:sz w:val="17"/>
              </w:rPr>
              <w:t>독립 리뷰와 품질 게이트</w:t>
            </w:r>
          </w:p>
        </w:tc>
      </w:tr>
    </w:tbl>
    <w:p>
      <w:pPr>
        <w:spacing w:before="400" w:after="0"/>
        <w:jc w:val="center"/>
      </w:pPr>
      <w:r>
        <w:rPr>
          <w:rFonts w:ascii="Calibri" w:hAnsi="Calibri" w:eastAsia="Malgun Gothic"/>
          <w:i/>
          <w:color w:val="71808A"/>
          <w:sz w:val="17"/>
        </w:rPr>
        <w:t>템플릿 안내  ·  꺾쇠 괄호 안의 안내 문구는 실제 연구 내용으로 교체하고, 해당 없는 조건부 장은 제거합니다.</w:t>
      </w:r>
    </w:p>
    <w:p>
      <w:r>
        <w:br w:type="page"/>
      </w:r>
    </w:p>
    <w:p>
      <w:pPr>
        <w:pStyle w:val="Heading1"/>
        <w:keepNext/>
      </w:pPr>
      <w:r>
        <w:t>한눈에 보는 결론</w:t>
      </w:r>
    </w:p>
    <w:p>
      <w:pPr>
        <w:spacing w:after="160"/>
      </w:pPr>
      <w:r>
        <w:rPr>
          <w:rFonts w:ascii="Calibri" w:hAnsi="Calibri" w:eastAsia="Malgun Gothic"/>
          <w:i/>
          <w:color w:val="71808A"/>
          <w:sz w:val="19"/>
        </w:rPr>
        <w:t>의사결정자가 첫 화면만 읽어도 연구 결론, 핵심 근거의 강도, 즉시 취해야 할 조치가 명확히 드러나도록 작성합니다.</w:t>
      </w:r>
    </w:p>
    <w:p>
      <w:pPr>
        <w:spacing w:before="140" w:after="220" w:line="269" w:lineRule="auto"/>
        <w:shd w:val="clear" w:fill="EAF9F4"/>
        <w:pBdr>
          <w:top w:val="single" w:sz="10" w:space="7" w:color="257862"/>
          <w:left w:val="single" w:sz="10" w:space="7" w:color="257862"/>
          <w:bottom w:val="single" w:sz="10" w:space="7" w:color="257862"/>
          <w:right w:val="single" w:sz="10" w:space="7" w:color="257862"/>
        </w:pBdr>
        <w:ind w:left="180" w:right="180"/>
      </w:pPr>
      <w:r>
        <w:rPr>
          <w:rFonts w:ascii="Calibri" w:hAnsi="Calibri" w:eastAsia="Malgun Gothic"/>
          <w:b/>
          <w:color w:val="257862"/>
          <w:sz w:val="18"/>
        </w:rPr>
        <w:t>핵심 결론</w:t>
        <w:br/>
      </w:r>
      <w:r>
        <w:rPr>
          <w:rFonts w:ascii="Calibri" w:hAnsi="Calibri" w:eastAsia="Malgun Gothic"/>
          <w:b/>
          <w:color w:val="18222C"/>
          <w:sz w:val="25"/>
        </w:rPr>
        <w:t>〈연구 질문에 대한 직접적인 답을 2~4문장으로 명확히 제시합니다. 결론을 서두에 배치하고 필수 조건과 예외 사항을 명시합니다.〉</w:t>
      </w:r>
    </w:p>
    <w:p>
      <w:pPr>
        <w:pStyle w:val="Heading2"/>
        <w:keepNext/>
      </w:pPr>
      <w:r>
        <w:t>핵심 발견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algun Gothic"/>
          <w:b/>
          <w:color w:val="18222C"/>
          <w:sz w:val="22"/>
        </w:rPr>
        <w:t>발견 1:</w:t>
      </w:r>
      <w:r>
        <w:rPr>
          <w:rFonts w:ascii="Calibri" w:hAnsi="Calibri" w:eastAsia="Malgun Gothic"/>
          <w:color w:val="18222C"/>
          <w:sz w:val="22"/>
        </w:rPr>
        <w:t xml:space="preserve"> 〈가장 결정적인 정량·정성 연구 결과와 문장 밀착 인용 표식 [1]〉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algun Gothic"/>
          <w:b/>
          <w:color w:val="18222C"/>
          <w:sz w:val="22"/>
        </w:rPr>
        <w:t>발견 2:</w:t>
      </w:r>
      <w:r>
        <w:rPr>
          <w:rFonts w:ascii="Calibri" w:hAnsi="Calibri" w:eastAsia="Malgun Gothic"/>
          <w:color w:val="18222C"/>
          <w:sz w:val="22"/>
        </w:rPr>
        <w:t xml:space="preserve"> 〈두 번째 핵심 결과 및 이를 뒷받침하는 교차 검증 근거 [2]〉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algun Gothic"/>
          <w:b/>
          <w:color w:val="18222C"/>
          <w:sz w:val="22"/>
        </w:rPr>
        <w:t>발견 3:</w:t>
      </w:r>
      <w:r>
        <w:rPr>
          <w:rFonts w:ascii="Calibri" w:hAnsi="Calibri" w:eastAsia="Malgun Gothic"/>
          <w:color w:val="18222C"/>
          <w:sz w:val="22"/>
        </w:rPr>
        <w:t xml:space="preserve"> 〈주요 반대 근거, 해석 경계 조건 또는 예상 외 수치 결과 [3]〉</w:t>
      </w:r>
    </w:p>
    <w:p>
      <w:pPr>
        <w:pStyle w:val="Heading2"/>
        <w:keepNext/>
        <w:spacing w:after="100"/>
      </w:pPr>
      <w:r>
        <w:t>판단과 다음 행동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DA"/>
          <w:left w:val="single" w:sz="6" w:space="0" w:color="CBD5DA"/>
          <w:bottom w:val="single" w:sz="6" w:space="0" w:color="CBD5DA"/>
          <w:right w:val="single" w:sz="6" w:space="0" w:color="CBD5DA"/>
          <w:insideH w:val="single" w:sz="6" w:space="0" w:color="CBD5DA"/>
          <w:insideV w:val="single" w:sz="6" w:space="0" w:color="CBD5DA"/>
        </w:tblBorders>
      </w:tblPr>
      <w:tblGrid>
        <w:gridCol w:w="1440"/>
        <w:gridCol w:w="2880"/>
        <w:gridCol w:w="1800"/>
        <w:gridCol w:w="3240"/>
      </w:tblGrid>
      <w:tr>
        <w:trPr>
          <w:tblHeader w:val="true"/>
        </w:trPr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구분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판단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근거 수준</w:t>
            </w:r>
          </w:p>
        </w:tc>
        <w:tc>
          <w:tcPr>
            <w:tcW w:type="dxa" w:w="32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권고 행동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핵심 결정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〈채택 / 조건부 진행 / 보류 / 기각〉</w:t>
            </w:r>
          </w:p>
        </w:tc>
        <w:tc>
          <w:tcPr>
            <w:tcW w:type="dxa" w:w="18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〈높음 / 중간 / 낮음〉</w:t>
            </w:r>
          </w:p>
        </w:tc>
        <w:tc>
          <w:tcPr>
            <w:tcW w:type="dxa" w:w="32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〈즉시 실행할 구체적 조치〉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주요 위험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〈의사결정에 영향을 미치는 핵심 리스크〉</w:t>
            </w:r>
          </w:p>
        </w:tc>
        <w:tc>
          <w:tcPr>
            <w:tcW w:type="dxa" w:w="18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〈검증됨 / 추가 확인 필요〉</w:t>
            </w:r>
          </w:p>
        </w:tc>
        <w:tc>
          <w:tcPr>
            <w:tcW w:type="dxa" w:w="32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〈사전 완화 대책〉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후속 연구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〈미해결 질문 또는 확장 검증 과제〉</w:t>
            </w:r>
          </w:p>
        </w:tc>
        <w:tc>
          <w:tcPr>
            <w:tcW w:type="dxa" w:w="18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〈필요 자료 및 도구〉</w:t>
            </w:r>
          </w:p>
        </w:tc>
        <w:tc>
          <w:tcPr>
            <w:tcW w:type="dxa" w:w="32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〈실행 조건 및 마일스톤〉</w:t>
            </w:r>
          </w:p>
        </w:tc>
      </w:tr>
    </w:tbl>
    <w:p>
      <w:pPr>
        <w:spacing w:after="0" w:before="180"/>
      </w:pPr>
    </w:p>
    <w:p>
      <w:pPr>
        <w:pStyle w:val="Heading2"/>
        <w:keepNext/>
        <w:spacing w:after="100"/>
      </w:pPr>
      <w:r>
        <w:t>품질 상태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DA"/>
          <w:left w:val="single" w:sz="6" w:space="0" w:color="CBD5DA"/>
          <w:bottom w:val="single" w:sz="6" w:space="0" w:color="CBD5DA"/>
          <w:right w:val="single" w:sz="6" w:space="0" w:color="CBD5DA"/>
          <w:insideH w:val="single" w:sz="6" w:space="0" w:color="CBD5DA"/>
          <w:insideV w:val="single" w:sz="6" w:space="0" w:color="CBD5DA"/>
        </w:tblBorders>
      </w:tblPr>
      <w:tblGrid>
        <w:gridCol w:w="1800"/>
        <w:gridCol w:w="2340"/>
        <w:gridCol w:w="1620"/>
        <w:gridCol w:w="1800"/>
        <w:gridCol w:w="180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7FC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인용 무결성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7FC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지식 근거</w:t>
            </w:r>
          </w:p>
        </w:tc>
        <w:tc>
          <w:tcPr>
            <w:tcW w:type="dxa" w:w="16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7FC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치명적 오류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7FC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평균 리뷰 점수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7FC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판정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〈100%〉</w:t>
            </w:r>
          </w:p>
        </w:tc>
        <w:tc>
          <w:tcPr>
            <w:tcW w:type="dxa" w:w="23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〈100% / unsupported 0〉</w:t>
            </w:r>
          </w:p>
        </w:tc>
        <w:tc>
          <w:tcPr>
            <w:tcW w:type="dxa" w:w="16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〈0건〉</w:t>
            </w:r>
          </w:p>
        </w:tc>
        <w:tc>
          <w:tcPr>
            <w:tcW w:type="dxa" w:w="18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〈4.0 / 5.0 이상〉</w:t>
            </w:r>
          </w:p>
        </w:tc>
        <w:tc>
          <w:tcPr>
            <w:tcW w:type="dxa" w:w="18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〈통과 / 품질 실패〉</w:t>
            </w:r>
          </w:p>
        </w:tc>
      </w:tr>
    </w:tbl>
    <w:p>
      <w:pPr>
        <w:spacing w:after="0" w:before="180"/>
      </w:pPr>
    </w:p>
    <w:p>
      <w:r>
        <w:br w:type="page"/>
      </w:r>
    </w:p>
    <w:p>
      <w:pPr>
        <w:pStyle w:val="Heading1"/>
        <w:keepNext/>
      </w:pPr>
      <w:r>
        <w:t>연구 질문과 범위</w:t>
      </w:r>
    </w:p>
    <w:p>
      <w:pPr>
        <w:pStyle w:val="Heading2"/>
        <w:keepNext/>
      </w:pPr>
      <w:r>
        <w:t>연구 질문</w:t>
      </w:r>
    </w:p>
    <w:p>
      <w:r>
        <w:rPr>
          <w:rFonts w:ascii="Calibri" w:hAnsi="Calibri" w:eastAsia="Malgun Gothic"/>
          <w:color w:val="18222C"/>
          <w:sz w:val="22"/>
        </w:rPr>
        <w:t>〈사용자가 실제로 결정하거나 해결하려는 질문과 목표를 원문의 의미를 정확히 유지하여 서술합니다.〉</w:t>
      </w:r>
    </w:p>
    <w:p>
      <w:pPr>
        <w:pStyle w:val="Heading2"/>
        <w:keepNext/>
        <w:spacing w:after="100"/>
      </w:pPr>
      <w:r>
        <w:t>범위와 제외 범위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DA"/>
          <w:left w:val="single" w:sz="6" w:space="0" w:color="CBD5DA"/>
          <w:bottom w:val="single" w:sz="6" w:space="0" w:color="CBD5DA"/>
          <w:right w:val="single" w:sz="6" w:space="0" w:color="CBD5DA"/>
          <w:insideH w:val="single" w:sz="6" w:space="0" w:color="CBD5DA"/>
          <w:insideV w:val="single" w:sz="6" w:space="0" w:color="CBD5DA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포함 범위</w:t>
            </w:r>
          </w:p>
        </w:tc>
        <w:tc>
          <w:tcPr>
            <w:tcW w:type="dxa" w:w="4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제외 범위 및 사유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〈연구 대상, 기간, 운용 조건, 분석 기법, 데이터셋〉</w:t>
            </w:r>
          </w:p>
        </w:tc>
        <w:tc>
          <w:tcPr>
            <w:tcW w:type="dxa" w:w="468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〈의도적으로 다루지 않은 대상, 미적용 가정 및 그 사유〉</w:t>
            </w:r>
          </w:p>
        </w:tc>
      </w:tr>
    </w:tbl>
    <w:p>
      <w:pPr>
        <w:spacing w:after="0" w:before="180"/>
      </w:pPr>
    </w:p>
    <w:p>
      <w:pPr>
        <w:pStyle w:val="Heading2"/>
        <w:keepNext/>
      </w:pPr>
      <w:r>
        <w:t>성공 기준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algun Gothic"/>
          <w:color w:val="18222C"/>
          <w:sz w:val="22"/>
        </w:rPr>
        <w:t>〈핵심 연구 질문에 대한 직접적이고 정량적인 해답 제시〉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algun Gothic"/>
          <w:color w:val="18222C"/>
          <w:sz w:val="22"/>
        </w:rPr>
        <w:t>〈독립 출처 다양성 및 상호 교차 검증성 확보〉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algun Gothic"/>
          <w:color w:val="18222C"/>
          <w:sz w:val="22"/>
        </w:rPr>
        <w:t>〈공학 시뮬레이션 시 수치 수렴성 및 격자/패널 독립성 입증〉</w:t>
      </w:r>
    </w:p>
    <w:p>
      <w:pPr>
        <w:pStyle w:val="Heading1"/>
        <w:keepNext/>
      </w:pPr>
      <w:r>
        <w:t>방법과 근거</w:t>
      </w:r>
    </w:p>
    <w:p>
      <w:pPr>
        <w:spacing w:after="160"/>
      </w:pPr>
      <w:r>
        <w:rPr>
          <w:rFonts w:ascii="Calibri" w:hAnsi="Calibri" w:eastAsia="Malgun Gothic"/>
          <w:i/>
          <w:color w:val="71808A"/>
          <w:sz w:val="19"/>
        </w:rPr>
        <w:t>수행한 절차뿐만 아니라 해당 방법론의 타당성과 데이터 검증 경로를 종합적으로 설명합니다.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algun Gothic"/>
          <w:color w:val="18222C"/>
          <w:sz w:val="22"/>
        </w:rPr>
        <w:t>계획: 〈연구 가설, 분할 워크스트림, 활용 도구/솔버 및 사전 수락 기준 수립〉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algun Gothic"/>
          <w:color w:val="18222C"/>
          <w:sz w:val="22"/>
        </w:rPr>
        <w:t>수집: 〈출처 선정 기준, 검색/수집 쿼리, 운용 및 공학 계산 조건 설정〉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algun Gothic"/>
          <w:color w:val="18222C"/>
          <w:sz w:val="22"/>
        </w:rPr>
        <w:t>병합: 〈다양한 출처 및 계산 결과의 비교 분석, 데이터 충돌 해소 및 통합〉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algun Gothic"/>
          <w:color w:val="18222C"/>
          <w:sz w:val="22"/>
        </w:rPr>
        <w:t>리뷰: 〈독립 품질 게이트 검토, 인용/지식 무결성 검증 및 피드백 반영〉</w:t>
      </w:r>
    </w:p>
    <w:p>
      <w:pPr>
        <w:pStyle w:val="Heading2"/>
        <w:keepNext/>
        <w:spacing w:after="100"/>
      </w:pPr>
      <w:r>
        <w:t>근거 구성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DA"/>
          <w:left w:val="single" w:sz="6" w:space="0" w:color="CBD5DA"/>
          <w:bottom w:val="single" w:sz="6" w:space="0" w:color="CBD5DA"/>
          <w:right w:val="single" w:sz="6" w:space="0" w:color="CBD5DA"/>
          <w:insideH w:val="single" w:sz="6" w:space="0" w:color="CBD5DA"/>
          <w:insideV w:val="single" w:sz="6" w:space="0" w:color="CBD5DA"/>
        </w:tblBorders>
      </w:tblPr>
      <w:tblGrid>
        <w:gridCol w:w="180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근거 묶음</w:t>
            </w:r>
          </w:p>
        </w:tc>
        <w:tc>
          <w:tcPr>
            <w:tcW w:type="dxa" w:w="25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역할</w:t>
            </w:r>
          </w:p>
        </w:tc>
        <w:tc>
          <w:tcPr>
            <w:tcW w:type="dxa" w:w="25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출처 및 도구</w:t>
            </w:r>
          </w:p>
        </w:tc>
        <w:tc>
          <w:tcPr>
            <w:tcW w:type="dxa" w:w="25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검증 상태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〈Workstream A〉</w:t>
            </w:r>
          </w:p>
        </w:tc>
        <w:tc>
          <w:tcPr>
            <w:tcW w:type="dxa" w:w="25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〈문헌·기술·시장 조사 분석〉</w:t>
            </w:r>
          </w:p>
        </w:tc>
        <w:tc>
          <w:tcPr>
            <w:tcW w:type="dxa" w:w="25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〈공개 학술 데이터베이스〉</w:t>
            </w:r>
          </w:p>
        </w:tc>
        <w:tc>
          <w:tcPr>
            <w:tcW w:type="dxa" w:w="25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〈CAS readback 완료〉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〈Workstream B〉</w:t>
            </w:r>
          </w:p>
        </w:tc>
        <w:tc>
          <w:tcPr>
            <w:tcW w:type="dxa" w:w="25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〈대조군 비교 및 반증 분석〉</w:t>
            </w:r>
          </w:p>
        </w:tc>
        <w:tc>
          <w:tcPr>
            <w:tcW w:type="dxa" w:w="25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〈공식 기술 사양서/특허〉</w:t>
            </w:r>
          </w:p>
        </w:tc>
        <w:tc>
          <w:tcPr>
            <w:tcW w:type="dxa" w:w="25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〈CAS readback 완료〉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〈공학 검증〉</w:t>
            </w:r>
          </w:p>
        </w:tc>
        <w:tc>
          <w:tcPr>
            <w:tcW w:type="dxa" w:w="25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〈수치해석 및 민감도 검증〉</w:t>
            </w:r>
          </w:p>
        </w:tc>
        <w:tc>
          <w:tcPr>
            <w:tcW w:type="dxa" w:w="25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〈SU2 / XFOIL 등 솔버〉</w:t>
            </w:r>
          </w:p>
        </w:tc>
        <w:tc>
          <w:tcPr>
            <w:tcW w:type="dxa" w:w="25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〈Receipt 검증 완료〉</w:t>
            </w:r>
          </w:p>
        </w:tc>
      </w:tr>
    </w:tbl>
    <w:p>
      <w:pPr>
        <w:spacing w:after="0" w:before="180"/>
      </w:pPr>
    </w:p>
    <w:p>
      <w:r>
        <w:br w:type="page"/>
      </w:r>
    </w:p>
    <w:p>
      <w:pPr>
        <w:pStyle w:val="Heading1"/>
        <w:keepNext/>
      </w:pPr>
      <w:r>
        <w:t>핵심 결과</w:t>
      </w:r>
    </w:p>
    <w:p>
      <w:pPr>
        <w:spacing w:after="160"/>
      </w:pPr>
      <w:r>
        <w:rPr>
          <w:rFonts w:ascii="Calibri" w:hAnsi="Calibri" w:eastAsia="Malgun Gothic"/>
          <w:i/>
          <w:color w:val="71808A"/>
          <w:sz w:val="19"/>
        </w:rPr>
        <w:t>각 결과는 [주장 → 근거 → 시사점 → 예외/경계조건]의 논리 흐름으로 기술하며, 인용 표식을 문장에 밀착 배치합니다.</w:t>
      </w:r>
    </w:p>
    <w:p>
      <w:pPr>
        <w:pStyle w:val="Heading2"/>
        <w:keepNext/>
      </w:pPr>
      <w:r>
        <w:t>발견 A — 〈핵심 주장을 간결한 제목으로 표현〉</w:t>
      </w:r>
    </w:p>
    <w:p>
      <w:r>
        <w:rPr>
          <w:rFonts w:ascii="Calibri" w:hAnsi="Calibri" w:eastAsia="Malgun Gothic"/>
          <w:color w:val="18222C"/>
          <w:sz w:val="22"/>
        </w:rPr>
        <w:t>〈주요 결과를 설명합니다. 모든 정량 지표에는 운용 조건, 물리 단위, 비교 기준을 명시하고 인용 표식 [1]을 배치합니다.〉</w:t>
      </w:r>
    </w:p>
    <w:p>
      <w:pPr>
        <w:spacing w:before="140" w:after="220" w:line="269" w:lineRule="auto"/>
        <w:shd w:val="clear" w:fill="EAF7FC"/>
        <w:pBdr>
          <w:top w:val="single" w:sz="10" w:space="7" w:color="486578"/>
          <w:left w:val="single" w:sz="10" w:space="7" w:color="486578"/>
          <w:bottom w:val="single" w:sz="10" w:space="7" w:color="486578"/>
          <w:right w:val="single" w:sz="10" w:space="7" w:color="486578"/>
        </w:pBdr>
        <w:ind w:left="180" w:right="180"/>
      </w:pPr>
      <w:r>
        <w:rPr>
          <w:rFonts w:ascii="Calibri" w:hAnsi="Calibri" w:eastAsia="Malgun Gothic"/>
          <w:b/>
          <w:color w:val="486578"/>
          <w:sz w:val="18"/>
        </w:rPr>
        <w:t>시사점 및 중요성</w:t>
        <w:br/>
      </w:r>
      <w:r>
        <w:rPr>
          <w:rFonts w:ascii="Calibri" w:hAnsi="Calibri" w:eastAsia="Malgun Gothic"/>
          <w:b/>
          <w:color w:val="18222C"/>
          <w:sz w:val="25"/>
        </w:rPr>
        <w:t>〈이 결과가 사용자의 최종 의사결정, 제품 설계 또는 후속 공학 실험에 미치는 실질적 영향을 서술합니다.〉</w:t>
      </w:r>
    </w:p>
    <w:p>
      <w:pPr>
        <w:pStyle w:val="Heading2"/>
        <w:keepNext/>
      </w:pPr>
      <w:r>
        <w:t>발견 B — 〈반대 근거 또는 조건부 결과 분석〉</w:t>
      </w:r>
    </w:p>
    <w:p>
      <w:r>
        <w:rPr>
          <w:rFonts w:ascii="Calibri" w:hAnsi="Calibri" w:eastAsia="Malgun Gothic"/>
          <w:color w:val="18222C"/>
          <w:sz w:val="22"/>
        </w:rPr>
        <w:t>〈결론을 제한하거나 특정 조건에서 결과가 달라질 수 있는 반대 근거 및 불일치 요인을 객관적으로 분석합니다 [2].〉</w:t>
      </w:r>
    </w:p>
    <w:p>
      <w:pPr>
        <w:pStyle w:val="Heading2"/>
        <w:keepNext/>
        <w:spacing w:after="100"/>
      </w:pPr>
      <w:r>
        <w:t>비교 결과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DA"/>
          <w:left w:val="single" w:sz="6" w:space="0" w:color="CBD5DA"/>
          <w:bottom w:val="single" w:sz="6" w:space="0" w:color="CBD5DA"/>
          <w:right w:val="single" w:sz="6" w:space="0" w:color="CBD5DA"/>
          <w:insideH w:val="single" w:sz="6" w:space="0" w:color="CBD5DA"/>
          <w:insideV w:val="single" w:sz="6" w:space="0" w:color="CBD5DA"/>
        </w:tblBorders>
      </w:tblPr>
      <w:tblGrid>
        <w:gridCol w:w="1800"/>
        <w:gridCol w:w="1800"/>
        <w:gridCol w:w="1440"/>
        <w:gridCol w:w="2880"/>
        <w:gridCol w:w="144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대안 / 조건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핵심 성능 지표</w:t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측정 / 계산값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비교 평가 및 해석</w:t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근거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〈기준선 (Baseline)〉</w:t>
            </w:r>
          </w:p>
        </w:tc>
        <w:tc>
          <w:tcPr>
            <w:tcW w:type="dxa" w:w="18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〈지표 / 단위〉</w:t>
            </w:r>
          </w:p>
        </w:tc>
        <w:tc>
          <w:tcPr>
            <w:tcW w:type="dxa" w:w="14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〈값〉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〈기준 성능〉</w:t>
            </w:r>
          </w:p>
        </w:tc>
        <w:tc>
          <w:tcPr>
            <w:tcW w:type="dxa" w:w="14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〈[1]〉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〈후보 A (Candidate A)〉</w:t>
            </w:r>
          </w:p>
        </w:tc>
        <w:tc>
          <w:tcPr>
            <w:tcW w:type="dxa" w:w="18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〈지표 / 단위〉</w:t>
            </w:r>
          </w:p>
        </w:tc>
        <w:tc>
          <w:tcPr>
            <w:tcW w:type="dxa" w:w="14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〈값〉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〈개선도 및 우수 요인〉</w:t>
            </w:r>
          </w:p>
        </w:tc>
        <w:tc>
          <w:tcPr>
            <w:tcW w:type="dxa" w:w="14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〈[2]〉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〈후보 B (Candidate B)〉</w:t>
            </w:r>
          </w:p>
        </w:tc>
        <w:tc>
          <w:tcPr>
            <w:tcW w:type="dxa" w:w="18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〈지표 / 단위〉</w:t>
            </w:r>
          </w:p>
        </w:tc>
        <w:tc>
          <w:tcPr>
            <w:tcW w:type="dxa" w:w="14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〈값〉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〈한계점 및 평가〉</w:t>
            </w:r>
          </w:p>
        </w:tc>
        <w:tc>
          <w:tcPr>
            <w:tcW w:type="dxa" w:w="14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〈[3]〉</w:t>
            </w:r>
          </w:p>
        </w:tc>
      </w:tr>
    </w:tbl>
    <w:p>
      <w:pPr>
        <w:spacing w:after="0" w:before="180"/>
      </w:pPr>
    </w:p>
    <w:p>
      <w:r>
        <w:br w:type="page"/>
      </w:r>
    </w:p>
    <w:p>
      <w:pPr>
        <w:pStyle w:val="Heading1"/>
        <w:keepNext/>
      </w:pPr>
      <w:r>
        <w:t>공학 해석 (조건부)</w:t>
      </w:r>
    </w:p>
    <w:p>
      <w:pPr>
        <w:spacing w:after="160"/>
      </w:pPr>
      <w:r>
        <w:rPr>
          <w:rFonts w:ascii="Calibri" w:hAnsi="Calibri" w:eastAsia="Malgun Gothic"/>
          <w:i/>
          <w:color w:val="71808A"/>
          <w:sz w:val="19"/>
        </w:rPr>
        <w:t>독립 공학 시뮬레이션 및 수치 계산이 포함되지 않은 일반 연구의 경우 이 장 전체를 생략합니다.</w:t>
      </w:r>
    </w:p>
    <w:p>
      <w:pPr>
        <w:pStyle w:val="Heading2"/>
        <w:keepNext/>
        <w:spacing w:after="100"/>
      </w:pPr>
      <w:r>
        <w:t>해석 계약과 조건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DA"/>
          <w:left w:val="single" w:sz="6" w:space="0" w:color="CBD5DA"/>
          <w:bottom w:val="single" w:sz="6" w:space="0" w:color="CBD5DA"/>
          <w:right w:val="single" w:sz="6" w:space="0" w:color="CBD5DA"/>
          <w:insideH w:val="single" w:sz="6" w:space="0" w:color="CBD5DA"/>
          <w:insideV w:val="single" w:sz="6" w:space="0" w:color="CBD5DA"/>
        </w:tblBorders>
      </w:tblPr>
      <w:tblGrid>
        <w:gridCol w:w="2160"/>
        <w:gridCol w:w="4320"/>
        <w:gridCol w:w="2880"/>
      </w:tblGrid>
      <w:tr>
        <w:trPr>
          <w:tblHeader w:val="true"/>
        </w:trPr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항목</w:t>
            </w:r>
          </w:p>
        </w:tc>
        <w:tc>
          <w:tcPr>
            <w:tcW w:type="dxa" w:w="43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해석 설정 및 형상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근거 및 Receipt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형상 및 기하학적 모델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〈형상 ID, 파라미터, 물성치〉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〈artifact / CAS pointer〉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경계 및 운용 조건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〈Mach, Re, AoA, 유동 조건 등〉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〈artifact / CAS pointer〉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수치 해석 파라미터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〈격자 밀도, 난류 모델, 반복 수, 잔차 기준〉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〈config / receipt〉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민감도 및 독립 검증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〈격자/패널 세분화, 조건 변화 분석〉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〈비교 검증 receipt〉</w:t>
            </w:r>
          </w:p>
        </w:tc>
      </w:tr>
    </w:tbl>
    <w:p>
      <w:pPr>
        <w:spacing w:after="0" w:before="180"/>
      </w:pPr>
    </w:p>
    <w:p>
      <w:pPr>
        <w:pStyle w:val="Heading2"/>
        <w:keepNext/>
      </w:pPr>
      <w:r>
        <w:t>결과와 수렴성</w:t>
      </w:r>
    </w:p>
    <w:p>
      <w:r>
        <w:rPr>
          <w:rFonts w:ascii="Calibri" w:hAnsi="Calibri" w:eastAsia="Malgun Gothic"/>
          <w:color w:val="18222C"/>
          <w:sz w:val="22"/>
        </w:rPr>
        <w:t>〈수치 해석 결과를 물리적 메커니즘과 함께 심층 해석합니다. 계산 완료와 수치적 수렴, 과학적 결론 확정을 엄격히 구분하고, 격자 의존성 및 민감도 문제를 명시합니다.〉</w:t>
      </w:r>
    </w:p>
    <w:p>
      <w:pPr>
        <w:spacing w:after="160"/>
      </w:pPr>
      <w:r>
        <w:rPr>
          <w:rFonts w:ascii="Calibri" w:hAnsi="Calibri" w:eastAsia="Malgun Gothic"/>
          <w:i/>
          <w:color w:val="71808A"/>
          <w:sz w:val="19"/>
        </w:rPr>
        <w:t>그림 1. 〈비교 그래프 또는 수렴 이력 곡선〉 — 좌표축, 단위, 기준선, 불확실성 오차 범위를 캡션에 명시합니다.</w:t>
      </w:r>
    </w:p>
    <w:p>
      <w:r>
        <w:br w:type="page"/>
      </w:r>
    </w:p>
    <w:p>
      <w:pPr>
        <w:pStyle w:val="Heading1"/>
        <w:keepNext/>
      </w:pPr>
      <w:r>
        <w:t>결론 및 권고</w:t>
      </w:r>
    </w:p>
    <w:p>
      <w:pPr>
        <w:spacing w:before="140" w:after="220" w:line="269" w:lineRule="auto"/>
        <w:shd w:val="clear" w:fill="EAF9F4"/>
        <w:pBdr>
          <w:top w:val="single" w:sz="10" w:space="7" w:color="257862"/>
          <w:left w:val="single" w:sz="10" w:space="7" w:color="257862"/>
          <w:bottom w:val="single" w:sz="10" w:space="7" w:color="257862"/>
          <w:right w:val="single" w:sz="10" w:space="7" w:color="257862"/>
        </w:pBdr>
        <w:ind w:left="180" w:right="180"/>
      </w:pPr>
      <w:r>
        <w:rPr>
          <w:rFonts w:ascii="Calibri" w:hAnsi="Calibri" w:eastAsia="Malgun Gothic"/>
          <w:b/>
          <w:color w:val="257862"/>
          <w:sz w:val="18"/>
        </w:rPr>
        <w:t>최종 권고</w:t>
        <w:br/>
      </w:r>
      <w:r>
        <w:rPr>
          <w:rFonts w:ascii="Calibri" w:hAnsi="Calibri" w:eastAsia="Malgun Gothic"/>
          <w:b/>
          <w:color w:val="18222C"/>
          <w:sz w:val="25"/>
        </w:rPr>
        <w:t>〈가장 타당한 전략적 대안과 해당 권고가 유효한 전제 조건을 명확히 제시합니다. 추가 검증이 필요할 경우 부족한 요소를 직접 밝힙니다.〉</w:t>
      </w:r>
    </w:p>
    <w:p>
      <w:pPr>
        <w:pStyle w:val="Heading2"/>
        <w:keepNext/>
        <w:spacing w:after="100"/>
      </w:pPr>
      <w:r>
        <w:t>실행 우선순위 및 로드맵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DA"/>
          <w:left w:val="single" w:sz="6" w:space="0" w:color="CBD5DA"/>
          <w:bottom w:val="single" w:sz="6" w:space="0" w:color="CBD5DA"/>
          <w:right w:val="single" w:sz="6" w:space="0" w:color="CBD5DA"/>
          <w:insideH w:val="single" w:sz="6" w:space="0" w:color="CBD5DA"/>
          <w:insideV w:val="single" w:sz="6" w:space="0" w:color="CBD5DA"/>
        </w:tblBorders>
      </w:tblPr>
      <w:tblGrid>
        <w:gridCol w:w="1200"/>
        <w:gridCol w:w="3000"/>
        <w:gridCol w:w="2760"/>
        <w:gridCol w:w="2400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우선순위</w:t>
            </w:r>
          </w:p>
        </w:tc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실행 과제</w:t>
            </w:r>
          </w:p>
        </w:tc>
        <w:tc>
          <w:tcPr>
            <w:tcW w:type="dxa" w:w="2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완료 조건 및 목표치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의존성 및 리스크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1 (최우선)</w:t>
            </w:r>
          </w:p>
        </w:tc>
        <w:tc>
          <w:tcPr>
            <w:tcW w:type="dxa" w:w="30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〈즉시 착수할 핵심 조치〉</w:t>
            </w:r>
          </w:p>
        </w:tc>
        <w:tc>
          <w:tcPr>
            <w:tcW w:type="dxa" w:w="276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〈정량적으로 검증 가능한 완료 기준〉</w:t>
            </w:r>
          </w:p>
        </w:tc>
        <w:tc>
          <w:tcPr>
            <w:tcW w:type="dxa" w:w="24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〈선행 의존 요소〉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2 (차선)</w:t>
            </w:r>
          </w:p>
        </w:tc>
        <w:tc>
          <w:tcPr>
            <w:tcW w:type="dxa" w:w="30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〈후속 설계 및 프로세스 조치〉</w:t>
            </w:r>
          </w:p>
        </w:tc>
        <w:tc>
          <w:tcPr>
            <w:tcW w:type="dxa" w:w="276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〈정량적으로 검증 가능한 완료 기준〉</w:t>
            </w:r>
          </w:p>
        </w:tc>
        <w:tc>
          <w:tcPr>
            <w:tcW w:type="dxa" w:w="24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〈잠재 리스크 및 완화책〉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3 (모니터링)</w:t>
            </w:r>
          </w:p>
        </w:tc>
        <w:tc>
          <w:tcPr>
            <w:tcW w:type="dxa" w:w="30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〈지속 검증 또는 모니터링〉</w:t>
            </w:r>
          </w:p>
        </w:tc>
        <w:tc>
          <w:tcPr>
            <w:tcW w:type="dxa" w:w="276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〈프로젝트 중단/전환 기준〉</w:t>
            </w:r>
          </w:p>
        </w:tc>
        <w:tc>
          <w:tcPr>
            <w:tcW w:type="dxa" w:w="24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〈필요 자원 및 승인〉</w:t>
            </w:r>
          </w:p>
        </w:tc>
      </w:tr>
    </w:tbl>
    <w:p>
      <w:pPr>
        <w:spacing w:after="0" w:before="180"/>
      </w:pPr>
    </w:p>
    <w:p>
      <w:pPr>
        <w:pStyle w:val="Heading1"/>
        <w:keepNext/>
      </w:pPr>
      <w:r>
        <w:t>한계와 불확실성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algun Gothic"/>
          <w:b/>
          <w:color w:val="18222C"/>
          <w:sz w:val="22"/>
        </w:rPr>
        <w:t>자료 한계:</w:t>
      </w:r>
      <w:r>
        <w:rPr>
          <w:rFonts w:ascii="Calibri" w:hAnsi="Calibri" w:eastAsia="Malgun Gothic"/>
          <w:color w:val="18222C"/>
          <w:sz w:val="22"/>
        </w:rPr>
        <w:t xml:space="preserve"> 〈표본 크기, 수집 기간, 데이터 접근 한계 또는 출처의 잠재적 편향〉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algun Gothic"/>
          <w:b/>
          <w:color w:val="18222C"/>
          <w:sz w:val="22"/>
        </w:rPr>
        <w:t>방법 한계:</w:t>
      </w:r>
      <w:r>
        <w:rPr>
          <w:rFonts w:ascii="Calibri" w:hAnsi="Calibri" w:eastAsia="Malgun Gothic"/>
          <w:color w:val="18222C"/>
          <w:sz w:val="22"/>
        </w:rPr>
        <w:t xml:space="preserve"> 〈적용된 물리 모델, 단순화 가정, 해석기 알고리즘의 유효 한계 영역〉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algun Gothic"/>
          <w:b/>
          <w:color w:val="18222C"/>
          <w:sz w:val="22"/>
        </w:rPr>
        <w:t>결론 민감도:</w:t>
      </w:r>
      <w:r>
        <w:rPr>
          <w:rFonts w:ascii="Calibri" w:hAnsi="Calibri" w:eastAsia="Malgun Gothic"/>
          <w:color w:val="18222C"/>
          <w:sz w:val="22"/>
        </w:rPr>
        <w:t xml:space="preserve"> 〈주요 환경 변수 또는 가정 변화 시 결론의 변동 민감도〉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algun Gothic"/>
          <w:b/>
          <w:color w:val="18222C"/>
          <w:sz w:val="22"/>
        </w:rPr>
        <w:t>남은 질문:</w:t>
      </w:r>
      <w:r>
        <w:rPr>
          <w:rFonts w:ascii="Calibri" w:hAnsi="Calibri" w:eastAsia="Malgun Gothic"/>
          <w:color w:val="18222C"/>
          <w:sz w:val="22"/>
        </w:rPr>
        <w:t xml:space="preserve"> 〈현재 데이터로 확답할 수 없으며 추가 연구가 필요한 핵심 과제〉</w:t>
      </w:r>
    </w:p>
    <w:p>
      <w:pPr>
        <w:pStyle w:val="Heading1"/>
        <w:keepNext/>
      </w:pPr>
      <w:r>
        <w:t>출처</w:t>
      </w:r>
    </w:p>
    <w:p>
      <w:pPr>
        <w:spacing w:after="160"/>
      </w:pPr>
      <w:r>
        <w:rPr>
          <w:rFonts w:ascii="Calibri" w:hAnsi="Calibri" w:eastAsia="Malgun Gothic"/>
          <w:i/>
          <w:color w:val="71808A"/>
          <w:sz w:val="19"/>
        </w:rPr>
        <w:t>본문의 인용 표식과 1:1로 정확히 대응하도록 작성하며, 저자/기관, 제목, 발행처, 일자, URL/식별자를 표준 양식으로 제공합니다.</w:t>
      </w:r>
    </w:p>
    <w:p>
      <w:r>
        <w:rPr>
          <w:rFonts w:ascii="Calibri" w:hAnsi="Calibri" w:eastAsia="Malgun Gothic"/>
          <w:color w:val="18222C"/>
          <w:sz w:val="22"/>
        </w:rPr>
        <w:t>[1] 〈저자/기관〉. 〈자료 제목〉. 〈발행처〉, 〈발행일자〉. 〈URL 또는 고유 식별자〉.</w:t>
      </w:r>
    </w:p>
    <w:p>
      <w:r>
        <w:rPr>
          <w:rFonts w:ascii="Calibri" w:hAnsi="Calibri" w:eastAsia="Malgun Gothic"/>
          <w:color w:val="18222C"/>
          <w:sz w:val="22"/>
        </w:rPr>
        <w:t>[2] 〈저자/기관〉. 〈자료 제목〉. 〈발행처〉, 〈발행일자〉. 〈URL 또는 고유 식별자〉.</w:t>
      </w:r>
    </w:p>
    <w:p>
      <w:r>
        <w:rPr>
          <w:rFonts w:ascii="Calibri" w:hAnsi="Calibri" w:eastAsia="Malgun Gothic"/>
          <w:color w:val="18222C"/>
          <w:sz w:val="22"/>
        </w:rPr>
        <w:t>[3] 〈공학 계산 receipt 또는 검증된 내부 산출물의 사람이 읽을 수 있는 명칭〉.</w:t>
      </w:r>
    </w:p>
    <w:p>
      <w:r>
        <w:br w:type="page"/>
      </w:r>
    </w:p>
    <w:p>
      <w:pPr>
        <w:pStyle w:val="Heading1"/>
        <w:keepNext/>
      </w:pPr>
      <w:r>
        <w:t>재현성 및 감사 부록</w:t>
      </w:r>
    </w:p>
    <w:p>
      <w:pPr>
        <w:pStyle w:val="Heading2"/>
        <w:keepNext/>
        <w:spacing w:after="100"/>
      </w:pPr>
      <w:r>
        <w:t>연구 실행 정보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DA"/>
          <w:left w:val="single" w:sz="6" w:space="0" w:color="CBD5DA"/>
          <w:bottom w:val="single" w:sz="6" w:space="0" w:color="CBD5DA"/>
          <w:right w:val="single" w:sz="6" w:space="0" w:color="CBD5DA"/>
          <w:insideH w:val="single" w:sz="6" w:space="0" w:color="CBD5DA"/>
          <w:insideV w:val="single" w:sz="6" w:space="0" w:color="CBD5DA"/>
        </w:tblBorders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항목</w:t>
            </w:r>
          </w:p>
        </w:tc>
        <w:tc>
          <w:tcPr>
            <w:tcW w:type="dxa" w:w="68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검증된 값</w:t>
            </w:r>
          </w:p>
        </w:tc>
      </w:tr>
      <w:tr>
        <w:tc>
          <w:tcPr>
            <w:tcW w:type="dxa" w:w="25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연구 프로필</w:t>
            </w:r>
          </w:p>
        </w:tc>
        <w:tc>
          <w:tcPr>
            <w:tcW w:type="dxa" w:w="68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〈research_profile_version〉</w:t>
            </w:r>
          </w:p>
        </w:tc>
      </w:tr>
      <w:tr>
        <w:tc>
          <w:tcPr>
            <w:tcW w:type="dxa" w:w="25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검색 프로필</w:t>
            </w:r>
          </w:p>
        </w:tc>
        <w:tc>
          <w:tcPr>
            <w:tcW w:type="dxa" w:w="68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〈hybrid_graph_v1〉</w:t>
            </w:r>
          </w:p>
        </w:tc>
      </w:tr>
      <w:tr>
        <w:tc>
          <w:tcPr>
            <w:tcW w:type="dxa" w:w="25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지식 generation</w:t>
            </w:r>
          </w:p>
        </w:tc>
        <w:tc>
          <w:tcPr>
            <w:tcW w:type="dxa" w:w="68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〈knowledge_generation_id〉</w:t>
            </w:r>
          </w:p>
        </w:tc>
      </w:tr>
      <w:tr>
        <w:tc>
          <w:tcPr>
            <w:tcW w:type="dxa" w:w="25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PLAN / MERGE / REVIEW</w:t>
            </w:r>
          </w:p>
        </w:tc>
        <w:tc>
          <w:tcPr>
            <w:tcW w:type="dxa" w:w="68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〈모델 · 추론 수준 · service tier〉</w:t>
            </w:r>
          </w:p>
        </w:tc>
      </w:tr>
      <w:tr>
        <w:tc>
          <w:tcPr>
            <w:tcW w:type="dxa" w:w="25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COLLECT</w:t>
            </w:r>
          </w:p>
        </w:tc>
        <w:tc>
          <w:tcPr>
            <w:tcW w:type="dxa" w:w="68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〈모델 · 추론 수준 · collector 수〉</w:t>
            </w:r>
          </w:p>
        </w:tc>
      </w:tr>
      <w:tr>
        <w:tc>
          <w:tcPr>
            <w:tcW w:type="dxa" w:w="25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도구 및 솔버</w:t>
            </w:r>
          </w:p>
        </w:tc>
        <w:tc>
          <w:tcPr>
            <w:tcW w:type="dxa" w:w="68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〈도구명 · 버전 · receipt ID〉</w:t>
            </w:r>
          </w:p>
        </w:tc>
      </w:tr>
    </w:tbl>
    <w:p>
      <w:pPr>
        <w:spacing w:after="0" w:before="180"/>
      </w:pPr>
    </w:p>
    <w:p>
      <w:pPr>
        <w:pStyle w:val="Heading2"/>
        <w:keepNext/>
        <w:spacing w:after="100"/>
      </w:pPr>
      <w:r>
        <w:t>지식그래프 반영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DA"/>
          <w:left w:val="single" w:sz="6" w:space="0" w:color="CBD5DA"/>
          <w:bottom w:val="single" w:sz="6" w:space="0" w:color="CBD5DA"/>
          <w:right w:val="single" w:sz="6" w:space="0" w:color="CBD5DA"/>
          <w:insideH w:val="single" w:sz="6" w:space="0" w:color="CBD5DA"/>
          <w:insideV w:val="single" w:sz="6" w:space="0" w:color="CBD5DA"/>
        </w:tblBorders>
      </w:tblPr>
      <w:tblGrid>
        <w:gridCol w:w="1600"/>
        <w:gridCol w:w="2100"/>
        <w:gridCol w:w="1860"/>
        <w:gridCol w:w="1800"/>
        <w:gridCol w:w="200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개체 (Entity)</w:t>
            </w:r>
          </w:p>
        </w:tc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주장 (Assertion)</w:t>
            </w:r>
          </w:p>
        </w:tc>
        <w:tc>
          <w:tcPr>
            <w:tcW w:type="dxa" w:w="1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추론 (Inference)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충돌 (Conflict)</w:t>
            </w:r>
          </w:p>
        </w:tc>
        <w:tc>
          <w:tcPr>
            <w:tcW w:type="dxa" w:w="2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RDF Snapshot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〈수량〉</w:t>
            </w:r>
          </w:p>
        </w:tc>
        <w:tc>
          <w:tcPr>
            <w:tcW w:type="dxa" w:w="21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〈수량 / unsupported 0〉</w:t>
            </w:r>
          </w:p>
        </w:tc>
        <w:tc>
          <w:tcPr>
            <w:tcW w:type="dxa" w:w="186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〈수량 / proof chain〉</w:t>
            </w:r>
          </w:p>
        </w:tc>
        <w:tc>
          <w:tcPr>
            <w:tcW w:type="dxa" w:w="18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〈0건 또는 검토 항목〉</w:t>
            </w:r>
          </w:p>
        </w:tc>
        <w:tc>
          <w:tcPr>
            <w:tcW w:type="dxa" w:w="20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〈SHA-256 / Triple 수〉</w:t>
            </w:r>
          </w:p>
        </w:tc>
      </w:tr>
    </w:tbl>
    <w:p>
      <w:pPr>
        <w:spacing w:after="0" w:before="180"/>
      </w:pPr>
    </w:p>
    <w:p>
      <w:pPr>
        <w:pStyle w:val="Heading2"/>
        <w:keepNext/>
        <w:spacing w:after="100"/>
      </w:pPr>
      <w:r>
        <w:t>품질 리뷰 판정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DA"/>
          <w:left w:val="single" w:sz="6" w:space="0" w:color="CBD5DA"/>
          <w:bottom w:val="single" w:sz="6" w:space="0" w:color="CBD5DA"/>
          <w:right w:val="single" w:sz="6" w:space="0" w:color="CBD5DA"/>
          <w:insideH w:val="single" w:sz="6" w:space="0" w:color="CBD5DA"/>
          <w:insideV w:val="single" w:sz="6" w:space="0" w:color="CBD5DA"/>
        </w:tblBorders>
      </w:tblPr>
      <w:tblGrid>
        <w:gridCol w:w="2520"/>
        <w:gridCol w:w="1200"/>
        <w:gridCol w:w="5640"/>
      </w:tblGrid>
      <w:tr>
        <w:trPr>
          <w:tblHeader w:val="true"/>
        </w:trPr>
        <w:tc>
          <w:tcPr>
            <w:tcW w:type="dxa" w:w="25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평가 축</w:t>
            </w:r>
          </w:p>
        </w:tc>
        <w:tc>
          <w:tcPr>
            <w:tcW w:type="dxa" w:w="1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점수</w:t>
            </w:r>
          </w:p>
        </w:tc>
        <w:tc>
          <w:tcPr>
            <w:tcW w:type="dxa" w:w="56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판정 근거 요약</w:t>
            </w:r>
          </w:p>
        </w:tc>
      </w:tr>
      <w:tr>
        <w:tc>
          <w:tcPr>
            <w:tcW w:type="dxa" w:w="25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과업 충족도</w:t>
            </w:r>
          </w:p>
        </w:tc>
        <w:tc>
          <w:tcPr>
            <w:tcW w:type="dxa" w:w="12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〈1–5〉</w:t>
            </w:r>
          </w:p>
        </w:tc>
        <w:tc>
          <w:tcPr>
            <w:tcW w:type="dxa" w:w="56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〈핵심 평가 근거〉</w:t>
            </w:r>
          </w:p>
        </w:tc>
      </w:tr>
      <w:tr>
        <w:tc>
          <w:tcPr>
            <w:tcW w:type="dxa" w:w="25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주장 근거성</w:t>
            </w:r>
          </w:p>
        </w:tc>
        <w:tc>
          <w:tcPr>
            <w:tcW w:type="dxa" w:w="12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〈1–5〉</w:t>
            </w:r>
          </w:p>
        </w:tc>
        <w:tc>
          <w:tcPr>
            <w:tcW w:type="dxa" w:w="56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〈핵심 평가 근거〉</w:t>
            </w:r>
          </w:p>
        </w:tc>
      </w:tr>
      <w:tr>
        <w:tc>
          <w:tcPr>
            <w:tcW w:type="dxa" w:w="25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출처 품질 및 다양성</w:t>
            </w:r>
          </w:p>
        </w:tc>
        <w:tc>
          <w:tcPr>
            <w:tcW w:type="dxa" w:w="12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〈1–5〉</w:t>
            </w:r>
          </w:p>
        </w:tc>
        <w:tc>
          <w:tcPr>
            <w:tcW w:type="dxa" w:w="56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〈핵심 평가 근거〉</w:t>
            </w:r>
          </w:p>
        </w:tc>
      </w:tr>
      <w:tr>
        <w:tc>
          <w:tcPr>
            <w:tcW w:type="dxa" w:w="25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반대 근거 및 완전성</w:t>
            </w:r>
          </w:p>
        </w:tc>
        <w:tc>
          <w:tcPr>
            <w:tcW w:type="dxa" w:w="12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〈1–5〉</w:t>
            </w:r>
          </w:p>
        </w:tc>
        <w:tc>
          <w:tcPr>
            <w:tcW w:type="dxa" w:w="56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〈핵심 평가 근거〉</w:t>
            </w:r>
          </w:p>
        </w:tc>
      </w:tr>
      <w:tr>
        <w:tc>
          <w:tcPr>
            <w:tcW w:type="dxa" w:w="25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추론 및 불확실성</w:t>
            </w:r>
          </w:p>
        </w:tc>
        <w:tc>
          <w:tcPr>
            <w:tcW w:type="dxa" w:w="12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〈1–5〉</w:t>
            </w:r>
          </w:p>
        </w:tc>
        <w:tc>
          <w:tcPr>
            <w:tcW w:type="dxa" w:w="56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〈핵심 평가 근거〉</w:t>
            </w:r>
          </w:p>
        </w:tc>
      </w:tr>
      <w:tr>
        <w:tc>
          <w:tcPr>
            <w:tcW w:type="dxa" w:w="252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명료성 및 재현성</w:t>
            </w:r>
          </w:p>
        </w:tc>
        <w:tc>
          <w:tcPr>
            <w:tcW w:type="dxa" w:w="12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〈1–5〉</w:t>
            </w:r>
          </w:p>
        </w:tc>
        <w:tc>
          <w:tcPr>
            <w:tcW w:type="dxa" w:w="564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〈핵심 평가 근거〉</w:t>
            </w:r>
          </w:p>
        </w:tc>
      </w:tr>
    </w:tbl>
    <w:p>
      <w:pPr>
        <w:spacing w:after="0" w:before="180"/>
      </w:pPr>
    </w:p>
    <w:p>
      <w:pPr>
        <w:spacing w:before="140" w:after="220" w:line="269" w:lineRule="auto"/>
        <w:shd w:val="clear" w:fill="F7F9FA"/>
        <w:pBdr>
          <w:top w:val="single" w:sz="10" w:space="7" w:color="16334B"/>
          <w:left w:val="single" w:sz="10" w:space="7" w:color="16334B"/>
          <w:bottom w:val="single" w:sz="10" w:space="7" w:color="16334B"/>
          <w:right w:val="single" w:sz="10" w:space="7" w:color="16334B"/>
        </w:pBdr>
        <w:ind w:left="180" w:right="180"/>
      </w:pPr>
      <w:r>
        <w:rPr>
          <w:rFonts w:ascii="Calibri" w:hAnsi="Calibri" w:eastAsia="Malgun Gothic"/>
          <w:b/>
          <w:color w:val="16334B"/>
          <w:sz w:val="18"/>
        </w:rPr>
        <w:t>품질 게이트 통과 규칙</w:t>
        <w:br/>
      </w:r>
      <w:r>
        <w:rPr>
          <w:rFonts w:ascii="Calibri" w:hAnsi="Calibri" w:eastAsia="Malgun Gothic"/>
          <w:b/>
          <w:color w:val="18222C"/>
          <w:sz w:val="25"/>
        </w:rPr>
        <w:t>인용 무결성 100%, 지식 근거 무결성 100%, unsupported assertion 0건, 치명적 오류 0건, 모든 평가 축 3점 이상, 전체 산술 평균 4.0점 이상.</w:t>
      </w:r>
    </w:p>
    <w:p>
      <w:pPr>
        <w:pStyle w:val="Heading2"/>
        <w:keepNext/>
      </w:pPr>
      <w:r>
        <w:t>산출물 무결성</w:t>
      </w:r>
    </w:p>
    <w:p>
      <w:pPr>
        <w:spacing w:after="100"/>
      </w:pPr>
      <w:r>
        <w:rPr>
          <w:rFonts w:ascii="Calibri" w:hAnsi="Calibri" w:eastAsia="Malgun Gothic"/>
          <w:i/>
          <w:color w:val="71808A"/>
          <w:sz w:val="19"/>
        </w:rPr>
        <w:t>사용자 보고서 본문에는 사람이 이해하기 쉬운 명칭을 사용하며, 해시 및 내부 ID는 감사 부록에 격리 보관합니다.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DA"/>
          <w:left w:val="single" w:sz="6" w:space="0" w:color="CBD5DA"/>
          <w:bottom w:val="single" w:sz="6" w:space="0" w:color="CBD5DA"/>
          <w:right w:val="single" w:sz="6" w:space="0" w:color="CBD5DA"/>
          <w:insideH w:val="single" w:sz="6" w:space="0" w:color="CBD5DA"/>
          <w:insideV w:val="single" w:sz="6" w:space="0" w:color="CBD5DA"/>
        </w:tblBorders>
      </w:tblPr>
      <w:tblGrid>
        <w:gridCol w:w="3600"/>
        <w:gridCol w:w="1600"/>
        <w:gridCol w:w="416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산출물 명칭</w:t>
            </w:r>
          </w:p>
        </w:tc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종류</w:t>
            </w:r>
          </w:p>
        </w:tc>
        <w:tc>
          <w:tcPr>
            <w:tcW w:type="dxa" w:w="4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AF9F4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6334B"/>
                <w:sz w:val="18"/>
              </w:rPr>
              <w:t>SHA-256 / Artifact ID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〈최종 연구 보고서〉</w:t>
            </w:r>
          </w:p>
        </w:tc>
        <w:tc>
          <w:tcPr>
            <w:tcW w:type="dxa" w:w="16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보고서 (Report)</w:t>
            </w:r>
          </w:p>
        </w:tc>
        <w:tc>
          <w:tcPr>
            <w:tcW w:type="dxa" w:w="416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〈hash / artifact ID〉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〈근거 자료 묶음〉</w:t>
            </w:r>
          </w:p>
        </w:tc>
        <w:tc>
          <w:tcPr>
            <w:tcW w:type="dxa" w:w="16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근거 (Evidence)</w:t>
            </w:r>
          </w:p>
        </w:tc>
        <w:tc>
          <w:tcPr>
            <w:tcW w:type="dxa" w:w="416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〈hash / artifact ID〉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〈공학 해석 결과〉</w:t>
            </w:r>
          </w:p>
        </w:tc>
        <w:tc>
          <w:tcPr>
            <w:tcW w:type="dxa" w:w="16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공학 (Engineering)</w:t>
            </w:r>
          </w:p>
        </w:tc>
        <w:tc>
          <w:tcPr>
            <w:tcW w:type="dxa" w:w="416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〈hash / artifact ID〉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〈품질 검토 보고서〉</w:t>
            </w:r>
          </w:p>
        </w:tc>
        <w:tc>
          <w:tcPr>
            <w:tcW w:type="dxa" w:w="160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리뷰 (Verdict)</w:t>
            </w:r>
          </w:p>
        </w:tc>
        <w:tc>
          <w:tcPr>
            <w:tcW w:type="dxa" w:w="4160"/>
            <w:shd w:fill="FFFFFF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 w:val="0"/>
                <w:color w:val="18222C"/>
                <w:sz w:val="18"/>
              </w:rPr>
              <w:t>〈hash / artifact ID〉</w:t>
            </w:r>
          </w:p>
        </w:tc>
      </w:tr>
    </w:tbl>
    <w:p>
      <w:pPr>
        <w:spacing w:after="0" w:before="180"/>
      </w:pPr>
    </w:p>
    <w:p>
      <w:pPr>
        <w:pStyle w:val="Heading2"/>
        <w:keepNext/>
      </w:pPr>
      <w:r>
        <w:t>발행 전 최종 점검표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algun Gothic"/>
          <w:color w:val="18222C"/>
          <w:sz w:val="22"/>
        </w:rPr>
        <w:t>본문 인용 표식과 citation manifest 및 원본 출처가 1:1로 완전하게 대응한다.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algun Gothic"/>
          <w:color w:val="18222C"/>
          <w:sz w:val="22"/>
        </w:rPr>
        <w:t>모든 수치 데이터에 표준 단위(SI)와 운용/해석 경계 조건이 함께 명시되어 있다.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algun Gothic"/>
          <w:color w:val="18222C"/>
          <w:sz w:val="22"/>
        </w:rPr>
        <w:t>계산 완료, 수치적 수렴, 과학적 결론 확정을 엄격히 구분하여 서술하였다.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algun Gothic"/>
          <w:color w:val="18222C"/>
          <w:sz w:val="22"/>
        </w:rPr>
        <w:t>사용자 친화적 명칭을 사용하고 내부 시스템 ID/해시는 감사 부록으로 분리하였다.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algun Gothic"/>
          <w:color w:val="18222C"/>
          <w:sz w:val="22"/>
        </w:rPr>
        <w:t>한계점, 반대 근거, 미해결 질문을 축소하거나 은폐하지 않고 투명하게 기술하였다.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after="0"/>
    </w:pPr>
    <w:r>
      <w:rPr>
        <w:rFonts w:ascii="Calibri" w:hAnsi="Calibri" w:eastAsia="Malgun Gothic"/>
        <w:color w:val="71808A"/>
        <w:sz w:val="16"/>
      </w:rPr>
      <w:t>검증 가능한 근거 · 재현 가능한 해석 · 추적 가능한 지식</w:t>
    </w:r>
    <w:r>
      <w:tab/>
    </w:r>
    <w:r>
      <w:rPr>
        <w:rFonts w:ascii="Calibri" w:hAnsi="Calibri" w:eastAsia="Malgun Gothic"/>
        <w:b/>
        <w:color w:val="71808A"/>
        <w:sz w:val="16"/>
      </w:rPr>
      <w:t xml:space="preserve">PAGE </w:t>
    </w:r>
    <w:r>
      <w:rPr>
        <w:rFonts w:ascii="Calibri" w:hAnsi="Calibri" w:eastAsia="Malgun Gothic"/>
        <w:b/>
        <w:color w:val="71808A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jc w:val="left"/>
      <w:pBdr>
        <w:bottom w:val="single" w:sz="5" w:space="4" w:color="CBD5DA"/>
      </w:pBdr>
    </w:pPr>
    <w:r>
      <w:rPr>
        <w:rFonts w:ascii="Calibri" w:hAnsi="Calibri" w:eastAsia="Malgun Gothic"/>
        <w:b/>
        <w:color w:val="71808A"/>
        <w:sz w:val="17"/>
      </w:rPr>
      <w:t>AETHEROPS  /  RESEARCH REPORT</w:t>
    </w:r>
    <w:r>
      <w:tab/>
    </w:r>
    <w:r>
      <w:rPr>
        <w:rFonts w:ascii="Calibri" w:hAnsi="Calibri" w:eastAsia="Malgun Gothic"/>
        <w:color w:val="71808A"/>
        <w:sz w:val="17"/>
      </w:rPr>
      <w:t>〈프로젝트명〉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algun Gothic"/>
      <w:b w:val="0"/>
      <w:color w:val="1822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633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578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4865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ind w:left="720" w:hanging="360"/>
      <w:contextualSpacing/>
    </w:pPr>
    <w:rPr>
      <w:rFonts w:ascii="Calibri" w:hAnsi="Calibri" w:eastAsia="Malgun Gothic"/>
      <w:b w:val="0"/>
      <w:color w:val="18222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ind w:left="720" w:hanging="360"/>
      <w:contextualSpacing/>
    </w:pPr>
    <w:rPr>
      <w:rFonts w:ascii="Calibri" w:hAnsi="Calibri" w:eastAsia="Malgun Gothic"/>
      <w:b w:val="0"/>
      <w:color w:val="18222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etherOpsKicker">
    <w:name w:val="AetherOps Kicker"/>
    <w:pPr>
      <w:spacing w:before="0" w:after="200" w:line="259" w:lineRule="auto"/>
    </w:pPr>
    <w:rPr>
      <w:rFonts w:ascii="Calibri" w:hAnsi="Calibri" w:eastAsia="Malgun Gothic"/>
      <w:b/>
      <w:color w:val="257862"/>
      <w:sz w:val="19"/>
    </w:rPr>
  </w:style>
  <w:style w:type="paragraph" w:customStyle="1" w:styleId="AetherOpsCoverTitle">
    <w:name w:val="AetherOps Cover Title"/>
    <w:pPr>
      <w:spacing w:before="0" w:after="180" w:line="259" w:lineRule="auto"/>
    </w:pPr>
    <w:rPr>
      <w:rFonts w:ascii="Calibri" w:hAnsi="Calibri" w:eastAsia="Malgun Gothic"/>
      <w:b/>
      <w:color w:val="16334B"/>
      <w:sz w:val="60"/>
    </w:rPr>
  </w:style>
  <w:style w:type="paragraph" w:customStyle="1" w:styleId="AetherOpsSubtitle">
    <w:name w:val="AetherOps Subtitle"/>
    <w:pPr>
      <w:spacing w:before="0" w:after="480" w:line="259" w:lineRule="auto"/>
    </w:pPr>
    <w:rPr>
      <w:rFonts w:ascii="Calibri" w:hAnsi="Calibri" w:eastAsia="Malgun Gothic"/>
      <w:b w:val="0"/>
      <w:color w:val="486578"/>
      <w:sz w:val="28"/>
    </w:rPr>
  </w:style>
  <w:style w:type="paragraph" w:customStyle="1" w:styleId="AetherOpsMetadata">
    <w:name w:val="AetherOps Metadata"/>
    <w:pPr>
      <w:spacing w:before="0" w:after="60" w:line="259" w:lineRule="auto"/>
    </w:pPr>
    <w:rPr>
      <w:rFonts w:ascii="Calibri" w:hAnsi="Calibri" w:eastAsia="Malgun Gothic"/>
      <w:b w:val="0"/>
      <w:color w:val="71808A"/>
      <w:sz w:val="20"/>
    </w:rPr>
  </w:style>
  <w:style w:type="paragraph" w:customStyle="1" w:styleId="AetherOpsCaption">
    <w:name w:val="AetherOps Caption"/>
    <w:pPr>
      <w:spacing w:before="80" w:after="160" w:line="259" w:lineRule="auto"/>
    </w:pPr>
    <w:rPr>
      <w:rFonts w:ascii="Calibri" w:hAnsi="Calibri" w:eastAsia="Malgun Gothic"/>
      <w:b w:val="0"/>
      <w:color w:val="71808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AetherOps 연구 보고서 템플릿</dc:title>
  <dc:subject>근거 기반 일반·공학 연구 보고서</dc:subject>
  <dc:creator>AetherOps</dc:creator>
  <cp:keywords>AetherOps, research, report, evidence, engineering, knowledge graph</cp:keywords>
  <dc:description>AetherOps report artifact template v1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