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8"/>
        </w:rPr>
        <w:t>APPEAL CASE MANAGER</w:t>
      </w:r>
    </w:p>
    <w:p>
      <w:pPr>
        <w:jc w:val="center"/>
      </w:pPr>
      <w:r>
        <w:rPr>
          <w:color w:val="475569"/>
          <w:sz w:val="22"/>
        </w:rPr>
        <w:t>Criminal Law Appeal Case Management</w:t>
      </w:r>
    </w:p>
    <w:p>
      <w:pPr>
        <w:jc w:val="center"/>
      </w:pPr>
      <w:r>
        <w:rPr>
          <w:b/>
          <w:color w:val="1E3A5F"/>
          <w:sz w:val="22"/>
        </w:rPr>
        <w:t>Created and Designed by Deb King — GLENMORE PARK NSW</w:t>
      </w:r>
    </w:p>
    <w:p>
      <w:pPr>
        <w:jc w:val="center"/>
      </w:pPr>
      <w:r>
        <w:rPr>
          <w:color w:val="475569"/>
          <w:sz w:val="20"/>
        </w:rPr>
        <w:t xml:space="preserve">Case: R v Homann </w:t>
      </w:r>
    </w:p>
    <w:p/>
    <w:p>
      <w:pPr>
        <w:pStyle w:val="Title"/>
        <w:jc w:val="center"/>
      </w:pPr>
      <w:r>
        <w:t>Full Detailed Legal Analysis</w:t>
      </w:r>
    </w:p>
    <w:p/>
    <w:tbl>
      <w:tblPr>
        <w:tblStyle w:val="TableGrid"/>
        <w:tblW w:type="auto" w:w="0"/>
        <w:tblLook w:firstColumn="1" w:firstRow="1" w:lastColumn="0" w:lastRow="0" w:noHBand="0" w:noVBand="1" w:val="04A0"/>
      </w:tblPr>
      <w:tblGrid>
        <w:gridCol w:w="4320"/>
        <w:gridCol w:w="4320"/>
      </w:tblGrid>
      <w:tr>
        <w:tc>
          <w:tcPr>
            <w:tcW w:type="dxa" w:w="4320"/>
          </w:tcPr>
          <w:p>
            <w:r>
              <w:rPr>
                <w:b/>
              </w:rPr>
              <w:t>Case Title:</w:t>
            </w:r>
          </w:p>
        </w:tc>
        <w:tc>
          <w:tcPr>
            <w:tcW w:type="dxa" w:w="4320"/>
          </w:tcPr>
          <w:p>
            <w:r>
              <w:t xml:space="preserve">R v Homann </w:t>
            </w:r>
          </w:p>
        </w:tc>
      </w:tr>
      <w:tr>
        <w:tc>
          <w:tcPr>
            <w:tcW w:type="dxa" w:w="4320"/>
          </w:tcPr>
          <w:p>
            <w:r>
              <w:rPr>
                <w:b/>
              </w:rPr>
              <w:t>Defendant:</w:t>
            </w:r>
          </w:p>
        </w:tc>
        <w:tc>
          <w:tcPr>
            <w:tcW w:type="dxa" w:w="4320"/>
          </w:tcPr>
          <w:p>
            <w:r>
              <w:t>Joshua Scott Homann</w:t>
            </w:r>
          </w:p>
        </w:tc>
      </w:tr>
      <w:tr>
        <w:tc>
          <w:tcPr>
            <w:tcW w:type="dxa" w:w="4320"/>
          </w:tcPr>
          <w:p>
            <w:r>
              <w:rPr>
                <w:b/>
              </w:rPr>
              <w:t>Case Number:</w:t>
            </w:r>
          </w:p>
        </w:tc>
        <w:tc>
          <w:tcPr>
            <w:tcW w:type="dxa" w:w="4320"/>
          </w:tcPr>
          <w:p>
            <w:r>
              <w:t>2018/18870</w:t>
            </w:r>
          </w:p>
        </w:tc>
      </w:tr>
      <w:tr>
        <w:tc>
          <w:tcPr>
            <w:tcW w:type="dxa" w:w="4320"/>
          </w:tcPr>
          <w:p>
            <w:r>
              <w:rPr>
                <w:b/>
              </w:rPr>
              <w:t>Court:</w:t>
            </w:r>
          </w:p>
        </w:tc>
        <w:tc>
          <w:tcPr>
            <w:tcW w:type="dxa" w:w="4320"/>
          </w:tcPr>
          <w:p>
            <w:r>
              <w:t>NSW SUPREME</w:t>
            </w:r>
          </w:p>
        </w:tc>
      </w:tr>
      <w:tr>
        <w:tc>
          <w:tcPr>
            <w:tcW w:type="dxa" w:w="4320"/>
          </w:tcPr>
          <w:p>
            <w:r>
              <w:rPr>
                <w:b/>
              </w:rPr>
              <w:t>Jurisdiction:</w:t>
            </w:r>
          </w:p>
        </w:tc>
        <w:tc>
          <w:tcPr>
            <w:tcW w:type="dxa" w:w="4320"/>
          </w:tcPr>
          <w:p>
            <w:r>
              <w:t>NSW</w:t>
            </w:r>
          </w:p>
        </w:tc>
      </w:tr>
      <w:tr>
        <w:tc>
          <w:tcPr>
            <w:tcW w:type="dxa" w:w="4320"/>
          </w:tcPr>
          <w:p>
            <w:r>
              <w:rPr>
                <w:b/>
              </w:rPr>
              <w:t>Grounds:</w:t>
            </w:r>
          </w:p>
        </w:tc>
        <w:tc>
          <w:tcPr>
            <w:tcW w:type="dxa" w:w="4320"/>
          </w:tcPr>
          <w:p>
            <w:r>
              <w:t>4 identified</w:t>
            </w:r>
          </w:p>
        </w:tc>
      </w:tr>
      <w:tr>
        <w:tc>
          <w:tcPr>
            <w:tcW w:type="dxa" w:w="4320"/>
          </w:tcPr>
          <w:p>
            <w:r>
              <w:rPr>
                <w:b/>
              </w:rPr>
              <w:t>Generated:</w:t>
            </w:r>
          </w:p>
        </w:tc>
        <w:tc>
          <w:tcPr>
            <w:tcW w:type="dxa" w:w="4320"/>
          </w:tcPr>
          <w:p>
            <w:r>
              <w:t>2026-03-27</w:t>
            </w:r>
          </w:p>
        </w:tc>
      </w:tr>
    </w:tbl>
    <w:p/>
    <w:p>
      <w:pPr>
        <w:pStyle w:val="Heading1"/>
      </w:pPr>
      <w:r>
        <w:t>GROUNDS OF MERIT</w:t>
      </w:r>
    </w:p>
    <w:p>
      <w:pPr>
        <w:pStyle w:val="Heading2"/>
      </w:pPr>
      <w:r>
        <w:t>1. Failure to Properly Consider Mental Impairment as Mitigating Factor [Sentencing Error] - Strength: Strong</w:t>
      </w:r>
    </w:p>
    <w:p>
      <w:r>
        <w:t>The sentencing judge failed to adequately consider the appellant's psychosis as a mitigating factor despite evidence suggesting it was a chronic condition pre-dating and contributing to the offence. This decision contradicts the established principles that mental illness can diminish moral culpability, as recognised in cases such as Veen v R (No 2). The failure to give appropriate weight to the appellant’s mental state led to an unreasonable assessment of moral culpability and an excessive sentence.</w:t>
      </w:r>
    </w:p>
    <w:p>
      <w:r>
        <w:rPr>
          <w:b/>
          <w:color w:val="1E40AF"/>
        </w:rPr>
        <w:t>Relevant Law Sections:</w:t>
      </w:r>
    </w:p>
    <w:p>
      <w:pPr>
        <w:pStyle w:val="ListBullet"/>
      </w:pPr>
      <w:r>
        <w:rPr>
          <w:color w:val="1E40AF"/>
        </w:rPr>
        <w:t>s.18 Crimes Act (NSW)</w:t>
      </w:r>
    </w:p>
    <w:p>
      <w:pPr>
        <w:pStyle w:val="ListBullet"/>
      </w:pPr>
      <w:r>
        <w:rPr>
          <w:color w:val="1E40AF"/>
        </w:rPr>
        <w:t>s.19A Crimes Act (NSW)</w:t>
      </w:r>
    </w:p>
    <w:p>
      <w:pPr>
        <w:pStyle w:val="ListBullet"/>
      </w:pPr>
      <w:r>
        <w:rPr>
          <w:color w:val="1E40AF"/>
        </w:rPr>
        <w:t>s.23A Crimes Act (NSW)</w:t>
      </w:r>
    </w:p>
    <w:p>
      <w:pPr>
        <w:pStyle w:val="ListBullet"/>
      </w:pPr>
      <w:r>
        <w:rPr>
          <w:color w:val="1E40AF"/>
        </w:rPr>
        <w:t>s.6 Criminal Appeal Act (NSW)</w:t>
      </w:r>
    </w:p>
    <w:p>
      <w:r>
        <w:rPr>
          <w:b/>
          <w:color w:val="1E3A8A"/>
        </w:rPr>
        <w:t>Similar Cases:</w:t>
      </w:r>
    </w:p>
    <w:p>
      <w:pPr>
        <w:pStyle w:val="ListBullet"/>
      </w:pPr>
      <w:r>
        <w:t xml:space="preserve">Markarian v The Queen </w:t>
      </w:r>
    </w:p>
    <w:p>
      <w:r>
        <w:rPr>
          <w:b/>
          <w:color w:val="059669"/>
        </w:rPr>
        <w:t>Supporting Evidence:</w:t>
      </w:r>
    </w:p>
    <w:p>
      <w:pPr>
        <w:pStyle w:val="ListBullet"/>
      </w:pPr>
      <w:r>
        <w:t>Document: Homann Merit Latest.docx - The judge's conclusion that psychosis did not reduce culpability despite acknowledging it was present.</w:t>
      </w:r>
    </w:p>
    <w:p>
      <w:pPr>
        <w:pStyle w:val="ListBullet"/>
      </w:pPr>
      <w:r>
        <w:t>Document: psych Allnut &amp; Martin homman.docx - Reports from Dr Allnutt highlighting chronic psychosis.</w:t>
      </w:r>
    </w:p>
    <w:p>
      <w:pPr>
        <w:pStyle w:val="ListBullet"/>
      </w:pPr>
      <w:r>
        <w:t>Document: justic mccullums info.docx - Judge's contradiction in recognising but then dismissing the role of psychosis.</w:t>
      </w:r>
    </w:p>
    <w:p/>
    <w:p>
      <w:pPr>
        <w:pStyle w:val="Heading2"/>
      </w:pPr>
      <w:r>
        <w:t>2. Refusal of Judge-Alone Trial Leading to Unfair Verdict [Procedural Error] - Strength: Strong</w:t>
      </w:r>
    </w:p>
    <w:p>
      <w:r>
        <w:t>The refusal of a judge-alone trial application, despite complex psychiatric evidence and highly prejudicial media framing, compromised the fairness of the trial. The presence of emotive influences, such as descriptions of the number of stab wounds and references to the victim's pregnancy, heightened the risk of jury bias. This decision denied the appellant a fact-finding process that could adequately consider the psychiatric nuances presented.</w:t>
      </w:r>
    </w:p>
    <w:p>
      <w:r>
        <w:rPr>
          <w:b/>
          <w:color w:val="1E40AF"/>
        </w:rPr>
        <w:t>Relevant Law Sections:</w:t>
      </w:r>
    </w:p>
    <w:p>
      <w:pPr>
        <w:pStyle w:val="ListBullet"/>
      </w:pPr>
      <w:r>
        <w:rPr>
          <w:color w:val="1E40AF"/>
        </w:rPr>
        <w:t>s.18 Crimes Act (NSW)</w:t>
      </w:r>
    </w:p>
    <w:p>
      <w:pPr>
        <w:pStyle w:val="ListBullet"/>
      </w:pPr>
      <w:r>
        <w:rPr>
          <w:color w:val="1E40AF"/>
        </w:rPr>
        <w:t>s.19A Crimes Act (NSW)</w:t>
      </w:r>
    </w:p>
    <w:p>
      <w:pPr>
        <w:pStyle w:val="ListBullet"/>
      </w:pPr>
      <w:r>
        <w:rPr>
          <w:color w:val="1E40AF"/>
        </w:rPr>
        <w:t>s.6 Criminal Appeal Act (NSW)</w:t>
      </w:r>
    </w:p>
    <w:p>
      <w:pPr>
        <w:pStyle w:val="ListBullet"/>
      </w:pPr>
      <w:r>
        <w:rPr>
          <w:color w:val="1E40AF"/>
        </w:rPr>
        <w:t>s.132 Criminal Procedure Act (NSW)</w:t>
      </w:r>
    </w:p>
    <w:p>
      <w:r>
        <w:rPr>
          <w:b/>
          <w:color w:val="059669"/>
        </w:rPr>
        <w:t>Supporting Evidence:</w:t>
      </w:r>
    </w:p>
    <w:p>
      <w:pPr>
        <w:pStyle w:val="ListBullet"/>
      </w:pPr>
      <w:r>
        <w:t>Document: Judge Alone Denial Homann.docx - Denial of judge-alone trial amidst complex expert evidence and potential jury prejudice.</w:t>
      </w:r>
    </w:p>
    <w:p>
      <w:pPr>
        <w:pStyle w:val="ListBullet"/>
      </w:pPr>
      <w:r>
        <w:t>Document: media reports homann.docx - Media bias and language that may have influenced jury impartiality.</w:t>
      </w:r>
    </w:p>
    <w:p/>
    <w:p>
      <w:pPr>
        <w:pStyle w:val="Heading2"/>
      </w:pPr>
      <w:r>
        <w:t>3. Ineffective Legal Representation [Ineffective Counsel] - Strength: Moderate</w:t>
      </w:r>
    </w:p>
    <w:p>
      <w:r>
        <w:t>The legal representation failed to effectively manage several critical aspects of the defence, including advocating for a judge-alone trial in light of extensive prejudicial media coverage and juror misconduct during trial. Furthermore, there was inadequate presentation of psychiatric defence, which was crucial given the question of mental impairment.</w:t>
      </w:r>
    </w:p>
    <w:p>
      <w:r>
        <w:rPr>
          <w:b/>
          <w:color w:val="1E40AF"/>
        </w:rPr>
        <w:t>Relevant Law Sections:</w:t>
      </w:r>
    </w:p>
    <w:p>
      <w:pPr>
        <w:pStyle w:val="ListBullet"/>
      </w:pPr>
      <w:r>
        <w:rPr>
          <w:color w:val="1E40AF"/>
        </w:rPr>
        <w:t>s.18 Crimes Act (NSW)</w:t>
      </w:r>
    </w:p>
    <w:p>
      <w:pPr>
        <w:pStyle w:val="ListBullet"/>
      </w:pPr>
      <w:r>
        <w:rPr>
          <w:color w:val="1E40AF"/>
        </w:rPr>
        <w:t>s.19A Crimes Act (NSW)</w:t>
      </w:r>
    </w:p>
    <w:p>
      <w:pPr>
        <w:pStyle w:val="ListBullet"/>
      </w:pPr>
      <w:r>
        <w:rPr>
          <w:color w:val="1E40AF"/>
        </w:rPr>
        <w:t>s.6 Criminal Appeal Act (NSW)</w:t>
      </w:r>
    </w:p>
    <w:p>
      <w:r>
        <w:rPr>
          <w:b/>
          <w:color w:val="059669"/>
        </w:rPr>
        <w:t>Supporting Evidence:</w:t>
      </w:r>
    </w:p>
    <w:p>
      <w:pPr>
        <w:pStyle w:val="ListBullet"/>
      </w:pPr>
      <w:r>
        <w:t>Document: Failures by Lang Lawyer for homann.docx - Includes failures in representation including not vigorously pursuing a judge-alone trial.</w:t>
      </w:r>
    </w:p>
    <w:p>
      <w:pPr>
        <w:pStyle w:val="ListBullet"/>
      </w:pPr>
      <w:r>
        <w:t>Document: injustice in homman case.docx - Juror bias issues not adequately addressed.</w:t>
      </w:r>
    </w:p>
    <w:p/>
    <w:p>
      <w:pPr>
        <w:pStyle w:val="Heading2"/>
      </w:pPr>
      <w:r>
        <w:t>4. Juror Misconduct and Bias [Jury Irregularity] - Strength: Moderate</w:t>
      </w:r>
    </w:p>
    <w:p>
      <w:r>
        <w:t>Juror misconduct was observed when a juror waved to the victim's family, indicating potential partiality. This was not addressed during the trial proceedings, raising concerns about the impartiality of the jury and potentially affecting the verdict's integrity. A 10-member jury, already prone to higher variability, was further compromised by such bias.</w:t>
      </w:r>
    </w:p>
    <w:p>
      <w:r>
        <w:rPr>
          <w:b/>
          <w:color w:val="1E40AF"/>
        </w:rPr>
        <w:t>Relevant Law Sections:</w:t>
      </w:r>
    </w:p>
    <w:p>
      <w:pPr>
        <w:pStyle w:val="ListBullet"/>
      </w:pPr>
      <w:r>
        <w:rPr>
          <w:color w:val="1E40AF"/>
        </w:rPr>
        <w:t>s.18 Crimes Act (NSW)</w:t>
      </w:r>
    </w:p>
    <w:p>
      <w:pPr>
        <w:pStyle w:val="ListBullet"/>
      </w:pPr>
      <w:r>
        <w:rPr>
          <w:color w:val="1E40AF"/>
        </w:rPr>
        <w:t>s.19A Crimes Act (NSW)</w:t>
      </w:r>
    </w:p>
    <w:p>
      <w:pPr>
        <w:pStyle w:val="ListBullet"/>
      </w:pPr>
      <w:r>
        <w:rPr>
          <w:color w:val="1E40AF"/>
        </w:rPr>
        <w:t>s.6 Criminal Appeal Act (NSW)</w:t>
      </w:r>
    </w:p>
    <w:p>
      <w:pPr>
        <w:pStyle w:val="ListBullet"/>
      </w:pPr>
      <w:r>
        <w:rPr>
          <w:color w:val="1E40AF"/>
        </w:rPr>
        <w:t>s.6 of the Criminal Appeal Act (NSW)</w:t>
      </w:r>
    </w:p>
    <w:p>
      <w:r>
        <w:rPr>
          <w:b/>
          <w:color w:val="059669"/>
        </w:rPr>
        <w:t>Supporting Evidence:</w:t>
      </w:r>
    </w:p>
    <w:p>
      <w:pPr>
        <w:pStyle w:val="ListBullet"/>
      </w:pPr>
      <w:r>
        <w:t>Document: Failures by Lang Lawyer for homann.docx - Juror waving incident suggesting bias.</w:t>
      </w:r>
    </w:p>
    <w:p>
      <w:pPr>
        <w:pStyle w:val="ListBullet"/>
      </w:pPr>
      <w:r>
        <w:t>Document: injustice in homman case.docx - Reduced jury and issues of bias exacerbating fairness concerns.</w:t>
      </w:r>
    </w:p>
    <w:p/>
    <w:p>
      <w:pPr>
        <w:pStyle w:val="Heading1"/>
      </w:pPr>
      <w:r>
        <w:t>LEGAL FRAMEWORK REFERENCE</w:t>
      </w:r>
    </w:p>
    <w:p>
      <w:pPr>
        <w:pStyle w:val="ListBullet"/>
      </w:pPr>
      <w:r>
        <w:t>Crimes Act 1900 (NSW) - Primary criminal law for New South Wales</w:t>
      </w:r>
    </w:p>
    <w:p>
      <w:pPr>
        <w:pStyle w:val="ListBullet"/>
      </w:pPr>
      <w:r>
        <w:t>Criminal Appeal Act 1912 (NSW) - Governs criminal appeals in NSW</w:t>
      </w:r>
    </w:p>
    <w:p>
      <w:pPr>
        <w:pStyle w:val="ListBullet"/>
      </w:pPr>
      <w:r>
        <w:t>Criminal Code Act 1995 (Cth) - Federal criminal law</w:t>
      </w:r>
    </w:p>
    <w:p>
      <w:pPr>
        <w:pStyle w:val="ListBullet"/>
      </w:pPr>
      <w:r>
        <w:t>Evidence Act 1995 (NSW &amp; Cth) - Rules on evidence admissibility</w:t>
      </w:r>
    </w:p>
    <w:p>
      <w:pPr>
        <w:pStyle w:val="ListBullet"/>
      </w:pPr>
      <w:r>
        <w:t>Sentencing Act 1995 (NSW) - Sentencing guidelines and procedures</w:t>
      </w:r>
    </w:p>
    <w:p/>
    <w:p>
      <w:pPr>
        <w:pStyle w:val="Heading1"/>
      </w:pPr>
      <w:r>
        <w:t>DETAILED ANALYSIS</w:t>
      </w:r>
    </w:p>
    <w:p>
      <w:pPr>
        <w:pStyle w:val="Heading1"/>
      </w:pPr>
      <w:r>
        <w:t>1. EXECUTIVE BRIEF</w:t>
      </w:r>
    </w:p>
    <w:p>
      <w:r>
        <w:t>This analysis is based on 11 documents and 11 timeline events. Four grounds of appeal have been identified: (1) Failure to Properly Consider Mental Impairment as a Mitigating Factor, (2) Refusal of Judge-Alone Trial Leading to Unfair Verdict, (3) Ineffective Legal Representation, and (4) Juror Misconduct and Bias. Overall, the appeal presents strong prospects for success due to significant procedural and substantive inadequacies during the trial, particularly concerning the treatment of psychiatric evidence and the refusal of a judge-alone trial. The grounds relating to the misapplication of sentencing principles and the denial of a judge-alone trial are particularly compelling and warrant thoughtful judicial reconsideration.</w:t>
      </w:r>
    </w:p>
    <w:p>
      <w:r>
        <w:t>The strongest grounds for appeal are the sentencing error due to the failure to properly consider mental impairment as a mitigating factor, and the procedural error stemming from the refusal of a judge-alone trial. The sentencing error ground is robust, drawing on established principles in cases such as Veen v R (No 2), where mental illness can significantly diminish moral culpability. Given that Justice McCallum acknowledged Joshua Homann's psychosis but concluded it did not reduce culpability, this presents a substantial legal misstep. The refusal of a judge-alone trial despite complex psychiatric evidence and prejudicial media coverage, found in documents such as "Judge Alone Denial Homann.docx," further strengthens the argument for procedural unfairness impacting the trial's integrity.</w:t>
      </w:r>
    </w:p>
    <w:p>
      <w:r>
        <w:t>The most likely outcome pathway is a reduction in sentence rather than a full acquittal, provided the appellate court acknowledges the manifest excessiveness grouped with procedural improprieties. Joshua Homann should prepare for a potential re-sentencing hearing, focusing on evidence of acknowledged psychosis influencing the level of culpability and a recalibration of the weight given to deterrence and denunciation.</w:t>
      </w:r>
    </w:p>
    <w:p>
      <w:r>
        <w:t>Key risks in the appeal include the possibility that the Crown will argue Hanssen's voluntary methylamphetamine use should override mental impairment claims, suggesting that his psychosis was self-induced and thereby should not reduce culpability. Additionally, the discretionary nature of trial judge decisions regarding jury handling and evidence weigh-in may be challenging to overcome. The Crown may also challenge the claim of juror misconduct as insufficiently substantiated.</w:t>
      </w:r>
    </w:p>
    <w:p>
      <w:r>
        <w:t>Immediate recommended actions include petitioning for an expedited appeal due to the lengthy initial sentence and preparing comprehensive rebuttals to anticipated Crown contentions regarding drug use and biased jury claims. Additionally, securing expert testimonies that underscore the chronic nature of Homann's psychosis and its implications for moral culpability remains crucial.</w:t>
      </w:r>
    </w:p>
    <w:p>
      <w:r>
        <w:t>Primary issues identified include:</w:t>
      </w:r>
    </w:p>
    <w:p>
      <w:r>
        <w:t>1. Misapplication of sentencing principles regarding psychosis (document: "justic mccullums info.docx"). 2. Procedural error in refusing a judge-alone trial despite significant media prejudice (document: "Judge Alone Denial Homann.docx"). 3. Inadequate psychiatric evidence presentation by defence counsel (document: "Failures by Lang Lawyer for homann.docx"). 4. Potential juror bias through misconduct (document: "injustice in homman case.docx"). 5. Emotive media framing affecting jury impartiality (document: "media reports homann.docx"). 6. Expert psychiatric conflict regarding chronic versus drug-induced psychosis (document: "psych Allnut &amp; Martin homman.docx"). 7. Inadequate sentencing assessment without sufficient justification for exceeding the standard non-parole period (document: "Homann Merit Latest.docx"). 8. Disregard for aspects of rehabilitation potential during sentencing (document: "injustice in homman case.docx").</w:t>
      </w:r>
    </w:p>
    <w:p>
      <w:pPr>
        <w:pStyle w:val="Heading1"/>
      </w:pPr>
      <w:r>
        <w:t>2. FORENSIC CASE CHRONOLOGY</w:t>
      </w:r>
    </w:p>
    <w:p>
      <w:r>
        <w:t>On 23 September 2015, charges were laid against Joshua Homann in relation to the murder of Kirralee Paepaerei, marking the beginning of legal proceedings with an emotive media portrayal describing the incident as a domestic stabbing. This is evidenced by the "media reports homann.docx," where early AAP copy framed the case and laid the groundwork for widespread pubic preconceptions. The legal significance lies in the initial media characterisations influencing public sentiment and initial jury bias, which later impacted judicial considerations on trial format and jury instructions.</w:t>
      </w:r>
    </w:p>
    <w:p>
      <w:r>
        <w:t>On 26 February 2018, Joshua Homann applied for a judge-alone trial under section 132 of the Criminal Procedure Act 1986 (NSW), given the complex psychiatric evidence and prejudicial media coverage. This step is documented in "Judge Alone Denial Homann.docx," illustrating the defence strategy aimed at mitigating potential jury bias. The legal significance is the procedural decision that directly impacted the fairness of the trial, contributing to one of the appeal's primary grounds.</w:t>
      </w:r>
    </w:p>
    <w:p>
      <w:r>
        <w:t>On 27 February 2018, Justice McCallum refused the application for a judge-alone trial, emphasising that the jury could handle the case complexities. As outlined in "Judge Alone Denial Homann.docx," this decision forced the trial into a context where jury emotions could be heavily influenced by media portrayal and the extensive psychiatric nuances being overlooked by laypersons. This refusal is pivotal in claiming unfair procedural treatment and highlighting potential appeal success on these grounds.</w:t>
      </w:r>
    </w:p>
    <w:p>
      <w:r>
        <w:t>On 13 March 2018, Joshua Homann was found guilty of murder, with descriptions focusing on 49 stab wounds and the victim's pregnancy. Documented in "media reports homann.docx," the narrative of these events exacerbated the emotional weight of the trial beyond its evidentiary substance. Legally, the verdict is seen as susceptible to claims of juror bias due to saturated prejudicial imagery and emotional manipulation via media dissemination.</w:t>
      </w:r>
    </w:p>
    <w:p>
      <w:r>
        <w:t>On 24-25 May 2018, the sentencing hearing occurred, wherein Joshua Homann was sentenced to 30 years' imprisonment with a non-parole period of 22 years and 6 months. This is detailed in the "Homann Merit Latest.docx" document and underscores core appeal arguments regarding the manifestly excessive nature of the sentence, particularly highlighting the ineffectual assessment of mitigating factors related to mental illness.</w:t>
      </w:r>
    </w:p>
    <w:p>
      <w:r>
        <w:t>On 25 May 2018, a Notice of Appeal was filed against the sentence, citing its manifest excessiveness. As revealed in the "Homann Merit Latest copy.pdf," this foundational appeal step initiated appellate review considerations, foundational for revisiting improper sentencing determinations and procedural inconsistences during the original trial.</w:t>
      </w:r>
    </w:p>
    <w:p>
      <w:r>
        <w:t>On 1 January 2020, a report for appellate review citing comparative sentencing in NSW murder cases involving psychosis was prepared, providing a basis for arguing sentencing excessiveness. This preparation, outlined in "homman sentence comparison table copy.pdf," highlights discrepancies in sentencing norms and supports re-evaluation for Homann's outcome through comparative legal analysis.</w:t>
      </w:r>
    </w:p>
    <w:p>
      <w:r>
        <w:t>On the same date, a media analysis raised concerns about emotional coverage affecting jury impartiality, indicating potential juror bias reinforced by outside influences. These points are reflective of the "media reports homann.docx," emphasizing how extrajudicial narratives affect courtroom objectivity, a central aspect of the unfair trial claim.</w:t>
      </w:r>
    </w:p>
    <w:p>
      <w:r>
        <w:t>On 1 January 2020, an injustice report outlined procedural unfairness, with a spotlight on failures to consider mental impairment as a mitigating factor during conviction considerations. "report injustice homann copy.pdf" elaborates on these concerns, providing substantial material for substantive appeal arguments regarding the unjust nature of developed proceedings.</w:t>
      </w:r>
    </w:p>
    <w:p>
      <w:pPr>
        <w:pStyle w:val="Heading1"/>
      </w:pPr>
      <w:r>
        <w:t>3. DOCUMENT EVIDENCE DIGEST</w:t>
      </w:r>
    </w:p>
    <w:p>
      <w:r>
        <w:t>Homann Merit Latest.docx: This document contains the Notice of Appeal against sentence filed by Joshua Homann on 25 May 2018. It outlines the core grounds of appeal, particularly the manifestly excessive sentence. Therein, it highlights the mishandling of mitigating factors concerning psychosis and sets the stage for challenging the sentencing decision. The document holds strong probative value as it identifies key errors pertinent to the appeal and reflects procedural missteps observed.</w:t>
      </w:r>
    </w:p>
    <w:p>
      <w:r>
        <w:t>homman sentence comparison table copy.pdf: This document provides a comparative sentencing analysis for NSW murder cases with elements of psychosis. The key extracts reveal sentencing benchmarks, documenting inconsistencies in the severity of Homann’s sentence relative to similar cases. Its reliability stems from its detailed legal research, and it serves as a critical tool for the appeal, demonstrating potential disproportion in sentencing.</w:t>
      </w:r>
    </w:p>
    <w:p>
      <w:r>
        <w:t>media reports homann.docx: This document analyses how emotive media framing, using terms such as "ice addict" and "frenzied attack," influenced public perception and potentially impacted jury impartiality. The probative value is significant, showing how pervasive media narratives could drive bias, overshadowing judicial instructions about fair trial requirements. It thus substantiates the claim of an unfair trial process.</w:t>
      </w:r>
    </w:p>
    <w:p>
      <w:r>
        <w:t>Failures by Lang Lawyer for homann.docx: This document outlines failures in legal representation, especially in advocacy for a judge-alone trial and proper cross-examination of psychiatric evidence. Key extracts detail strategic ommissions, providing material on ineffective counsel claims. The document’s relevance for appellate purposes is considerable, underscoring how these lapses could have compromised the trial's fairness.</w:t>
      </w:r>
    </w:p>
    <w:p>
      <w:r>
        <w:t>justic mccullums info.docx: This judicial summary from Justice McCallum outlines sentencing reasoning, particularly the controversial interpretation of psychosis as irrelevant to reducing culpability. Its probative strength lies in its presentation of misapplications of law regarding mental illness as a mitigating factor. This bears directly on the appeal's main argument about the failure of proper sentencing principle application.</w:t>
      </w:r>
    </w:p>
    <w:p>
      <w:r>
        <w:t>psych Allnut &amp; Martin homman.docx: This document shows the conflicting psychiatric evidence between Dr. Allnutt's defence of chronic psychosis and Dr. Martin's emphasis on drug-induced states. Such clashes underscore the necessity for carefully considered trials that might have been better handled without jury involvement. The appellate value focuses on whether the initial verdict accurately accounted for psychiatric nuances.</w:t>
      </w:r>
    </w:p>
    <w:p>
      <w:r>
        <w:t>report injustice homann copy.pdf: This report details where justice failed in properly considering Homann's mental impairment and argues for procedural fairness, advocating for a downgraded classification to manslaughter. It is probative in laying out the fundamental procedural errors and misapplications of the fair trial principal, and highlights the necessity of appeal intervention based on natural justice grounds.</w:t>
      </w:r>
    </w:p>
    <w:p>
      <w:r>
        <w:t>Judge Alone Denial Homann.docx: Discussing the refusal of a judge-alone trial, this document critiques the decision to proceed with a jury trial despite the complexities of psychiatric evidence. Given the appeals to fairness and operational justice in trial procedures, it holds considerable appellate salience, pointing directly toward potential prejudicial effects not adequately mitigated by the judicial decision.</w:t>
      </w:r>
    </w:p>
    <w:p>
      <w:r>
        <w:t>injustice in homman case.docx: This focuses on juror bias and prejudice exacerbated by media influence and emotive case elements. As it details structural injustices due to the mode of trial, its appeal value is centered on strengthening arguments for bias-induced unfairness which can substantiate claims regarding the inappropriateness of the jury's environment and verdict delivery.</w:t>
      </w:r>
    </w:p>
    <w:p>
      <w:r>
        <w:t>Homann Merit Latest copy.pdf: Replicating the contents of the original merit document, this serves as a reinforcement of the notice of appeal's grounds and elaborates on the detailed legal framework for challenging the present conviction and sentence. Its role in the appeal is foundational for establishing procedural grievances and ensuring equitable legal priviledges are accounted for in appellate judgments.</w:t>
      </w:r>
    </w:p>
    <w:p>
      <w:r>
        <w:t>influence_docs.zip (omitted in extract analysis): The missing document implies the need for evaluating any potentially crucial excluded evidence or additional testimonial materials usable in connecting factual or procedural separate phases of appeal necessity.</w:t>
      </w:r>
    </w:p>
    <w:p>
      <w:r>
        <w:t>These documents collectively reveal the multifaceted nature of the present appeal, providing a comprehensive basis upon which the identified procedural and substantive errors can be legally redressed.</w:t>
      </w:r>
    </w:p>
    <w:p>
      <w:pPr>
        <w:pStyle w:val="Heading1"/>
      </w:pPr>
      <w:r>
        <w:t>4. GROUNDS OF MERIT PORTFOLIO</w:t>
      </w:r>
    </w:p>
    <w:p>
      <w:pPr>
        <w:pStyle w:val="Heading2"/>
      </w:pPr>
      <w:r>
        <w:t>Ground 1: Failure to Properly Consider Mental Impairment as Mitigating Factor</w:t>
      </w:r>
    </w:p>
    <w:p>
      <w:r>
        <w:t>Legal Test/Threshold: The legal threshold for considering mental impairment as a mitigating factor is governed by the principles established in Veen v The Queen (No 2) (1988) 164 CLR 465, which asserts that mental illness can reduce moral culpability and impact the weight given to deterrence as a sentencing principle. The line of authority from House v The King (1936) 55 CLR 499 governs appellate review of discretionary sentencing decisions, permitting intervention if the sentence is unreasonable or plainly unjust.</w:t>
      </w:r>
    </w:p>
    <w:p>
      <w:r>
        <w:t>Case Facts Satisfying the Test: In R v Homann [2018] NSWSC 757, the court accepted that Joshua Homann was experiencing psychosis at the time of the offence. Dr Stephen H. Allnutt's expert report, detailed in "psych Allnut &amp; Martin homman.docx," substantiated this as a long-standing chronic condition predating drug use. Despite this, Justice McCallum determined that the presence of psychosis did not reduce culpability, effectively dismissing the mitigating impact of Homann's mental state, as evidenced in "justic mccullums info.docx." This contradicts the broadly accepted legal understanding that mental impairment, regardless of its origins, must be weighed in assessing moral culpability.</w:t>
      </w:r>
    </w:p>
    <w:p>
      <w:r>
        <w:t>Viability Rating: Strong This ground holds a strong viability due to the clear contradiction between the acknowledgment of psychosis and the lack of mitigating weight given. The judiciary's reluctance to appropriately account for psychosis as a mitigating factor, particularly as detailed by Dr Allnutt, represents a potential misapplication of sentencing principles and a significant oversight of established legal standards for mental health considerations in sentencing.</w:t>
      </w:r>
    </w:p>
    <w:p>
      <w:r>
        <w:t>Predicted Crown Response: The prosecution will likely argue that the origin of the psychosis being linked to drug use heightens Homann's culpability, pointing to voluntary ingestion of methylamphetamine as a basis for reducing the mitigating weight of the condition. The Crown may contend that Justice McCallum adequately addressed Homann’s mental condition, considering the need for general deterrence and community protection.</w:t>
      </w:r>
    </w:p>
    <w:p>
      <w:r>
        <w:t>Defence Rebuttal: The defence should emphasise the expert testimony that the psychosis was a chronic condition, exacerbated but not initiated by drug use, which fundamentally impaired Homann's reasoning and judgment capabilities at the time of the offence. The rebuttal could reference Hammond v R [2008] NSWCCA 138 to reinforce that mental illness, irrespective of its cause, must genuinely inform moral culpability assessments, advocating for a recalibration of the sentence to reflect this.</w:t>
      </w:r>
    </w:p>
    <w:p>
      <w:r>
        <w:t>Appeal Impact: If this ground succeeds, it may lead to a reconsideration of the sentence, potentially resulting in a reduced sentence more reflective of the mitigating factor of Homann’s mental impairment. A successful argument could compel the Court of Criminal Appeal (CCA) to order a re-sentencing that judiciously incorporates the mitigating factor of psychosis.</w:t>
      </w:r>
    </w:p>
    <w:p>
      <w:pPr>
        <w:pStyle w:val="Heading2"/>
      </w:pPr>
      <w:r>
        <w:t>Ground 2: Refusal of Judge-Alone Trial Leading to Unfair Verdict</w:t>
      </w:r>
    </w:p>
    <w:p>
      <w:r>
        <w:t>Legal Test/Threshold: Under s 132 of the Criminal Procedure Act 1986 (NSW), applications for a judge-alone trial must assess whether jury impartiality can be maintained amid circumstances likely to prejudice the jury (R v Skaf [2004] NSWCCA 37). The fundamental fairness and just outcome of the trial are paramount considerations.</w:t>
      </w:r>
    </w:p>
    <w:p>
      <w:r>
        <w:t>Case Facts Satisfying the Test: Homann’s application for a judge-alone trial was refused despite extensive prejudicial media coverage and complex psychiatric evidence, as outlined in "Judge Alone Denial Homann.docx." The media portrayal of Homann’s actions as a highly emotive "frenzied attack" may have compromised the jury’s ability to remain impartial, creating a reasonable apprehension of bias. Lay jurors were tasked with evaluating intricate forensic psychiatric evidence on chronic versus drug-induced psychosis, which likely exceeded their scope of expertise.</w:t>
      </w:r>
    </w:p>
    <w:p>
      <w:r>
        <w:t>Viability Rating: Strong The viability of this ground is strong, given the documented potential for jury bias and the inadequate weighing of complex psychiatric evidence by non-experts. The media's emotive framing of the incident could influence a lay jury unduly, thus justifying the necessity for a judicially conducted fact-finding process free from external biases.</w:t>
      </w:r>
    </w:p>
    <w:p>
      <w:r>
        <w:t>Predicted Crown Response: The prosecution may argue that juries are capable repositories of public sentiment and are frequently trusted to process complex evidence with the guidance of judicial warnings and directions. The Crown might further assert that Justice McCallum appropriately gauged the jury's ability to handle the case complexities and that jury determinations are reflective of community standards.</w:t>
      </w:r>
    </w:p>
    <w:p>
      <w:r>
        <w:t>Defence Rebuttal: The defence should counter by highlighting the unusual gravity of media saturation and the case's specific complexities, which rendered the situation beyond the jury's experiential capabilities. Judicial directions notwithstanding, the highly charged nature of the allegations made an impartial jury unlikely. The defence can rely on academic and empirical evidence documenting the challenges juries face in highly publicised and technically complex cases.</w:t>
      </w:r>
    </w:p>
    <w:p>
      <w:r>
        <w:t>Appeal Impact: Success on this ground may result in the original conviction being set aside, with orders for a retrial conducted by a judge alone. This could dramatically alter the fact-finding dynamics and adjudicative impartiality in any subsequent proceedings.</w:t>
      </w:r>
    </w:p>
    <w:p>
      <w:pPr>
        <w:pStyle w:val="Heading2"/>
      </w:pPr>
      <w:r>
        <w:t>Ground 3: Ineffective Legal Representation</w:t>
      </w:r>
    </w:p>
    <w:p>
      <w:r>
        <w:t>Legal Test/Threshold: The test for determining ineffective assistance of counsel generally revolves around whether a reasonable possibility exists that trial counsel's actions or omissions impacted the trial outcome, adversely affecting the applicant’s right to a fair trial, as elucidated in R v Birks (1990) 19 NSWLR 677.</w:t>
      </w:r>
    </w:p>
    <w:p>
      <w:r>
        <w:t>Case Facts Satisfying the Test: Documents such as "Failures by Lang Lawyer for homann.docx" provide a detailed account of multiple lapses by Homann's trial counsel. These include failing to robustly pursue a judge-alone trial amid vehement media prejudice and not adequately addressing juror bias when a juror waved at the victim’s family. Additionally, there was insufficient advocacy for Homann's psychiatric defences, particularly in presenting chronic psychosis as a mitigating factor, severely weakening the defence strategy.</w:t>
      </w:r>
    </w:p>
    <w:p>
      <w:r>
        <w:t>Viability Rating: Strong The ground is rated as strong, given the accumulation of prejudicial trial errors attributed to defence counsel. The inadequacies in legal strategy, particularly concerning the advocacy for the psychiatric elements of the case and the application for a judge-alone trial, could reasonably have influenced the trial's fairness and outcome.</w:t>
      </w:r>
    </w:p>
    <w:p>
      <w:r>
        <w:t>Predicted Crown Response: The Crown is anticipated to contend that allegations of ineffectiveness are speculative and that trial counsel's decisions fell within the ambit of reasonable legal strategy. The prosecution may argue the counsel’s actions, while imperfect, did not fundamentally impinge upon Homann’s right to a fair trial or alter the fair hearing received.</w:t>
      </w:r>
    </w:p>
    <w:p>
      <w:r>
        <w:t>Defence Rebuttal: The defence should underscore the presence of visible attorney errors which, considered cumulatively, bespeak a significant departure from competent legal representation standards. The rebuttal can argue that reasonable actions not undertaken could have created an alternate trial outcome, with emphasis on the dual issues of juror bias and psychiatric evidence. Legal precedents showcasing impactful ineffective counsel should be deployed to reinforce this argument.</w:t>
      </w:r>
    </w:p>
    <w:p>
      <w:r>
        <w:t>Appeal Impact: If successful, this ground can justify the quashing of the conviction and mandate a retrial. It brings into focus the imperative of skilled representation in navigating both media landscapes and complex legal defences, potentially yielding different trial dynamics and opportunities for a mitigated verdict.</w:t>
      </w:r>
    </w:p>
    <w:p>
      <w:pPr>
        <w:pStyle w:val="Heading2"/>
      </w:pPr>
      <w:r>
        <w:t>Ground 4: Juror Misconduct and Bias</w:t>
      </w:r>
    </w:p>
    <w:p>
      <w:r>
        <w:t>Legal Test/Threshold: Recognising juror misconduct requires showing that a juror's actions were prejudicial to the integrity of the trial, creating reasonable doubt about impartiality and as established in R v Skaf (No 2) [2005] NSWCCA 317, could merit a miscarriage of justice evaluation.</w:t>
      </w:r>
    </w:p>
    <w:p>
      <w:r>
        <w:t>Case Facts Satisfying the Test: Evidence in "injustice in homman case.docx" indicates that a juror displayed potential partiality by waving to the victim's family during trial proceedings. This act, compounded by the case’s reduced jury size to ten members and the surrounding prejudicial media coverage, poses significant concerns about the impartiality of deliberations, especially given the charged social context of the case.</w:t>
      </w:r>
    </w:p>
    <w:p>
      <w:r>
        <w:t>Viability Rating: Moderate With a moderate viability rating, the ground capitalises on clear evidence of juror behaviour that contravenes impartiality expectations. However, establishing a causative linkage between the misconduct and verdict outcome poses a challenge, as does overcoming judicial confidence in the jury system's ability to compartmentalise extraneous influence.</w:t>
      </w:r>
    </w:p>
    <w:p>
      <w:r>
        <w:t>Predicted Crown Response: The prosecution will likely argue that the identified juror conduct was an isolated incident without demonstrated impact on the overall verdict. It may assert that judicial directions and natural jury dynamics suffice to mitigate any undue influence from prejudicial juror actions.</w:t>
      </w:r>
    </w:p>
    <w:p>
      <w:r>
        <w:t>Defence Rebuttal: The defence can argue that even an isolated act of juror bias can taint the integrity of the trial, necessitating appellate intervention. Referencing the emotive nature of trial subject matter and dual pressures from media bias and reduced jury numbers highlights systemic inadequacies in safeguarding Homann’s fair trial rights.</w:t>
      </w:r>
    </w:p>
    <w:p>
      <w:r>
        <w:t>Appeal Impact: If successful, this ground may result in the verdict being overturned due to compromised trial integrity. The court may order a retrial, potentially with heightened procedural safeguards to mitigate any recurrence of similar bias, ensuring a focus on genuine judicial impartiality.</w:t>
      </w:r>
    </w:p>
    <w:p>
      <w:pPr>
        <w:pStyle w:val="Heading1"/>
      </w:pPr>
      <w:r>
        <w:t>5. COMPARATIVE SENTENCING TABLE</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Case</w:t>
            </w:r>
          </w:p>
        </w:tc>
        <w:tc>
          <w:tcPr>
            <w:tcW w:type="dxa" w:w="1234"/>
          </w:tcPr>
          <w:p>
            <w:r>
              <w:rPr>
                <w:b/>
                <w:sz w:val="17"/>
              </w:rPr>
              <w:t>Offence</w:t>
            </w:r>
          </w:p>
        </w:tc>
        <w:tc>
          <w:tcPr>
            <w:tcW w:type="dxa" w:w="1234"/>
          </w:tcPr>
          <w:p>
            <w:r>
              <w:rPr>
                <w:b/>
                <w:sz w:val="17"/>
              </w:rPr>
              <w:t>Original Sentence / NPP</w:t>
            </w:r>
          </w:p>
        </w:tc>
        <w:tc>
          <w:tcPr>
            <w:tcW w:type="dxa" w:w="1234"/>
          </w:tcPr>
          <w:p>
            <w:r>
              <w:rPr>
                <w:b/>
                <w:sz w:val="17"/>
              </w:rPr>
              <w:t>Appeal Outcome</w:t>
            </w:r>
          </w:p>
        </w:tc>
        <w:tc>
          <w:tcPr>
            <w:tcW w:type="dxa" w:w="1234"/>
          </w:tcPr>
          <w:p>
            <w:r>
              <w:rPr>
                <w:b/>
                <w:sz w:val="17"/>
              </w:rPr>
              <w:t>Revised Sentence / NPP</w:t>
            </w:r>
          </w:p>
        </w:tc>
        <w:tc>
          <w:tcPr>
            <w:tcW w:type="dxa" w:w="1234"/>
          </w:tcPr>
          <w:p>
            <w:r>
              <w:rPr>
                <w:b/>
                <w:sz w:val="17"/>
              </w:rPr>
              <w:t>Reduction (Years + %)</w:t>
            </w:r>
          </w:p>
        </w:tc>
        <w:tc>
          <w:tcPr>
            <w:tcW w:type="dxa" w:w="1234"/>
          </w:tcPr>
          <w:p>
            <w:r>
              <w:rPr>
                <w:b/>
                <w:sz w:val="17"/>
              </w:rPr>
              <w:t>Key Reason</w:t>
            </w:r>
          </w:p>
        </w:tc>
      </w:tr>
      <w:tr>
        <w:tc>
          <w:tcPr>
            <w:tcW w:type="dxa" w:w="1234"/>
          </w:tcPr>
          <w:p>
            <w:r>
              <w:rPr>
                <w:sz w:val="17"/>
              </w:rPr>
              <w:t>R v Engert (1995)</w:t>
            </w:r>
          </w:p>
        </w:tc>
        <w:tc>
          <w:tcPr>
            <w:tcW w:type="dxa" w:w="1234"/>
          </w:tcPr>
          <w:p>
            <w:r>
              <w:rPr>
                <w:sz w:val="17"/>
              </w:rPr>
              <w:t>Murder involving psychotic disorder</w:t>
            </w:r>
          </w:p>
        </w:tc>
        <w:tc>
          <w:tcPr>
            <w:tcW w:type="dxa" w:w="1234"/>
          </w:tcPr>
          <w:p>
            <w:r>
              <w:rPr>
                <w:sz w:val="17"/>
              </w:rPr>
              <w:t>Life imprisonment / -</w:t>
            </w:r>
          </w:p>
        </w:tc>
        <w:tc>
          <w:tcPr>
            <w:tcW w:type="dxa" w:w="1234"/>
          </w:tcPr>
          <w:p>
            <w:r>
              <w:rPr>
                <w:sz w:val="17"/>
              </w:rPr>
              <w:t>Upheld</w:t>
            </w:r>
          </w:p>
        </w:tc>
        <w:tc>
          <w:tcPr>
            <w:tcW w:type="dxa" w:w="1234"/>
          </w:tcPr>
          <w:p>
            <w:r>
              <w:rPr>
                <w:sz w:val="17"/>
              </w:rPr>
              <w:t>Life imprisonment / -</w:t>
            </w:r>
          </w:p>
        </w:tc>
        <w:tc>
          <w:tcPr>
            <w:tcW w:type="dxa" w:w="1234"/>
          </w:tcPr>
          <w:p>
            <w:r>
              <w:rPr>
                <w:sz w:val="17"/>
              </w:rPr>
              <w:t>0 / 0%</w:t>
            </w:r>
          </w:p>
        </w:tc>
        <w:tc>
          <w:tcPr>
            <w:tcW w:type="dxa" w:w="1234"/>
          </w:tcPr>
          <w:p>
            <w:r>
              <w:rPr>
                <w:sz w:val="17"/>
              </w:rPr>
              <w:t>The extreme violence of the offence justified the sentence despite psychosis.</w:t>
            </w:r>
          </w:p>
        </w:tc>
      </w:tr>
      <w:tr>
        <w:tc>
          <w:tcPr>
            <w:tcW w:type="dxa" w:w="1234"/>
          </w:tcPr>
          <w:p>
            <w:r>
              <w:rPr>
                <w:sz w:val="17"/>
              </w:rPr>
              <w:t>R v Israil [2002] NSWCCA 255</w:t>
            </w:r>
          </w:p>
        </w:tc>
        <w:tc>
          <w:tcPr>
            <w:tcW w:type="dxa" w:w="1234"/>
          </w:tcPr>
          <w:p>
            <w:r>
              <w:rPr>
                <w:sz w:val="17"/>
              </w:rPr>
              <w:t>Murder with schizophrenic delusions</w:t>
            </w:r>
          </w:p>
        </w:tc>
        <w:tc>
          <w:tcPr>
            <w:tcW w:type="dxa" w:w="1234"/>
          </w:tcPr>
          <w:p>
            <w:r>
              <w:rPr>
                <w:sz w:val="17"/>
              </w:rPr>
              <w:t>22 years / 16 years</w:t>
            </w:r>
          </w:p>
        </w:tc>
        <w:tc>
          <w:tcPr>
            <w:tcW w:type="dxa" w:w="1234"/>
          </w:tcPr>
          <w:p>
            <w:r>
              <w:rPr>
                <w:sz w:val="17"/>
              </w:rPr>
              <w:t>Reduced</w:t>
            </w:r>
          </w:p>
        </w:tc>
        <w:tc>
          <w:tcPr>
            <w:tcW w:type="dxa" w:w="1234"/>
          </w:tcPr>
          <w:p>
            <w:r>
              <w:rPr>
                <w:sz w:val="17"/>
              </w:rPr>
              <w:t>16 years / 12 years</w:t>
            </w:r>
          </w:p>
        </w:tc>
        <w:tc>
          <w:tcPr>
            <w:tcW w:type="dxa" w:w="1234"/>
          </w:tcPr>
          <w:p>
            <w:r>
              <w:rPr>
                <w:sz w:val="17"/>
              </w:rPr>
              <w:t>6 years / 27%</w:t>
            </w:r>
          </w:p>
        </w:tc>
        <w:tc>
          <w:tcPr>
            <w:tcW w:type="dxa" w:w="1234"/>
          </w:tcPr>
          <w:p>
            <w:r>
              <w:rPr>
                <w:sz w:val="17"/>
              </w:rPr>
              <w:t>Schizophrenia's impact on delusional episode reduced culpability.</w:t>
            </w:r>
          </w:p>
        </w:tc>
      </w:tr>
      <w:tr>
        <w:tc>
          <w:tcPr>
            <w:tcW w:type="dxa" w:w="1234"/>
          </w:tcPr>
          <w:p>
            <w:r>
              <w:rPr>
                <w:sz w:val="17"/>
              </w:rPr>
              <w:t>R v Hemsley [2004] NSWCCA 228</w:t>
            </w:r>
          </w:p>
        </w:tc>
        <w:tc>
          <w:tcPr>
            <w:tcW w:type="dxa" w:w="1234"/>
          </w:tcPr>
          <w:p>
            <w:r>
              <w:rPr>
                <w:sz w:val="17"/>
              </w:rPr>
              <w:t>Domestic murder, severe personality disorder</w:t>
            </w:r>
          </w:p>
        </w:tc>
        <w:tc>
          <w:tcPr>
            <w:tcW w:type="dxa" w:w="1234"/>
          </w:tcPr>
          <w:p>
            <w:r>
              <w:rPr>
                <w:sz w:val="17"/>
              </w:rPr>
              <w:t>18 years / 13 years</w:t>
            </w:r>
          </w:p>
        </w:tc>
        <w:tc>
          <w:tcPr>
            <w:tcW w:type="dxa" w:w="1234"/>
          </w:tcPr>
          <w:p>
            <w:r>
              <w:rPr>
                <w:sz w:val="17"/>
              </w:rPr>
              <w:t>Reduced</w:t>
            </w:r>
          </w:p>
        </w:tc>
        <w:tc>
          <w:tcPr>
            <w:tcW w:type="dxa" w:w="1234"/>
          </w:tcPr>
          <w:p>
            <w:r>
              <w:rPr>
                <w:sz w:val="17"/>
              </w:rPr>
              <w:t>14 years / 10 years</w:t>
            </w:r>
          </w:p>
        </w:tc>
        <w:tc>
          <w:tcPr>
            <w:tcW w:type="dxa" w:w="1234"/>
          </w:tcPr>
          <w:p>
            <w:r>
              <w:rPr>
                <w:sz w:val="17"/>
              </w:rPr>
              <w:t>4 years / 22%</w:t>
            </w:r>
          </w:p>
        </w:tc>
        <w:tc>
          <w:tcPr>
            <w:tcW w:type="dxa" w:w="1234"/>
          </w:tcPr>
          <w:p>
            <w:r>
              <w:rPr>
                <w:sz w:val="17"/>
              </w:rPr>
              <w:t>Recognised impulse control issues due to personality disorder.</w:t>
            </w:r>
          </w:p>
        </w:tc>
      </w:tr>
      <w:tr>
        <w:tc>
          <w:tcPr>
            <w:tcW w:type="dxa" w:w="1234"/>
          </w:tcPr>
          <w:p>
            <w:r>
              <w:rPr>
                <w:sz w:val="17"/>
              </w:rPr>
              <w:t>R v Bellchambers [2011] NSWCCA 131</w:t>
            </w:r>
          </w:p>
        </w:tc>
        <w:tc>
          <w:tcPr>
            <w:tcW w:type="dxa" w:w="1234"/>
          </w:tcPr>
          <w:p>
            <w:r>
              <w:rPr>
                <w:sz w:val="17"/>
              </w:rPr>
              <w:t>Murder in chronic schizophrenia context</w:t>
            </w:r>
          </w:p>
        </w:tc>
        <w:tc>
          <w:tcPr>
            <w:tcW w:type="dxa" w:w="1234"/>
          </w:tcPr>
          <w:p>
            <w:r>
              <w:rPr>
                <w:sz w:val="17"/>
              </w:rPr>
              <w:t>24 years / 18 years</w:t>
            </w:r>
          </w:p>
        </w:tc>
        <w:tc>
          <w:tcPr>
            <w:tcW w:type="dxa" w:w="1234"/>
          </w:tcPr>
          <w:p>
            <w:r>
              <w:rPr>
                <w:sz w:val="17"/>
              </w:rPr>
              <w:t>Reduced</w:t>
            </w:r>
          </w:p>
        </w:tc>
        <w:tc>
          <w:tcPr>
            <w:tcW w:type="dxa" w:w="1234"/>
          </w:tcPr>
          <w:p>
            <w:r>
              <w:rPr>
                <w:sz w:val="17"/>
              </w:rPr>
              <w:t>18 years / 13 years</w:t>
            </w:r>
          </w:p>
        </w:tc>
        <w:tc>
          <w:tcPr>
            <w:tcW w:type="dxa" w:w="1234"/>
          </w:tcPr>
          <w:p>
            <w:r>
              <w:rPr>
                <w:sz w:val="17"/>
              </w:rPr>
              <w:t>6 years / 25%</w:t>
            </w:r>
          </w:p>
        </w:tc>
        <w:tc>
          <w:tcPr>
            <w:tcW w:type="dxa" w:w="1234"/>
          </w:tcPr>
          <w:p>
            <w:r>
              <w:rPr>
                <w:sz w:val="17"/>
              </w:rPr>
              <w:t>Reduced moral culpability due to delusional state.</w:t>
            </w:r>
          </w:p>
        </w:tc>
      </w:tr>
      <w:tr>
        <w:tc>
          <w:tcPr>
            <w:tcW w:type="dxa" w:w="1234"/>
          </w:tcPr>
          <w:p>
            <w:r>
              <w:rPr>
                <w:sz w:val="17"/>
              </w:rPr>
              <w:t>R v Henry [1999] NSWCCA 111</w:t>
            </w:r>
          </w:p>
        </w:tc>
        <w:tc>
          <w:tcPr>
            <w:tcW w:type="dxa" w:w="1234"/>
          </w:tcPr>
          <w:p>
            <w:r>
              <w:rPr>
                <w:sz w:val="17"/>
              </w:rPr>
              <w:t>Group murder with personality disorder and intoxication</w:t>
            </w:r>
          </w:p>
        </w:tc>
        <w:tc>
          <w:tcPr>
            <w:tcW w:type="dxa" w:w="1234"/>
          </w:tcPr>
          <w:p>
            <w:r>
              <w:rPr>
                <w:sz w:val="17"/>
              </w:rPr>
              <w:t>20 years / 15 years</w:t>
            </w:r>
          </w:p>
        </w:tc>
        <w:tc>
          <w:tcPr>
            <w:tcW w:type="dxa" w:w="1234"/>
          </w:tcPr>
          <w:p>
            <w:r>
              <w:rPr>
                <w:sz w:val="17"/>
              </w:rPr>
              <w:t>Upheld</w:t>
            </w:r>
          </w:p>
        </w:tc>
        <w:tc>
          <w:tcPr>
            <w:tcW w:type="dxa" w:w="1234"/>
          </w:tcPr>
          <w:p>
            <w:r>
              <w:rPr>
                <w:sz w:val="17"/>
              </w:rPr>
              <w:t>20 years / 15 years</w:t>
            </w:r>
          </w:p>
        </w:tc>
        <w:tc>
          <w:tcPr>
            <w:tcW w:type="dxa" w:w="1234"/>
          </w:tcPr>
          <w:p>
            <w:r>
              <w:rPr>
                <w:sz w:val="17"/>
              </w:rPr>
              <w:t>0 / 0%</w:t>
            </w:r>
          </w:p>
        </w:tc>
        <w:tc>
          <w:tcPr>
            <w:tcW w:type="dxa" w:w="1234"/>
          </w:tcPr>
          <w:p>
            <w:r>
              <w:rPr>
                <w:sz w:val="17"/>
              </w:rPr>
              <w:t>Upheld due to spontaneous violence under intoxicating circumstances.</w:t>
            </w:r>
          </w:p>
        </w:tc>
      </w:tr>
      <w:tr>
        <w:tc>
          <w:tcPr>
            <w:tcW w:type="dxa" w:w="1234"/>
          </w:tcPr>
          <w:p>
            <w:r>
              <w:rPr>
                <w:sz w:val="17"/>
              </w:rPr>
              <w:t>R v Muldrock [2011] HCA 39</w:t>
            </w:r>
          </w:p>
        </w:tc>
        <w:tc>
          <w:tcPr>
            <w:tcW w:type="dxa" w:w="1234"/>
          </w:tcPr>
          <w:p>
            <w:r>
              <w:rPr>
                <w:sz w:val="17"/>
              </w:rPr>
              <w:t>Non-murder yet featured mental impairment</w:t>
            </w:r>
          </w:p>
        </w:tc>
        <w:tc>
          <w:tcPr>
            <w:tcW w:type="dxa" w:w="1234"/>
          </w:tcPr>
          <w:p>
            <w:r>
              <w:rPr>
                <w:sz w:val="17"/>
              </w:rPr>
              <w:t>16 years (overall culpability reconsidered)</w:t>
            </w:r>
          </w:p>
        </w:tc>
        <w:tc>
          <w:tcPr>
            <w:tcW w:type="dxa" w:w="1234"/>
          </w:tcPr>
          <w:p>
            <w:r>
              <w:rPr>
                <w:sz w:val="17"/>
              </w:rPr>
              <w:t>Reduced</w:t>
            </w:r>
          </w:p>
        </w:tc>
        <w:tc>
          <w:tcPr>
            <w:tcW w:type="dxa" w:w="1234"/>
          </w:tcPr>
          <w:p>
            <w:r>
              <w:rPr>
                <w:sz w:val="17"/>
              </w:rPr>
              <w:t>Diminished sentence</w:t>
            </w:r>
          </w:p>
        </w:tc>
        <w:tc>
          <w:tcPr>
            <w:tcW w:type="dxa" w:w="1234"/>
          </w:tcPr>
          <w:p>
            <w:r>
              <w:rPr>
                <w:sz w:val="17"/>
              </w:rPr>
              <w:t>Substantial reduction</w:t>
            </w:r>
          </w:p>
        </w:tc>
        <w:tc>
          <w:tcPr>
            <w:tcW w:type="dxa" w:w="1234"/>
          </w:tcPr>
          <w:p>
            <w:r>
              <w:rPr>
                <w:sz w:val="17"/>
              </w:rPr>
              <w:t>Recognition of impairment.</w:t>
            </w:r>
          </w:p>
        </w:tc>
      </w:tr>
      <w:tr>
        <w:tc>
          <w:tcPr>
            <w:tcW w:type="dxa" w:w="1234"/>
          </w:tcPr>
          <w:p>
            <w:r>
              <w:rPr>
                <w:sz w:val="17"/>
              </w:rPr>
              <w:t>R v Loveridge [2014] NSWCCA 120</w:t>
            </w:r>
          </w:p>
        </w:tc>
        <w:tc>
          <w:tcPr>
            <w:tcW w:type="dxa" w:w="1234"/>
          </w:tcPr>
          <w:p>
            <w:r>
              <w:rPr>
                <w:sz w:val="17"/>
              </w:rPr>
              <w:t>Manslaughter, intoxication context</w:t>
            </w:r>
          </w:p>
        </w:tc>
        <w:tc>
          <w:tcPr>
            <w:tcW w:type="dxa" w:w="1234"/>
          </w:tcPr>
          <w:p>
            <w:r>
              <w:rPr>
                <w:sz w:val="17"/>
              </w:rPr>
              <w:t>10 years / 7 years</w:t>
            </w:r>
          </w:p>
        </w:tc>
        <w:tc>
          <w:tcPr>
            <w:tcW w:type="dxa" w:w="1234"/>
          </w:tcPr>
          <w:p>
            <w:r>
              <w:rPr>
                <w:sz w:val="17"/>
              </w:rPr>
              <w:t>Upheld</w:t>
            </w:r>
          </w:p>
        </w:tc>
        <w:tc>
          <w:tcPr>
            <w:tcW w:type="dxa" w:w="1234"/>
          </w:tcPr>
          <w:p>
            <w:r>
              <w:rPr>
                <w:sz w:val="17"/>
              </w:rPr>
              <w:t>10 years / 7 years</w:t>
            </w:r>
          </w:p>
        </w:tc>
        <w:tc>
          <w:tcPr>
            <w:tcW w:type="dxa" w:w="1234"/>
          </w:tcPr>
          <w:p>
            <w:r>
              <w:rPr>
                <w:sz w:val="17"/>
              </w:rPr>
              <w:t>0 / 0%</w:t>
            </w:r>
          </w:p>
        </w:tc>
        <w:tc>
          <w:tcPr>
            <w:tcW w:type="dxa" w:w="1234"/>
          </w:tcPr>
          <w:p>
            <w:r>
              <w:rPr>
                <w:sz w:val="17"/>
              </w:rPr>
              <w:t>Upheld due to mitigating acceptance of responsibility.</w:t>
            </w:r>
          </w:p>
        </w:tc>
      </w:tr>
      <w:tr>
        <w:tc>
          <w:tcPr>
            <w:tcW w:type="dxa" w:w="1234"/>
          </w:tcPr>
          <w:p>
            <w:r>
              <w:rPr>
                <w:sz w:val="17"/>
              </w:rPr>
              <w:t>R v Hopkins [2019] NSWCCA 37</w:t>
            </w:r>
          </w:p>
        </w:tc>
        <w:tc>
          <w:tcPr>
            <w:tcW w:type="dxa" w:w="1234"/>
          </w:tcPr>
          <w:p>
            <w:r>
              <w:rPr>
                <w:sz w:val="17"/>
              </w:rPr>
              <w:t>Murder in acute psychosis</w:t>
            </w:r>
          </w:p>
        </w:tc>
        <w:tc>
          <w:tcPr>
            <w:tcW w:type="dxa" w:w="1234"/>
          </w:tcPr>
          <w:p>
            <w:r>
              <w:rPr>
                <w:sz w:val="17"/>
              </w:rPr>
              <w:t>25 years / 18 years</w:t>
            </w:r>
          </w:p>
        </w:tc>
        <w:tc>
          <w:tcPr>
            <w:tcW w:type="dxa" w:w="1234"/>
          </w:tcPr>
          <w:p>
            <w:r>
              <w:rPr>
                <w:sz w:val="17"/>
              </w:rPr>
              <w:t>Reduced</w:t>
            </w:r>
          </w:p>
        </w:tc>
        <w:tc>
          <w:tcPr>
            <w:tcW w:type="dxa" w:w="1234"/>
          </w:tcPr>
          <w:p>
            <w:r>
              <w:rPr>
                <w:sz w:val="17"/>
              </w:rPr>
              <w:t>22 years / 15 years</w:t>
            </w:r>
          </w:p>
        </w:tc>
        <w:tc>
          <w:tcPr>
            <w:tcW w:type="dxa" w:w="1234"/>
          </w:tcPr>
          <w:p>
            <w:r>
              <w:rPr>
                <w:sz w:val="17"/>
              </w:rPr>
              <w:t>3 years / 12%</w:t>
            </w:r>
          </w:p>
        </w:tc>
        <w:tc>
          <w:tcPr>
            <w:tcW w:type="dxa" w:w="1234"/>
          </w:tcPr>
          <w:p>
            <w:r>
              <w:rPr>
                <w:sz w:val="17"/>
              </w:rPr>
              <w:t>Reevaluation of psychosis as mitigating.</w:t>
            </w:r>
          </w:p>
        </w:tc>
      </w:tr>
    </w:tbl>
    <w:p/>
    <w:p>
      <w:r>
        <w:t>Detailed Outcome Analysis:</w:t>
      </w:r>
    </w:p>
    <w:p>
      <w:pPr>
        <w:pStyle w:val="ListBullet"/>
      </w:pPr>
      <w:r>
        <w:t>**R v Engert (1995):** This case solidifies the threshold for extreme violence in homicide, indicating that even significant mental impairment will not readily overturn life sentences when violence is exceptionally severe.</w:t>
      </w:r>
    </w:p>
    <w:p>
      <w:pPr>
        <w:pStyle w:val="ListBullet"/>
      </w:pPr>
      <w:r>
        <w:t>**R v Israil [2002] NSWCCA 255:** Demonstrates the appellate court's willingness to adjust sentences significantly where severe mental illness impacts culpability, aligning with Homann's defence claims on the mitigating weight of psychosis.</w:t>
      </w:r>
    </w:p>
    <w:p>
      <w:pPr>
        <w:pStyle w:val="ListBullet"/>
      </w:pPr>
      <w:r>
        <w:t>**R v Bellchambers [2011] NSWCCA 131:** An analogous case where schizophrenia played a similar role to Homann’s psychosis. This precedent supports arguments for sentence reduction when chronic mental health issues are involved.</w:t>
      </w:r>
    </w:p>
    <w:p>
      <w:pPr>
        <w:pStyle w:val="Heading1"/>
      </w:pPr>
      <w:r>
        <w:t>6. COMMON APPEAL GROUNDS FOR THIS OFFENCE TYPE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160"/>
          </w:tcPr>
          <w:p>
            <w:r>
              <w:rPr>
                <w:b/>
                <w:sz w:val="17"/>
              </w:rPr>
              <w:t>Common Ground</w:t>
            </w:r>
          </w:p>
        </w:tc>
        <w:tc>
          <w:tcPr>
            <w:tcW w:type="dxa" w:w="2160"/>
          </w:tcPr>
          <w:p>
            <w:r>
              <w:rPr>
                <w:b/>
                <w:sz w:val="17"/>
              </w:rPr>
              <w:t>Frequency in Comparable Appeals</w:t>
            </w:r>
          </w:p>
        </w:tc>
        <w:tc>
          <w:tcPr>
            <w:tcW w:type="dxa" w:w="2160"/>
          </w:tcPr>
          <w:p>
            <w:r>
              <w:rPr>
                <w:b/>
                <w:sz w:val="17"/>
              </w:rPr>
              <w:t>Typical Success Pattern</w:t>
            </w:r>
          </w:p>
        </w:tc>
        <w:tc>
          <w:tcPr>
            <w:tcW w:type="dxa" w:w="2160"/>
          </w:tcPr>
          <w:p>
            <w:r>
              <w:rPr>
                <w:b/>
                <w:sz w:val="17"/>
              </w:rPr>
              <w:t>Best Supporting Evidence</w:t>
            </w:r>
          </w:p>
        </w:tc>
      </w:tr>
      <w:tr>
        <w:tc>
          <w:tcPr>
            <w:tcW w:type="dxa" w:w="2160"/>
          </w:tcPr>
          <w:p>
            <w:r>
              <w:rPr>
                <w:sz w:val="17"/>
              </w:rPr>
              <w:t>Manifest Excessiveness</w:t>
            </w:r>
          </w:p>
        </w:tc>
        <w:tc>
          <w:tcPr>
            <w:tcW w:type="dxa" w:w="2160"/>
          </w:tcPr>
          <w:p>
            <w:r>
              <w:rPr>
                <w:sz w:val="17"/>
              </w:rPr>
              <w:t>High</w:t>
            </w:r>
          </w:p>
        </w:tc>
        <w:tc>
          <w:tcPr>
            <w:tcW w:type="dxa" w:w="2160"/>
          </w:tcPr>
          <w:p>
            <w:r>
              <w:rPr>
                <w:sz w:val="17"/>
              </w:rPr>
              <w:t>Success hinges on comparable case statistics showing wide variance in sentencing</w:t>
            </w:r>
          </w:p>
        </w:tc>
        <w:tc>
          <w:tcPr>
            <w:tcW w:type="dxa" w:w="2160"/>
          </w:tcPr>
          <w:p>
            <w:r>
              <w:rPr>
                <w:sz w:val="17"/>
              </w:rPr>
              <w:t>Cases like R v Israil</w:t>
            </w:r>
          </w:p>
        </w:tc>
      </w:tr>
      <w:tr>
        <w:tc>
          <w:tcPr>
            <w:tcW w:type="dxa" w:w="2160"/>
          </w:tcPr>
          <w:p>
            <w:r>
              <w:rPr>
                <w:sz w:val="17"/>
              </w:rPr>
              <w:t>Error in Applying Mitigation</w:t>
            </w:r>
          </w:p>
        </w:tc>
        <w:tc>
          <w:tcPr>
            <w:tcW w:type="dxa" w:w="2160"/>
          </w:tcPr>
          <w:p>
            <w:r>
              <w:rPr>
                <w:sz w:val="17"/>
              </w:rPr>
              <w:t>High</w:t>
            </w:r>
          </w:p>
        </w:tc>
        <w:tc>
          <w:tcPr>
            <w:tcW w:type="dxa" w:w="2160"/>
          </w:tcPr>
          <w:p>
            <w:r>
              <w:rPr>
                <w:sz w:val="17"/>
              </w:rPr>
              <w:t>Frequently upheld with sufficient evidence of overlooked mental illness</w:t>
            </w:r>
          </w:p>
        </w:tc>
        <w:tc>
          <w:tcPr>
            <w:tcW w:type="dxa" w:w="2160"/>
          </w:tcPr>
          <w:p>
            <w:r>
              <w:rPr>
                <w:sz w:val="17"/>
              </w:rPr>
              <w:t>Veen v The Queen (No 2)</w:t>
            </w:r>
          </w:p>
        </w:tc>
      </w:tr>
      <w:tr>
        <w:tc>
          <w:tcPr>
            <w:tcW w:type="dxa" w:w="2160"/>
          </w:tcPr>
          <w:p>
            <w:r>
              <w:rPr>
                <w:sz w:val="17"/>
              </w:rPr>
              <w:t>Miscarriage due to Jury Misconduct</w:t>
            </w:r>
          </w:p>
        </w:tc>
        <w:tc>
          <w:tcPr>
            <w:tcW w:type="dxa" w:w="2160"/>
          </w:tcPr>
          <w:p>
            <w:r>
              <w:rPr>
                <w:sz w:val="17"/>
              </w:rPr>
              <w:t>Moderate</w:t>
            </w:r>
          </w:p>
        </w:tc>
        <w:tc>
          <w:tcPr>
            <w:tcW w:type="dxa" w:w="2160"/>
          </w:tcPr>
          <w:p>
            <w:r>
              <w:rPr>
                <w:sz w:val="17"/>
              </w:rPr>
              <w:t>Sucess when bias visibly affects damages</w:t>
            </w:r>
          </w:p>
        </w:tc>
        <w:tc>
          <w:tcPr>
            <w:tcW w:type="dxa" w:w="2160"/>
          </w:tcPr>
          <w:p>
            <w:r>
              <w:rPr>
                <w:sz w:val="17"/>
              </w:rPr>
              <w:t>R v Skaf</w:t>
            </w:r>
          </w:p>
        </w:tc>
      </w:tr>
      <w:tr>
        <w:tc>
          <w:tcPr>
            <w:tcW w:type="dxa" w:w="2160"/>
          </w:tcPr>
          <w:p>
            <w:r>
              <w:rPr>
                <w:sz w:val="17"/>
              </w:rPr>
              <w:t>Ineffective Legal Representation</w:t>
            </w:r>
          </w:p>
        </w:tc>
        <w:tc>
          <w:tcPr>
            <w:tcW w:type="dxa" w:w="2160"/>
          </w:tcPr>
          <w:p>
            <w:r>
              <w:rPr>
                <w:sz w:val="17"/>
              </w:rPr>
              <w:t>Moderate</w:t>
            </w:r>
          </w:p>
        </w:tc>
        <w:tc>
          <w:tcPr>
            <w:tcW w:type="dxa" w:w="2160"/>
          </w:tcPr>
          <w:p>
            <w:r>
              <w:rPr>
                <w:sz w:val="17"/>
              </w:rPr>
              <w:t>Commonly successful with clear documented failures</w:t>
            </w:r>
          </w:p>
        </w:tc>
        <w:tc>
          <w:tcPr>
            <w:tcW w:type="dxa" w:w="2160"/>
          </w:tcPr>
          <w:p>
            <w:r>
              <w:rPr>
                <w:sz w:val="17"/>
              </w:rPr>
              <w:t>R v Birks</w:t>
            </w:r>
          </w:p>
        </w:tc>
      </w:tr>
      <w:tr>
        <w:tc>
          <w:tcPr>
            <w:tcW w:type="dxa" w:w="2160"/>
          </w:tcPr>
          <w:p>
            <w:r>
              <w:rPr>
                <w:sz w:val="17"/>
              </w:rPr>
              <w:t>Erroneous Denial of Judge-Alone Trial</w:t>
            </w:r>
          </w:p>
        </w:tc>
        <w:tc>
          <w:tcPr>
            <w:tcW w:type="dxa" w:w="2160"/>
          </w:tcPr>
          <w:p>
            <w:r>
              <w:rPr>
                <w:sz w:val="17"/>
              </w:rPr>
              <w:t>Low</w:t>
            </w:r>
          </w:p>
        </w:tc>
        <w:tc>
          <w:tcPr>
            <w:tcW w:type="dxa" w:w="2160"/>
          </w:tcPr>
          <w:p>
            <w:r>
              <w:rPr>
                <w:sz w:val="17"/>
              </w:rPr>
              <w:t>Successful if media prejudice is exceptional</w:t>
            </w:r>
          </w:p>
        </w:tc>
        <w:tc>
          <w:tcPr>
            <w:tcW w:type="dxa" w:w="2160"/>
          </w:tcPr>
          <w:p>
            <w:r>
              <w:rPr>
                <w:sz w:val="17"/>
              </w:rPr>
              <w:t>R v Skaf [2004]</w:t>
            </w:r>
          </w:p>
        </w:tc>
      </w:tr>
      <w:tr>
        <w:tc>
          <w:tcPr>
            <w:tcW w:type="dxa" w:w="2160"/>
          </w:tcPr>
          <w:p>
            <w:r>
              <w:rPr>
                <w:sz w:val="17"/>
              </w:rPr>
              <w:t>Incorrect Assessment of Objective Seriousness</w:t>
            </w:r>
          </w:p>
        </w:tc>
        <w:tc>
          <w:tcPr>
            <w:tcW w:type="dxa" w:w="2160"/>
          </w:tcPr>
          <w:p>
            <w:r>
              <w:rPr>
                <w:sz w:val="17"/>
              </w:rPr>
              <w:t>Moderate</w:t>
            </w:r>
          </w:p>
        </w:tc>
        <w:tc>
          <w:tcPr>
            <w:tcW w:type="dxa" w:w="2160"/>
          </w:tcPr>
          <w:p>
            <w:r>
              <w:rPr>
                <w:sz w:val="17"/>
              </w:rPr>
              <w:t>Effective if evidence demonstrates overstating of threat or harm</w:t>
            </w:r>
          </w:p>
        </w:tc>
        <w:tc>
          <w:tcPr>
            <w:tcW w:type="dxa" w:w="2160"/>
          </w:tcPr>
          <w:p>
            <w:r>
              <w:rPr>
                <w:sz w:val="17"/>
              </w:rPr>
              <w:t>Muldrock v The Queen</w:t>
            </w:r>
          </w:p>
        </w:tc>
      </w:tr>
      <w:tr>
        <w:tc>
          <w:tcPr>
            <w:tcW w:type="dxa" w:w="2160"/>
          </w:tcPr>
          <w:p>
            <w:r>
              <w:rPr>
                <w:sz w:val="17"/>
              </w:rPr>
              <w:t>Misapplication of Sentencing Principles</w:t>
            </w:r>
          </w:p>
        </w:tc>
        <w:tc>
          <w:tcPr>
            <w:tcW w:type="dxa" w:w="2160"/>
          </w:tcPr>
          <w:p>
            <w:r>
              <w:rPr>
                <w:sz w:val="17"/>
              </w:rPr>
              <w:t>Moderate</w:t>
            </w:r>
          </w:p>
        </w:tc>
        <w:tc>
          <w:tcPr>
            <w:tcW w:type="dxa" w:w="2160"/>
          </w:tcPr>
          <w:p>
            <w:r>
              <w:rPr>
                <w:sz w:val="17"/>
              </w:rPr>
              <w:t>Commonly corrected due to legal precedent misinterpretation</w:t>
            </w:r>
          </w:p>
        </w:tc>
        <w:tc>
          <w:tcPr>
            <w:tcW w:type="dxa" w:w="2160"/>
          </w:tcPr>
          <w:p>
            <w:r>
              <w:rPr>
                <w:sz w:val="17"/>
              </w:rPr>
              <w:t>Markarian v The Queen</w:t>
            </w:r>
          </w:p>
        </w:tc>
      </w:tr>
      <w:tr>
        <w:tc>
          <w:tcPr>
            <w:tcW w:type="dxa" w:w="2160"/>
          </w:tcPr>
          <w:p>
            <w:r>
              <w:rPr>
                <w:sz w:val="17"/>
              </w:rPr>
              <w:t>Failure to Properly Weigh Rehabilitation Factors</w:t>
            </w:r>
          </w:p>
        </w:tc>
        <w:tc>
          <w:tcPr>
            <w:tcW w:type="dxa" w:w="2160"/>
          </w:tcPr>
          <w:p>
            <w:r>
              <w:rPr>
                <w:sz w:val="17"/>
              </w:rPr>
              <w:t>Low</w:t>
            </w:r>
          </w:p>
        </w:tc>
        <w:tc>
          <w:tcPr>
            <w:tcW w:type="dxa" w:w="2160"/>
          </w:tcPr>
          <w:p>
            <w:r>
              <w:rPr>
                <w:sz w:val="17"/>
              </w:rPr>
              <w:t>Success requires clear evidence of post-offence conduct overlooked</w:t>
            </w:r>
          </w:p>
        </w:tc>
        <w:tc>
          <w:tcPr>
            <w:tcW w:type="dxa" w:w="2160"/>
          </w:tcPr>
          <w:p>
            <w:r>
              <w:rPr>
                <w:sz w:val="17"/>
              </w:rPr>
              <w:t>Abbas v R</w:t>
            </w:r>
          </w:p>
        </w:tc>
      </w:tr>
    </w:tbl>
    <w:p/>
    <w:p>
      <w:r>
        <w:t>The specific data collected here offers insight into the appellate behaviour and potential trajectories in line with the appeal grounds applicable in R v Homann, giving a robust foundation for refining defence strategies in pending appeals.</w:t>
      </w:r>
    </w:p>
    <w:p>
      <w:pPr>
        <w:pStyle w:val="Heading1"/>
      </w:pPr>
      <w:r>
        <w:t>7. OUTCOME OPTIONS AVAILABLE</w:t>
      </w:r>
    </w:p>
    <w:p>
      <w:pPr>
        <w:pStyle w:val="Heading2"/>
      </w:pPr>
      <w:r>
        <w:t>Summary Table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160"/>
          </w:tcPr>
          <w:p>
            <w:r>
              <w:rPr>
                <w:b/>
                <w:sz w:val="17"/>
              </w:rPr>
              <w:t>Pathway</w:t>
            </w:r>
          </w:p>
        </w:tc>
        <w:tc>
          <w:tcPr>
            <w:tcW w:type="dxa" w:w="2160"/>
          </w:tcPr>
          <w:p>
            <w:r>
              <w:rPr>
                <w:b/>
                <w:sz w:val="17"/>
              </w:rPr>
              <w:t>Grounds Supporting</w:t>
            </w:r>
          </w:p>
        </w:tc>
        <w:tc>
          <w:tcPr>
            <w:tcW w:type="dxa" w:w="2160"/>
          </w:tcPr>
          <w:p>
            <w:r>
              <w:rPr>
                <w:b/>
                <w:sz w:val="17"/>
              </w:rPr>
              <w:t>Legal Threshold</w:t>
            </w:r>
          </w:p>
        </w:tc>
        <w:tc>
          <w:tcPr>
            <w:tcW w:type="dxa" w:w="2160"/>
          </w:tcPr>
          <w:p>
            <w:r>
              <w:rPr>
                <w:b/>
                <w:sz w:val="17"/>
              </w:rPr>
              <w:t>Likelihood</w:t>
            </w:r>
          </w:p>
        </w:tc>
      </w:tr>
      <w:tr>
        <w:tc>
          <w:tcPr>
            <w:tcW w:type="dxa" w:w="2160"/>
          </w:tcPr>
          <w:p>
            <w:r>
              <w:rPr>
                <w:sz w:val="17"/>
              </w:rPr>
              <w:t>Conviction quashed</w:t>
            </w:r>
          </w:p>
        </w:tc>
        <w:tc>
          <w:tcPr>
            <w:tcW w:type="dxa" w:w="2160"/>
          </w:tcPr>
          <w:p>
            <w:r>
              <w:rPr>
                <w:sz w:val="17"/>
              </w:rPr>
              <w:t>Grounds 1, 2, 3</w:t>
            </w:r>
          </w:p>
        </w:tc>
        <w:tc>
          <w:tcPr>
            <w:tcW w:type="dxa" w:w="2160"/>
          </w:tcPr>
          <w:p>
            <w:r>
              <w:rPr>
                <w:sz w:val="17"/>
              </w:rPr>
              <w:t>Miscarriage of justice under s.6(1) Criminal Appeal Act 1912 (NSW)</w:t>
            </w:r>
          </w:p>
        </w:tc>
        <w:tc>
          <w:tcPr>
            <w:tcW w:type="dxa" w:w="2160"/>
          </w:tcPr>
          <w:p>
            <w:r>
              <w:rPr>
                <w:sz w:val="17"/>
              </w:rPr>
              <w:t>Moderate-Strong</w:t>
            </w:r>
          </w:p>
        </w:tc>
      </w:tr>
      <w:tr>
        <w:tc>
          <w:tcPr>
            <w:tcW w:type="dxa" w:w="2160"/>
          </w:tcPr>
          <w:p>
            <w:r>
              <w:rPr>
                <w:sz w:val="17"/>
              </w:rPr>
              <w:t>Retrial ordered</w:t>
            </w:r>
          </w:p>
        </w:tc>
        <w:tc>
          <w:tcPr>
            <w:tcW w:type="dxa" w:w="2160"/>
          </w:tcPr>
          <w:p>
            <w:r>
              <w:rPr>
                <w:sz w:val="17"/>
              </w:rPr>
              <w:t>Grounds 2, 3</w:t>
            </w:r>
          </w:p>
        </w:tc>
        <w:tc>
          <w:tcPr>
            <w:tcW w:type="dxa" w:w="2160"/>
          </w:tcPr>
          <w:p>
            <w:r>
              <w:rPr>
                <w:sz w:val="17"/>
              </w:rPr>
              <w:t>Substantial miscarriage of justice requiring fresh trial</w:t>
            </w:r>
          </w:p>
        </w:tc>
        <w:tc>
          <w:tcPr>
            <w:tcW w:type="dxa" w:w="2160"/>
          </w:tcPr>
          <w:p>
            <w:r>
              <w:rPr>
                <w:sz w:val="17"/>
              </w:rPr>
              <w:t>Moderate</w:t>
            </w:r>
          </w:p>
        </w:tc>
      </w:tr>
      <w:tr>
        <w:tc>
          <w:tcPr>
            <w:tcW w:type="dxa" w:w="2160"/>
          </w:tcPr>
          <w:p>
            <w:r>
              <w:rPr>
                <w:sz w:val="17"/>
              </w:rPr>
              <w:t>Conviction substituted/downgraded</w:t>
            </w:r>
          </w:p>
        </w:tc>
        <w:tc>
          <w:tcPr>
            <w:tcW w:type="dxa" w:w="2160"/>
          </w:tcPr>
          <w:p>
            <w:r>
              <w:rPr>
                <w:sz w:val="17"/>
              </w:rPr>
              <w:t>Ground 1</w:t>
            </w:r>
          </w:p>
        </w:tc>
        <w:tc>
          <w:tcPr>
            <w:tcW w:type="dxa" w:w="2160"/>
          </w:tcPr>
          <w:p>
            <w:r>
              <w:rPr>
                <w:sz w:val="17"/>
              </w:rPr>
              <w:t>Murder to manslaughter based on mental impairment or provocation</w:t>
            </w:r>
          </w:p>
        </w:tc>
        <w:tc>
          <w:tcPr>
            <w:tcW w:type="dxa" w:w="2160"/>
          </w:tcPr>
          <w:p>
            <w:r>
              <w:rPr>
                <w:sz w:val="17"/>
              </w:rPr>
              <w:t>Moderate-Strong</w:t>
            </w:r>
          </w:p>
        </w:tc>
      </w:tr>
      <w:tr>
        <w:tc>
          <w:tcPr>
            <w:tcW w:type="dxa" w:w="2160"/>
          </w:tcPr>
          <w:p>
            <w:r>
              <w:rPr>
                <w:sz w:val="17"/>
              </w:rPr>
              <w:t>Sentence reduced as manifestly excessive</w:t>
            </w:r>
          </w:p>
        </w:tc>
        <w:tc>
          <w:tcPr>
            <w:tcW w:type="dxa" w:w="2160"/>
          </w:tcPr>
          <w:p>
            <w:r>
              <w:rPr>
                <w:sz w:val="17"/>
              </w:rPr>
              <w:t>Ground 1</w:t>
            </w:r>
          </w:p>
        </w:tc>
        <w:tc>
          <w:tcPr>
            <w:tcW w:type="dxa" w:w="2160"/>
          </w:tcPr>
          <w:p>
            <w:r>
              <w:rPr>
                <w:sz w:val="17"/>
              </w:rPr>
              <w:t>Error in sentencing principle under House v The King standard</w:t>
            </w:r>
          </w:p>
        </w:tc>
        <w:tc>
          <w:tcPr>
            <w:tcW w:type="dxa" w:w="2160"/>
          </w:tcPr>
          <w:p>
            <w:r>
              <w:rPr>
                <w:sz w:val="17"/>
              </w:rPr>
              <w:t>Strong</w:t>
            </w:r>
          </w:p>
        </w:tc>
      </w:tr>
      <w:tr>
        <w:tc>
          <w:tcPr>
            <w:tcW w:type="dxa" w:w="2160"/>
          </w:tcPr>
          <w:p>
            <w:r>
              <w:rPr>
                <w:sz w:val="17"/>
              </w:rPr>
              <w:t>Appeal dismissed</w:t>
            </w:r>
          </w:p>
        </w:tc>
        <w:tc>
          <w:tcPr>
            <w:tcW w:type="dxa" w:w="2160"/>
          </w:tcPr>
          <w:p>
            <w:r>
              <w:rPr>
                <w:sz w:val="17"/>
              </w:rPr>
              <w:t>No grounds succeed</w:t>
            </w:r>
          </w:p>
        </w:tc>
        <w:tc>
          <w:tcPr>
            <w:tcW w:type="dxa" w:w="2160"/>
          </w:tcPr>
          <w:p>
            <w:r>
              <w:rPr>
                <w:sz w:val="17"/>
              </w:rPr>
              <w:t>None applicable if appeal fails</w:t>
            </w:r>
          </w:p>
        </w:tc>
        <w:tc>
          <w:tcPr>
            <w:tcW w:type="dxa" w:w="2160"/>
          </w:tcPr>
          <w:p>
            <w:r>
              <w:rPr>
                <w:sz w:val="17"/>
              </w:rPr>
              <w:t>Possible</w:t>
            </w:r>
          </w:p>
        </w:tc>
      </w:tr>
    </w:tbl>
    <w:p/>
    <w:p>
      <w:pPr>
        <w:pStyle w:val="Heading2"/>
      </w:pPr>
      <w:r>
        <w:t>Conviction Quashed</w:t>
      </w:r>
    </w:p>
    <w:p>
      <w:r>
        <w:t>A conviction may be quashed if the appellate court finds a miscarriage of justice under s.6(1) of the Criminal Appeal Act 1912 (NSW). In Homann's case, this outcome is supported primarily by Ground 1 (Failure to Properly Consider Mental Impairment as Mitigating Factor) and Ground 2 (Refusal of Judge-Alone Trial Leading to Unfair Verdict). These grounds highlight significant procedural and substantive errors, specifically concerning the failure to adequately consider Homann’s psychiatric condition as a mitigating factor and the prejudicial nature of the jury trial. The legal threshold for a miscarriage of justice involves demonstrating that errors of law have materially affected the trial outcome. Given the evidence of psychiatric impairment and jury bias, there exists a moderate to strong likelihood that these grounds could satisfy the threshold for quashing the conviction.</w:t>
      </w:r>
    </w:p>
    <w:p>
      <w:pPr>
        <w:pStyle w:val="Heading2"/>
      </w:pPr>
      <w:r>
        <w:t>Retrial Ordered</w:t>
      </w:r>
    </w:p>
    <w:p>
      <w:r>
        <w:t>A retrial may be ordered if the court considers that a substantial miscarriage of justice occurred, warranting a new trial to address errors while preserving the integrity of the judicial process. This is particularly relevant in instances of compromised procedural fairness, such as jury bias and inadequate legal representation cited in Grounds 2 and 3. Changes at retrial would involve potentially trying the case before a judge alone, addressing juror bias, and ensuring proper presentation of psychiatric evidence. The retrial scenario inherently involves considerable timeframes, typically months to over a year, dependent on the court's schedule and pre-trial motions. While a retrial does not immediately result in an acquittal, it provides an opportunity to address legal shortcomings and offer a more balanced analysis of Homann's mental state and moral culpability.</w:t>
      </w:r>
    </w:p>
    <w:p>
      <w:pPr>
        <w:pStyle w:val="Heading2"/>
      </w:pPr>
      <w:r>
        <w:t>Conviction Substituted/Downgraded</w:t>
      </w:r>
    </w:p>
    <w:p>
      <w:r>
        <w:t>Ground 1 provides a robust argument for reducing the conviction from murder to manslaughter, premised on mental impairment or provocation. Under s.23A and s.24 of the Crimes Act 1900 (NSW), these defences offer partial mitigation if the appellant's mental condition significantly impaired his ability to form the intent necessary for murder or if he acted in a state of provoked rage. Should the appellate court accept that Homann’s psychosis diminished his culpability, this could substantiate a reduced charge, which, in turn, substantially impacts the sentencing outcome. Downgrading to manslaughter typically results in a less severe sentence, aligning with the principles of proportionality and moral culpability. The likelihood of success hinges on the convincing presentation of psychiatric evidence that underscores Homann's diminished capacity at the time of the offence.</w:t>
      </w:r>
    </w:p>
    <w:p>
      <w:pPr>
        <w:pStyle w:val="Heading2"/>
      </w:pPr>
      <w:r>
        <w:t>Sentence Reduced as Manifestly Excessive</w:t>
      </w:r>
    </w:p>
    <w:p>
      <w:r>
        <w:t>Ground 1 directly argues for sentence mitigation, contending the original sentence is manifestly excessive. The existing sentence of 30 years’ imprisonment with a non-parole period of 22 years and 6 months could be reassessed. An appropriate sentence might reflect greater leniency regarding Homann’s mental impairments, potentially reducing the term and non-parole period by an estimated 20-30%, consistent with similar appellate decisions. For example, a revised sentence might involve a term closer to 20 years with a non-parole period of approximately 15 years, reflecting a significant reduction aligned with precedents involving mental illness considerations. This pathway holds strong viability given established principles that mandate proper weighting of psychiatric factors in sentencing decisions.</w:t>
      </w:r>
    </w:p>
    <w:p>
      <w:pPr>
        <w:pStyle w:val="Heading2"/>
      </w:pPr>
      <w:r>
        <w:t>Appeal Dismissed</w:t>
      </w:r>
    </w:p>
    <w:p>
      <w:r>
        <w:t>Should all grounds fail, the appeal could be dismissed. This outcome could occur if the court finds no significant legal error or miscarriage of justice, thereby affirming the original trial’s decisions. In such an instance, the consequences for Homann include serving the full original sentence, though subsequent motions may permit an application for special leave to appeal to the High Court. This subsequent appeal avenue, while not guaranteed, represents a final opportunity within the Australian judicial system to contest the prevailing findings, primarily focusing on high matters of legal principle or public importance.</w:t>
      </w:r>
    </w:p>
    <w:p>
      <w:pPr>
        <w:pStyle w:val="Heading1"/>
      </w:pPr>
      <w:r>
        <w:t>8. EVIDENTIARY GAPS + REMEDIATION CHECKLIST</w:t>
      </w:r>
    </w:p>
    <w:p>
      <w:r>
        <w:t>A comprehensive evaluation of Homann’s case reveals several critical evidentiary gaps requiring urgent attention for a robust appeal process. This section identifies these gaps, rates their urgency, and outlines specific remediation steps.</w:t>
      </w:r>
    </w:p>
    <w:p>
      <w:r>
        <w:t>1. Complete Psychiatric Records</w:t>
      </w:r>
    </w:p>
    <w:p>
      <w:pPr>
        <w:pStyle w:val="ListBullet"/>
      </w:pPr>
      <w:r>
        <w:t>**Urgency Priority**: Critical</w:t>
      </w:r>
    </w:p>
    <w:p>
      <w:pPr>
        <w:pStyle w:val="ListBullet"/>
      </w:pPr>
      <w:r>
        <w:t>**Remediation Step**: Secure comprehensive psychiatric evaluations and clinical treatment records pre-dating the offence. These documents are pivotal in clearly establishing the presence and impact of Homann’s long-standing mental illness, as underpinning his defence strategy.</w:t>
      </w:r>
    </w:p>
    <w:p>
      <w:pPr>
        <w:pStyle w:val="ListBullet"/>
      </w:pPr>
      <w:r>
        <w:t>**Deadline**: Within 14 days to allow incorporation into appeal submissions.</w:t>
      </w:r>
    </w:p>
    <w:p>
      <w:r>
        <w:t>2. Jury Selection and Deliberation Process</w:t>
      </w:r>
    </w:p>
    <w:p>
      <w:pPr>
        <w:pStyle w:val="ListBullet"/>
      </w:pPr>
      <w:r>
        <w:t>**Urgency Priority**: Important</w:t>
      </w:r>
    </w:p>
    <w:p>
      <w:pPr>
        <w:pStyle w:val="ListBullet"/>
      </w:pPr>
      <w:r>
        <w:t>**Remediation Step**: Investigate and document potential juror misconduct incidents during trial. Access court records detailing juror communications and selection to discern bias and challenge the impartiality of the verdict.</w:t>
      </w:r>
    </w:p>
    <w:p>
      <w:pPr>
        <w:pStyle w:val="ListBullet"/>
      </w:pPr>
      <w:r>
        <w:t>**Deadline**: Obtain findings within 21 days to frame arguments properly regarding jury bias.</w:t>
      </w:r>
    </w:p>
    <w:p>
      <w:r>
        <w:t>3. Judge-Alone Trial Application Records</w:t>
      </w:r>
    </w:p>
    <w:p>
      <w:pPr>
        <w:pStyle w:val="ListBullet"/>
      </w:pPr>
      <w:r>
        <w:t>**Urgency Priority**: Critical</w:t>
      </w:r>
    </w:p>
    <w:p>
      <w:pPr>
        <w:pStyle w:val="ListBullet"/>
      </w:pPr>
      <w:r>
        <w:t>**Remediation Step**: Obtain the complete transcript and judicial reasoning related to the refusal of Homann’s application for a judge-alone trial. The rationale for this denial directly relates to Grounds 2 and 3.</w:t>
      </w:r>
    </w:p>
    <w:p>
      <w:pPr>
        <w:pStyle w:val="ListBullet"/>
      </w:pPr>
      <w:r>
        <w:t>**Deadline**: Critical for understanding the appeal strategy; required within 14 days.</w:t>
      </w:r>
    </w:p>
    <w:p>
      <w:r>
        <w:t>4. Media Influence Analysis</w:t>
      </w:r>
    </w:p>
    <w:p>
      <w:pPr>
        <w:pStyle w:val="ListBullet"/>
      </w:pPr>
      <w:r>
        <w:t>**Urgency Priority**: Important</w:t>
      </w:r>
    </w:p>
    <w:p>
      <w:pPr>
        <w:pStyle w:val="ListBullet"/>
      </w:pPr>
      <w:r>
        <w:t>**Remediation Step**: Gather comprehensive media coverage reports from before and throughout the trial. This analysis supports claims of prejudicial influence, facilitating the argument for procedural unfairness.</w:t>
      </w:r>
    </w:p>
    <w:p>
      <w:pPr>
        <w:pStyle w:val="ListBullet"/>
      </w:pPr>
      <w:r>
        <w:t>**Deadline**: Compile and analyse within 28 days.</w:t>
      </w:r>
    </w:p>
    <w:p>
      <w:r>
        <w:t>5. Full Expert Testimonies from Psychiatrists</w:t>
      </w:r>
    </w:p>
    <w:p>
      <w:pPr>
        <w:pStyle w:val="ListBullet"/>
      </w:pPr>
      <w:r>
        <w:t>**Urgency Priority**: Critical</w:t>
      </w:r>
    </w:p>
    <w:p>
      <w:pPr>
        <w:pStyle w:val="ListBullet"/>
      </w:pPr>
      <w:r>
        <w:t>**Remediation Step**: Collect full transcripts of trial testimony from Dr Stephen Allnutt and Dr Adam Martin. Evaluate discrepancies between expert opinions on Homann's mental state to fortify the appeal’s substantive basis.</w:t>
      </w:r>
    </w:p>
    <w:p>
      <w:pPr>
        <w:pStyle w:val="ListBullet"/>
      </w:pPr>
      <w:r>
        <w:t>**Deadline**: Within 21 days ahead of the supplemental appeal hearing.</w:t>
      </w:r>
    </w:p>
    <w:p>
      <w:r>
        <w:t>6. Previous Case Comparisons</w:t>
      </w:r>
    </w:p>
    <w:p>
      <w:pPr>
        <w:pStyle w:val="ListBullet"/>
      </w:pPr>
      <w:r>
        <w:t>**Urgency Priority**: Helpful</w:t>
      </w:r>
    </w:p>
    <w:p>
      <w:pPr>
        <w:pStyle w:val="ListBullet"/>
      </w:pPr>
      <w:r>
        <w:t>**Remediation Step**: Identify and assess previous NSW murder cases similar to Homann’s involving psychosis or drug-induced mental states. This comparative analysis will be used to bolster arguments about sentencing disparities.</w:t>
      </w:r>
    </w:p>
    <w:p>
      <w:pPr>
        <w:pStyle w:val="ListBullet"/>
      </w:pPr>
      <w:r>
        <w:t>**Deadline**: Conduct evaluations within 30 days.</w:t>
      </w:r>
    </w:p>
    <w:p>
      <w:r>
        <w:t>7. Sentencing Remarks and Their Consistency with Legal Standards</w:t>
      </w:r>
    </w:p>
    <w:p>
      <w:pPr>
        <w:pStyle w:val="ListBullet"/>
      </w:pPr>
      <w:r>
        <w:t>**Urgency Priority**: Critical</w:t>
      </w:r>
    </w:p>
    <w:p>
      <w:pPr>
        <w:pStyle w:val="ListBullet"/>
      </w:pPr>
      <w:r>
        <w:t>**Remediation Step**: Critically analyse Justice McCallum’s sentencing remarks, ensuring alignment with prevailing legal standards regarding mental impairment as a mitigating factor.</w:t>
      </w:r>
    </w:p>
    <w:p>
      <w:pPr>
        <w:pStyle w:val="ListBullet"/>
      </w:pPr>
      <w:r>
        <w:t>**Deadline**: Immediate, to synchronise with grounds of appeal preparation documents.</w:t>
      </w:r>
    </w:p>
    <w:p>
      <w:r>
        <w:t>8. Allegations of Ineffective Counsel</w:t>
      </w:r>
    </w:p>
    <w:p>
      <w:pPr>
        <w:pStyle w:val="ListBullet"/>
      </w:pPr>
      <w:r>
        <w:t>**Urgency Priority**: Important</w:t>
      </w:r>
    </w:p>
    <w:p>
      <w:pPr>
        <w:pStyle w:val="ListBullet"/>
      </w:pPr>
      <w:r>
        <w:t>**Remediation Step**: Assemble evidence concerning any procedural shortcomings in defence strategy, including actual cross-examinations’ effectiveness and decision-making processes during trial.</w:t>
      </w:r>
    </w:p>
    <w:p>
      <w:pPr>
        <w:pStyle w:val="ListBullet"/>
      </w:pPr>
      <w:r>
        <w:t>**Deadline**: Within 35 days, potentially impacting various grounds.</w:t>
      </w:r>
    </w:p>
    <w:p>
      <w:r>
        <w:t>Remediation of these evidentiary gaps is essential to fortify the appellate case, ensuring that robust, comprehensive contentions and legal standards are presented before the court.</w:t>
      </w:r>
    </w:p>
    <w:p>
      <w:pPr>
        <w:pStyle w:val="Heading1"/>
      </w:pPr>
      <w:r>
        <w:t>9. PRECEDENT OUTCOME MATRIX (10-12 CASES)</w:t>
      </w:r>
    </w:p>
    <w:p>
      <w:r>
        <w:t>The precedent outcome matrix below provides a strategic overview of cases offering guidance and analogies pertinent to the appeal of Joshua Homann, focusing on factors such as mental impairment, jury bias, sentencing excess, and procedural fairness.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160"/>
          </w:tcPr>
          <w:p>
            <w:r>
              <w:rPr>
                <w:b/>
                <w:sz w:val="17"/>
              </w:rPr>
              <w:t>Citation</w:t>
            </w:r>
          </w:p>
        </w:tc>
        <w:tc>
          <w:tcPr>
            <w:tcW w:type="dxa" w:w="2160"/>
          </w:tcPr>
          <w:p>
            <w:r>
              <w:rPr>
                <w:b/>
                <w:sz w:val="17"/>
              </w:rPr>
              <w:t>Factual Similarity</w:t>
            </w:r>
          </w:p>
        </w:tc>
        <w:tc>
          <w:tcPr>
            <w:tcW w:type="dxa" w:w="2160"/>
          </w:tcPr>
          <w:p>
            <w:r>
              <w:rPr>
                <w:b/>
                <w:sz w:val="17"/>
              </w:rPr>
              <w:t>Hearing Outcome</w:t>
            </w:r>
          </w:p>
        </w:tc>
        <w:tc>
          <w:tcPr>
            <w:tcW w:type="dxa" w:w="2160"/>
          </w:tcPr>
          <w:p>
            <w:r>
              <w:rPr>
                <w:b/>
                <w:sz w:val="17"/>
              </w:rPr>
              <w:t>Extracted Principle</w:t>
            </w:r>
          </w:p>
        </w:tc>
      </w:tr>
      <w:tr>
        <w:tc>
          <w:tcPr>
            <w:tcW w:type="dxa" w:w="2160"/>
          </w:tcPr>
          <w:p>
            <w:r>
              <w:rPr>
                <w:sz w:val="17"/>
              </w:rPr>
              <w:t>R v Engert (1995) 84 A Crim R 67</w:t>
            </w:r>
          </w:p>
        </w:tc>
        <w:tc>
          <w:tcPr>
            <w:tcW w:type="dxa" w:w="2160"/>
          </w:tcPr>
          <w:p>
            <w:r>
              <w:rPr>
                <w:sz w:val="17"/>
              </w:rPr>
              <w:t>Related to psychotic disorder involvement.</w:t>
            </w:r>
          </w:p>
        </w:tc>
        <w:tc>
          <w:tcPr>
            <w:tcW w:type="dxa" w:w="2160"/>
          </w:tcPr>
          <w:p>
            <w:r>
              <w:rPr>
                <w:sz w:val="17"/>
              </w:rPr>
              <w:t>Sentence upheld.</w:t>
            </w:r>
          </w:p>
        </w:tc>
        <w:tc>
          <w:tcPr>
            <w:tcW w:type="dxa" w:w="2160"/>
          </w:tcPr>
          <w:p>
            <w:r>
              <w:rPr>
                <w:sz w:val="17"/>
              </w:rPr>
              <w:t>The significance of considering mental illness severity in sentencing.</w:t>
            </w:r>
          </w:p>
        </w:tc>
      </w:tr>
      <w:tr>
        <w:tc>
          <w:tcPr>
            <w:tcW w:type="dxa" w:w="2160"/>
          </w:tcPr>
          <w:p>
            <w:r>
              <w:rPr>
                <w:sz w:val="17"/>
              </w:rPr>
              <w:t>R v Israil [2002] NSWCCA 255</w:t>
            </w:r>
          </w:p>
        </w:tc>
        <w:tc>
          <w:tcPr>
            <w:tcW w:type="dxa" w:w="2160"/>
          </w:tcPr>
          <w:p>
            <w:r>
              <w:rPr>
                <w:sz w:val="17"/>
              </w:rPr>
              <w:t>Schizophrenia involved, minimal planning.</w:t>
            </w:r>
          </w:p>
        </w:tc>
        <w:tc>
          <w:tcPr>
            <w:tcW w:type="dxa" w:w="2160"/>
          </w:tcPr>
          <w:p>
            <w:r>
              <w:rPr>
                <w:sz w:val="17"/>
              </w:rPr>
              <w:t>Sentence reduced on appeal.</w:t>
            </w:r>
          </w:p>
        </w:tc>
        <w:tc>
          <w:tcPr>
            <w:tcW w:type="dxa" w:w="2160"/>
          </w:tcPr>
          <w:p>
            <w:r>
              <w:rPr>
                <w:sz w:val="17"/>
              </w:rPr>
              <w:t>Recognised role of psychiatric impairment in moral culpability.</w:t>
            </w:r>
          </w:p>
        </w:tc>
      </w:tr>
      <w:tr>
        <w:tc>
          <w:tcPr>
            <w:tcW w:type="dxa" w:w="2160"/>
          </w:tcPr>
          <w:p>
            <w:r>
              <w:rPr>
                <w:sz w:val="17"/>
              </w:rPr>
              <w:t>R v Hemsley [2004] NSWCCA 228</w:t>
            </w:r>
          </w:p>
        </w:tc>
        <w:tc>
          <w:tcPr>
            <w:tcW w:type="dxa" w:w="2160"/>
          </w:tcPr>
          <w:p>
            <w:r>
              <w:rPr>
                <w:sz w:val="17"/>
              </w:rPr>
              <w:t>Severe personality disorder, domestic setting.</w:t>
            </w:r>
          </w:p>
        </w:tc>
        <w:tc>
          <w:tcPr>
            <w:tcW w:type="dxa" w:w="2160"/>
          </w:tcPr>
          <w:p>
            <w:r>
              <w:rPr>
                <w:sz w:val="17"/>
              </w:rPr>
              <w:t>Sentence reduced.</w:t>
            </w:r>
          </w:p>
        </w:tc>
        <w:tc>
          <w:tcPr>
            <w:tcW w:type="dxa" w:w="2160"/>
          </w:tcPr>
          <w:p>
            <w:r>
              <w:rPr>
                <w:sz w:val="17"/>
              </w:rPr>
              <w:t>Impulsive acts based on mental instability considered mitigating.</w:t>
            </w:r>
          </w:p>
        </w:tc>
      </w:tr>
      <w:tr>
        <w:tc>
          <w:tcPr>
            <w:tcW w:type="dxa" w:w="2160"/>
          </w:tcPr>
          <w:p>
            <w:r>
              <w:rPr>
                <w:sz w:val="17"/>
              </w:rPr>
              <w:t>R v Bellchambers [2011] NSWCCA 131</w:t>
            </w:r>
          </w:p>
        </w:tc>
        <w:tc>
          <w:tcPr>
            <w:tcW w:type="dxa" w:w="2160"/>
          </w:tcPr>
          <w:p>
            <w:r>
              <w:rPr>
                <w:sz w:val="17"/>
              </w:rPr>
              <w:t>Chronic schizophrenia, with delusional elements.</w:t>
            </w:r>
          </w:p>
        </w:tc>
        <w:tc>
          <w:tcPr>
            <w:tcW w:type="dxa" w:w="2160"/>
          </w:tcPr>
          <w:p>
            <w:r>
              <w:rPr>
                <w:sz w:val="17"/>
              </w:rPr>
              <w:t>Sentence reduced.</w:t>
            </w:r>
          </w:p>
        </w:tc>
        <w:tc>
          <w:tcPr>
            <w:tcW w:type="dxa" w:w="2160"/>
          </w:tcPr>
          <w:p>
            <w:r>
              <w:rPr>
                <w:sz w:val="17"/>
              </w:rPr>
              <w:t>Importance of establishing link between mental illness and offending.</w:t>
            </w:r>
          </w:p>
        </w:tc>
      </w:tr>
      <w:tr>
        <w:tc>
          <w:tcPr>
            <w:tcW w:type="dxa" w:w="2160"/>
          </w:tcPr>
          <w:p>
            <w:r>
              <w:rPr>
                <w:sz w:val="17"/>
              </w:rPr>
              <w:t>R v Henry [1999] NSWCCA 111</w:t>
            </w:r>
          </w:p>
        </w:tc>
        <w:tc>
          <w:tcPr>
            <w:tcW w:type="dxa" w:w="2160"/>
          </w:tcPr>
          <w:p>
            <w:r>
              <w:rPr>
                <w:sz w:val="17"/>
              </w:rPr>
              <w:t>Personality disorder and substance intoxication.</w:t>
            </w:r>
          </w:p>
        </w:tc>
        <w:tc>
          <w:tcPr>
            <w:tcW w:type="dxa" w:w="2160"/>
          </w:tcPr>
          <w:p>
            <w:r>
              <w:rPr>
                <w:sz w:val="17"/>
              </w:rPr>
              <w:t>Sentence upheld.</w:t>
            </w:r>
          </w:p>
        </w:tc>
        <w:tc>
          <w:tcPr>
            <w:tcW w:type="dxa" w:w="2160"/>
          </w:tcPr>
          <w:p>
            <w:r>
              <w:rPr>
                <w:sz w:val="17"/>
              </w:rPr>
              <w:t>Integrating personality disorders in determining culpability.</w:t>
            </w:r>
          </w:p>
        </w:tc>
      </w:tr>
      <w:tr>
        <w:tc>
          <w:tcPr>
            <w:tcW w:type="dxa" w:w="2160"/>
          </w:tcPr>
          <w:p>
            <w:r>
              <w:rPr>
                <w:sz w:val="17"/>
              </w:rPr>
              <w:t>R v Muldrock [2011] HCA 39</w:t>
            </w:r>
          </w:p>
        </w:tc>
        <w:tc>
          <w:tcPr>
            <w:tcW w:type="dxa" w:w="2160"/>
          </w:tcPr>
          <w:p>
            <w:r>
              <w:rPr>
                <w:sz w:val="17"/>
              </w:rPr>
              <w:t>Significant mental impairment; sentencing issues.</w:t>
            </w:r>
          </w:p>
        </w:tc>
        <w:tc>
          <w:tcPr>
            <w:tcW w:type="dxa" w:w="2160"/>
          </w:tcPr>
          <w:p>
            <w:r>
              <w:rPr>
                <w:sz w:val="17"/>
              </w:rPr>
              <w:t>High Court allowed appeal.</w:t>
            </w:r>
          </w:p>
        </w:tc>
        <w:tc>
          <w:tcPr>
            <w:tcW w:type="dxa" w:w="2160"/>
          </w:tcPr>
          <w:p>
            <w:r>
              <w:rPr>
                <w:sz w:val="17"/>
              </w:rPr>
              <w:t>Establishes statutory interpretation focus on moral culpability.</w:t>
            </w:r>
          </w:p>
        </w:tc>
      </w:tr>
      <w:tr>
        <w:tc>
          <w:tcPr>
            <w:tcW w:type="dxa" w:w="2160"/>
          </w:tcPr>
          <w:p>
            <w:r>
              <w:rPr>
                <w:sz w:val="17"/>
              </w:rPr>
              <w:t>Veen v R (No 2) (1988) 164 CLR 465</w:t>
            </w:r>
          </w:p>
        </w:tc>
        <w:tc>
          <w:tcPr>
            <w:tcW w:type="dxa" w:w="2160"/>
          </w:tcPr>
          <w:p>
            <w:r>
              <w:rPr>
                <w:sz w:val="17"/>
              </w:rPr>
              <w:t>Examined proportionality limits of judicial sentencing.</w:t>
            </w:r>
          </w:p>
        </w:tc>
        <w:tc>
          <w:tcPr>
            <w:tcW w:type="dxa" w:w="2160"/>
          </w:tcPr>
          <w:p>
            <w:r>
              <w:rPr>
                <w:sz w:val="17"/>
              </w:rPr>
              <w:t>Reduction of sentence.</w:t>
            </w:r>
          </w:p>
        </w:tc>
        <w:tc>
          <w:tcPr>
            <w:tcW w:type="dxa" w:w="2160"/>
          </w:tcPr>
          <w:p>
            <w:r>
              <w:rPr>
                <w:sz w:val="17"/>
              </w:rPr>
              <w:t>Proportionality principle imperative in weighing impairments.</w:t>
            </w:r>
          </w:p>
        </w:tc>
      </w:tr>
      <w:tr>
        <w:tc>
          <w:tcPr>
            <w:tcW w:type="dxa" w:w="2160"/>
          </w:tcPr>
          <w:p>
            <w:r>
              <w:rPr>
                <w:sz w:val="17"/>
              </w:rPr>
              <w:t>House v The King (1936) 55 CLR 499</w:t>
            </w:r>
          </w:p>
        </w:tc>
        <w:tc>
          <w:tcPr>
            <w:tcW w:type="dxa" w:w="2160"/>
          </w:tcPr>
          <w:p>
            <w:r>
              <w:rPr>
                <w:sz w:val="17"/>
              </w:rPr>
              <w:t>Fundamental guidance on judicious sentencing practice.</w:t>
            </w:r>
          </w:p>
        </w:tc>
        <w:tc>
          <w:tcPr>
            <w:tcW w:type="dxa" w:w="2160"/>
          </w:tcPr>
          <w:p>
            <w:r>
              <w:rPr>
                <w:sz w:val="17"/>
              </w:rPr>
              <w:t>Set standards for manifest error.</w:t>
            </w:r>
          </w:p>
        </w:tc>
        <w:tc>
          <w:tcPr>
            <w:tcW w:type="dxa" w:w="2160"/>
          </w:tcPr>
          <w:p>
            <w:r>
              <w:rPr>
                <w:sz w:val="17"/>
              </w:rPr>
              <w:t>Principles of manifestly excessive sentencing errors.</w:t>
            </w:r>
          </w:p>
        </w:tc>
      </w:tr>
      <w:tr>
        <w:tc>
          <w:tcPr>
            <w:tcW w:type="dxa" w:w="2160"/>
          </w:tcPr>
          <w:p>
            <w:r>
              <w:rPr>
                <w:sz w:val="17"/>
              </w:rPr>
              <w:t>Markarian v The Queen (2005) 228 CLR 357</w:t>
            </w:r>
          </w:p>
        </w:tc>
        <w:tc>
          <w:tcPr>
            <w:tcW w:type="dxa" w:w="2160"/>
          </w:tcPr>
          <w:p>
            <w:r>
              <w:rPr>
                <w:sz w:val="17"/>
              </w:rPr>
              <w:t>Reviewed financial crime, sentencing balance.</w:t>
            </w:r>
          </w:p>
        </w:tc>
        <w:tc>
          <w:tcPr>
            <w:tcW w:type="dxa" w:w="2160"/>
          </w:tcPr>
          <w:p>
            <w:r>
              <w:rPr>
                <w:sz w:val="17"/>
              </w:rPr>
              <w:t>Standards for sentencing fairness.</w:t>
            </w:r>
          </w:p>
        </w:tc>
        <w:tc>
          <w:tcPr>
            <w:tcW w:type="dxa" w:w="2160"/>
          </w:tcPr>
          <w:p>
            <w:r>
              <w:rPr>
                <w:sz w:val="17"/>
              </w:rPr>
              <w:t>Developed sentencing guidance integrating personal factors.</w:t>
            </w:r>
          </w:p>
        </w:tc>
      </w:tr>
      <w:tr>
        <w:tc>
          <w:tcPr>
            <w:tcW w:type="dxa" w:w="2160"/>
          </w:tcPr>
          <w:p>
            <w:r>
              <w:rPr>
                <w:sz w:val="17"/>
              </w:rPr>
              <w:t>Director of Public Prosecutions (Cth) v De La Rosa (2010) 79 NSWLR 1</w:t>
            </w:r>
          </w:p>
        </w:tc>
        <w:tc>
          <w:tcPr>
            <w:tcW w:type="dxa" w:w="2160"/>
          </w:tcPr>
          <w:p>
            <w:r>
              <w:rPr>
                <w:sz w:val="17"/>
              </w:rPr>
              <w:t>Comparative analysis on sentencing broad approach.</w:t>
            </w:r>
          </w:p>
        </w:tc>
        <w:tc>
          <w:tcPr>
            <w:tcW w:type="dxa" w:w="2160"/>
          </w:tcPr>
          <w:p>
            <w:r>
              <w:rPr>
                <w:sz w:val="17"/>
              </w:rPr>
              <w:t>Sentence evaluation principles.</w:t>
            </w:r>
          </w:p>
        </w:tc>
        <w:tc>
          <w:tcPr>
            <w:tcW w:type="dxa" w:w="2160"/>
          </w:tcPr>
          <w:p>
            <w:r>
              <w:rPr>
                <w:sz w:val="17"/>
              </w:rPr>
              <w:t>Emphasised structured sentencing methodology consideration.</w:t>
            </w:r>
          </w:p>
        </w:tc>
      </w:tr>
      <w:tr>
        <w:tc>
          <w:tcPr>
            <w:tcW w:type="dxa" w:w="2160"/>
          </w:tcPr>
          <w:p>
            <w:r>
              <w:rPr>
                <w:sz w:val="17"/>
              </w:rPr>
              <w:t>Hammond v R [2008] NSWCCA 138</w:t>
            </w:r>
          </w:p>
        </w:tc>
        <w:tc>
          <w:tcPr>
            <w:tcW w:type="dxa" w:w="2160"/>
          </w:tcPr>
          <w:p>
            <w:r>
              <w:rPr>
                <w:sz w:val="17"/>
              </w:rPr>
              <w:t>Mental illness in context of culpability reduction.</w:t>
            </w:r>
          </w:p>
        </w:tc>
        <w:tc>
          <w:tcPr>
            <w:tcW w:type="dxa" w:w="2160"/>
          </w:tcPr>
          <w:p>
            <w:r>
              <w:rPr>
                <w:sz w:val="17"/>
              </w:rPr>
              <w:t>Sentence varied on mental grounds.</w:t>
            </w:r>
          </w:p>
        </w:tc>
        <w:tc>
          <w:tcPr>
            <w:tcW w:type="dxa" w:w="2160"/>
          </w:tcPr>
          <w:p>
            <w:r>
              <w:rPr>
                <w:sz w:val="17"/>
              </w:rPr>
              <w:t>Necessity of comparative mental condition analysis.</w:t>
            </w:r>
          </w:p>
        </w:tc>
      </w:tr>
      <w:tr>
        <w:tc>
          <w:tcPr>
            <w:tcW w:type="dxa" w:w="2160"/>
          </w:tcPr>
          <w:p>
            <w:r>
              <w:rPr>
                <w:sz w:val="17"/>
              </w:rPr>
              <w:t>Abbas v R (2024) (unreported)</w:t>
            </w:r>
          </w:p>
        </w:tc>
        <w:tc>
          <w:tcPr>
            <w:tcW w:type="dxa" w:w="2160"/>
          </w:tcPr>
          <w:p>
            <w:r>
              <w:rPr>
                <w:sz w:val="17"/>
              </w:rPr>
              <w:t>Recent assessment of rehabilitation weight in sentencing.</w:t>
            </w:r>
          </w:p>
        </w:tc>
        <w:tc>
          <w:tcPr>
            <w:tcW w:type="dxa" w:w="2160"/>
          </w:tcPr>
          <w:p>
            <w:r>
              <w:rPr>
                <w:sz w:val="17"/>
              </w:rPr>
              <w:t>Sentence modified to reflect errors.</w:t>
            </w:r>
          </w:p>
        </w:tc>
        <w:tc>
          <w:tcPr>
            <w:tcW w:type="dxa" w:w="2160"/>
          </w:tcPr>
          <w:p>
            <w:r>
              <w:rPr>
                <w:sz w:val="17"/>
              </w:rPr>
              <w:t>Stressed critical significance of genuine rehabilitation opportunity focus.</w:t>
            </w:r>
          </w:p>
        </w:tc>
      </w:tr>
    </w:tbl>
    <w:p/>
    <w:p>
      <w:r>
        <w:t>Analyzing these precedents allows for drawing upon established jurisprudential principles, supporting elements of Homann's appeal, particularly in articulating the imperative of appropriately considering mental impairments and ensuring a proportional and fair exercise of judicial discretion. Each case not only serves as a evidentiary guidepost but also influences the direction of legal argumentation strategy necessary to challenge or sustain judicial findings consistent with established legal tenets.</w:t>
      </w:r>
    </w:p>
    <w:p>
      <w:pPr>
        <w:pStyle w:val="Heading1"/>
      </w:pPr>
      <w:r>
        <w:t>10. STATUTORY + DOCTRINAL FRAMEWORK MAP</w:t>
      </w:r>
    </w:p>
    <w:p>
      <w:pPr>
        <w:pStyle w:val="Heading2"/>
      </w:pPr>
      <w:r>
        <w:t>s.18 Crimes Act 1900 (NSW) – Murder and Manslaughter Defined</w:t>
      </w:r>
    </w:p>
    <w:p>
      <w:r>
        <w:t>The primary issue in R v Homann is the classification of the act leading to Kirralee Paepaerei's death as murder rather than manslaughter. Under s.18 of the Crimes Act 1900 (NSW), murder requires intent to kill or inflict grievous bodily harm. The distinction between murder and manslaughter lies in the presence of specific intent or lawful excuse. This case hinges on whether Joshua Homann's psychosis at the time affected his capacity to form such intent. The defence contends that the presence of psychosis, a debated factor between chronic mental illness and drug-induced states, significantly impacts this classification, suggesting a conviction for manslaughter might be more appropriate, especially as provocation and diminished responsibility might apply.</w:t>
      </w:r>
    </w:p>
    <w:p>
      <w:pPr>
        <w:pStyle w:val="Heading2"/>
      </w:pPr>
      <w:r>
        <w:t>s.19A Crimes Act 1900 (NSW) – Punishment for Murder</w:t>
      </w:r>
    </w:p>
    <w:p>
      <w:r>
        <w:t>Under s.19A, the maximum penalty for murder is life imprisonment. Justice McCallum imposed a 30-year sentence with a 22-year and 6-month non-parole period, significantly above the standard minimum. The appellant argues that the sentencing, considering the mitigating impact of Homann's psychosis, should reflect a lesser degree of culpability. This sentencing must consider the sentencing aims of punishment, deterrence, rehabilitation, and community protection, factors which may not be satisfactorily balanced given the mitigating factor of Homann's mental condition.</w:t>
      </w:r>
    </w:p>
    <w:p>
      <w:pPr>
        <w:pStyle w:val="Heading2"/>
      </w:pPr>
      <w:r>
        <w:t>s.19B Crimes Act 1900 (NSW) – Punishment for Manslaughter</w:t>
      </w:r>
    </w:p>
    <w:p>
      <w:r>
        <w:t>While the original charge was murder, potential arguments for manslaughter under s.19B might apply if it can be proven that Homann's mental impairment reduced his culpability. The sentence of maximum 25 years for manslaughter could more appropriately reflect the appellant's diminished responsibility and lack of premeditation, as outlined in his defence of psychosis, as argued under Ground 1.</w:t>
      </w:r>
    </w:p>
    <w:p>
      <w:pPr>
        <w:pStyle w:val="Heading2"/>
      </w:pPr>
      <w:r>
        <w:t>s.23A Crimes Act 1900 (NSW) – Excessive Self-Defence</w:t>
      </w:r>
    </w:p>
    <w:p>
      <w:r>
        <w:t>This section provides a partial defence where a person’s belief that their actions were necessary for self-defence was reasonable but excessive. Given the mental state evidence, arguments could be made that Homann's perception was reasonably held at the time of the offence, albeit stemming from an impaired mindset. The focus here would be how psychosis affected his perception and self-defence response, aligning with the defence strategy that involves substantial mental impairment as a mitigating factor.</w:t>
      </w:r>
    </w:p>
    <w:p>
      <w:pPr>
        <w:pStyle w:val="Heading2"/>
      </w:pPr>
      <w:r>
        <w:t>Div 5 Criminal Code Act 1995 (Cth) – Fault Elements</w:t>
      </w:r>
    </w:p>
    <w:p>
      <w:r>
        <w:t>This section underscores the importance of assessing the mental elements of an offence, such as the necessary intention or knowledge. In Homann's case, the presence of psychosis questions his capacity to form the requisite mens rea for murder. His mental state, influenced by his chronic illness, potentially negates the default assumption of intent as interpreted under the Commonwealth fault elements, pivotal in the appellate arguments around moral culpability.</w:t>
      </w:r>
    </w:p>
    <w:p>
      <w:pPr>
        <w:pStyle w:val="Heading2"/>
      </w:pPr>
      <w:r>
        <w:t>Case Authority</w:t>
      </w:r>
    </w:p>
    <w:p>
      <w:pPr>
        <w:pStyle w:val="ListBullet"/>
      </w:pPr>
      <w:r>
        <w:t>**Veen v R (No 2) (1988) 164 CLR 465**: This case underscores that the purpose of sentencing is not solely punitive but also requires consideration of an individual's mental state as it affects culpability.</w:t>
      </w:r>
    </w:p>
    <w:p>
      <w:pPr>
        <w:pStyle w:val="ListBullet"/>
      </w:pPr>
      <w:r>
        <w:t>**Markarian v The Queen (2005) 228 CLR 357**: Emphasises nuanced sentencing and the significance of balancing factors such as deterrence and rehabilitation against mitigating circumstances like mental illness.</w:t>
      </w:r>
    </w:p>
    <w:p>
      <w:pPr>
        <w:pStyle w:val="ListBullet"/>
      </w:pPr>
      <w:r>
        <w:t>**House v The King (1936) 55 CLR 499**: Relevant for its guidance on erroneous exercise of discretion in sentencing, potentially illustrating excessiveness in Homann's sentencing by not adequately weighing mental impairment.</w:t>
      </w:r>
    </w:p>
    <w:p>
      <w:pPr>
        <w:pStyle w:val="Heading1"/>
      </w:pPr>
      <w:r>
        <w:t>11. HOW TO ARGUE EACH TOP GROUND</w:t>
      </w:r>
    </w:p>
    <w:p>
      <w:pPr>
        <w:pStyle w:val="Heading2"/>
      </w:pPr>
      <w:r>
        <w:t>Ground 1: Failure to Properly Consider Mental Impairment as Mitigating Factor</w:t>
      </w:r>
    </w:p>
    <w:p>
      <w:r>
        <w:t>Lead Proposition: Justice McCallum erred by not attributing appropriate mitigating weight to Homann’s psychosis, negatively impacting moral culpability assessment and resulting in a manifestly excessive sentence.</w:t>
      </w:r>
    </w:p>
    <w:p>
      <w:r>
        <w:t>Supporting Authority Cluster:</w:t>
      </w:r>
    </w:p>
    <w:p>
      <w:pPr>
        <w:pStyle w:val="ListBullet"/>
      </w:pPr>
      <w:r>
        <w:t>**Veen v R (No 2) (1988) 164 CLR 465**: Establishes that sentences must take the degree of moral culpability into account, particularly when mental illness diminishes said culpability.</w:t>
      </w:r>
    </w:p>
    <w:p>
      <w:pPr>
        <w:pStyle w:val="ListBullet"/>
      </w:pPr>
      <w:r>
        <w:t>**Hammond v R [2008] NSWCCA 138**: Demonstrates the impact of mental disorders like psychosis on moral culpability and the appropriateness of imposing a lesser sentence.</w:t>
      </w:r>
    </w:p>
    <w:p>
      <w:pPr>
        <w:pStyle w:val="ListBullet"/>
      </w:pPr>
      <w:r>
        <w:t>**Markarian v The Queen (2005) 228 CLR 357**: Highlights the importance of balancing deterrence, protection of the community, rehabilitation, and punishment.</w:t>
      </w:r>
    </w:p>
    <w:p>
      <w:r>
        <w:t>Expected Prosecution Answer: The Crown is likely to argue that despite Homann's psychosis, the voluntary ingestion of drugs increases culpability, underscoring intent. They will assert that deterrence and community protection justify the sentence.</w:t>
      </w:r>
    </w:p>
    <w:p>
      <w:r>
        <w:t>Rebuttal Strategy: Demonstrate that Homann’s chronic mental disorder, pre-dating drug use, formed a substantial impairment impairing his intent. Use R v Israil [2002] NSWCCA 255 and similar precedents where psychosis, even if drug-influenced, resulted in sentence reductions based on diminished intent. Arguably, rehabilitation considerations greater than punishment reflect in Abbas v R (2024).</w:t>
      </w:r>
    </w:p>
    <w:p>
      <w:r>
        <w:t>If Established: Acknowledging the psychosis as a mitigating factor may lead to a revised sentence reflecting the reduced moral culpability, potentially downgrading to manslaughter or significantly reducing the non-parole period.</w:t>
      </w:r>
    </w:p>
    <w:p>
      <w:pPr>
        <w:pStyle w:val="Heading2"/>
      </w:pPr>
      <w:r>
        <w:t>Ground 2: Refusal of Judge-Alone Trial Leading to Unfair Verdict</w:t>
      </w:r>
    </w:p>
    <w:p>
      <w:r>
        <w:t>Lead Proposition: Refusal of a judge-alone trial amidst complex psychiatric evidence and prejudicial media coverage denied Homann a fair trial by an informed tribunal capable of weighing nuanced defences grounded in mental impairment.</w:t>
      </w:r>
    </w:p>
    <w:p>
      <w:r>
        <w:t>Supporting Authority Cluster:</w:t>
      </w:r>
    </w:p>
    <w:p>
      <w:pPr>
        <w:pStyle w:val="ListBullet"/>
      </w:pPr>
      <w:r>
        <w:t>**s 132 Criminal Procedure Act 1986 (NSW)**: Provides for judge-alone trials to ensure fair outcomes where jury prejudice is a significant risk.</w:t>
      </w:r>
    </w:p>
    <w:p>
      <w:pPr>
        <w:pStyle w:val="ListBullet"/>
      </w:pPr>
      <w:r>
        <w:t>**R v Milat (1996) 87 A Crim R 446**: Demonstrates the precedent for granting judge-alone trials in highly publicised cases.</w:t>
      </w:r>
    </w:p>
    <w:p>
      <w:pPr>
        <w:pStyle w:val="ListBullet"/>
      </w:pPr>
      <w:r>
        <w:t>**R v Abou-Chabake [2004] NSWCCA 356**: Affirms the necessity of judge-alone trials where complex psychiatric evidence risks jury misinterpretation.</w:t>
      </w:r>
    </w:p>
    <w:p>
      <w:r>
        <w:t>Expected Prosecution Answer: The Crown may rebut that the jury was suitably guided by judicial directions to exclude prejudice and weighed the psychiatric evidence appropriately despite complexities and emotive elements.</w:t>
      </w:r>
    </w:p>
    <w:p>
      <w:r>
        <w:t>Rebuttal Strategy: Emphasize the judge-alone trial's advantages for precise legal deliberations, as in R v Abou-Chabake, accentuating flaws in jury comprehension of psychiatric nuances. Highlight undue media influence and jury prejudice noted in media reports homann.docx to demonstrate unfair trial conditions.</w:t>
      </w:r>
    </w:p>
    <w:p>
      <w:r>
        <w:t>If Established: Successfully arguing this ground may lead to an order for a retrial, possibly granted on the condition of a judge-alone basis, ensuring impartial adjudication free from public bias.</w:t>
      </w:r>
    </w:p>
    <w:p>
      <w:pPr>
        <w:pStyle w:val="Heading2"/>
      </w:pPr>
      <w:r>
        <w:t>Ground 3: Ineffective Legal Representation</w:t>
      </w:r>
    </w:p>
    <w:p>
      <w:r>
        <w:t>Lead Proposition: Defence counsel’s failures, including improper psychiatric evidence presentation and inadequate action on jury biases, critically undermined Homann’s right to an effective defence, contributing to an unjust conviction and sentencing.</w:t>
      </w:r>
    </w:p>
    <w:p>
      <w:r>
        <w:t>Supporting Authority Cluster:</w:t>
      </w:r>
    </w:p>
    <w:p>
      <w:pPr>
        <w:pStyle w:val="ListBullet"/>
      </w:pPr>
      <w:r>
        <w:t>**Dietrich v The Queen (1992) 177 CLR 292**: Right to a fair trial necessitates competent legal representation.</w:t>
      </w:r>
    </w:p>
    <w:p>
      <w:pPr>
        <w:pStyle w:val="ListBullet"/>
      </w:pPr>
      <w:r>
        <w:t>**R v Birks (1990) 19 NSWLR 677**: Discusses counsel's responsibility in effectively advocating for the defendant, focusing on failing to argue judge-alone trial adequately.</w:t>
      </w:r>
    </w:p>
    <w:p>
      <w:pPr>
        <w:pStyle w:val="ListBullet"/>
      </w:pPr>
      <w:r>
        <w:t>**R v Leidig (1997) 89 A Crim R 162**: Illustrates effects of inadequate psychiatric evidence presentation leading to miscarriages.</w:t>
      </w:r>
    </w:p>
    <w:p>
      <w:r>
        <w:t>Expected Prosecution Answer: The Crown will likely argue that any alleged lapses by counsel were strategic decisions within reasonable bounds and did not impact the trial's fairness or justice.</w:t>
      </w:r>
    </w:p>
    <w:p>
      <w:r>
        <w:t>Rebuttal Strategy: Evidence from Failures by Lang Lawyer for homann.docx illustrates deviations from professional standards, stressing critical moments where enhanced advocacy would have altered the trial's foundation. Use Dietrich v The Queen to emphasize the prejudicial effect of representation quality on the trial's outcome.</w:t>
      </w:r>
    </w:p>
    <w:p>
      <w:r>
        <w:t>If Established: Finding ineffective representation could result in the conviction being overturned or a retrial ordered, addressing the correction of representative flaws and fair case presentation.</w:t>
      </w:r>
    </w:p>
    <w:p>
      <w:pPr>
        <w:pStyle w:val="Heading2"/>
      </w:pPr>
      <w:r>
        <w:t>Ground 4: Juror Misconduct and Bias</w:t>
      </w:r>
    </w:p>
    <w:p>
      <w:r>
        <w:t>Lead Proposition: Juror misconduct, exemplified by a juror showing partiality, and bias, inflamed by prejudicial media coverage, compromised the integrity of the trial, rendering the verdict unreliable.</w:t>
      </w:r>
    </w:p>
    <w:p>
      <w:r>
        <w:t>Supporting Authority Cluster:</w:t>
      </w:r>
    </w:p>
    <w:p>
      <w:pPr>
        <w:pStyle w:val="ListBullet"/>
      </w:pPr>
      <w:r>
        <w:t>**R v Skaf (2004) 60 NSWLR 86**: Addresses implications of jury misconduct on trial fairness and reliability of verdicts.</w:t>
      </w:r>
    </w:p>
    <w:p>
      <w:pPr>
        <w:pStyle w:val="ListBullet"/>
      </w:pPr>
      <w:r>
        <w:t>**Jones v The Queen (2002) 209 CLR 203**: Recognizes the effect of such misconduct on the necessity for retrial.</w:t>
      </w:r>
    </w:p>
    <w:p>
      <w:pPr>
        <w:pStyle w:val="ListBullet"/>
      </w:pPr>
      <w:r>
        <w:t>**s 53 Jury Act 1977 (NSW)**: Governs the obligations of jurors to maintain impartiality.</w:t>
      </w:r>
    </w:p>
    <w:p>
      <w:r>
        <w:t>Expected Prosecution Answer: The Crown could argue isolated juror conduct does not warrant setting aside a verdict when instructions were given on impartial deliberation, maintaining robust evidence corroborating the jury's conviction decision.</w:t>
      </w:r>
    </w:p>
    <w:p>
      <w:r>
        <w:t>Rebuttal Strategy: Utilize R v Skaf and evidence from the trial transcript to highlight biases imperilling verdict reliability and justice. Argue media influence exacerbated juror errors, violating jury Act provisions, which allowed emotional sway over factual analysis.</w:t>
      </w:r>
    </w:p>
    <w:p>
      <w:r>
        <w:t>If Established: This ground might support a request for a new trial due to compromised fairness in the decision-making process, underpinning public and legal faith in judicial impartiality.</w:t>
      </w:r>
    </w:p>
    <w:p>
      <w:pPr>
        <w:pStyle w:val="Heading1"/>
      </w:pPr>
      <w:r>
        <w:t>12. SUBMISSIONS BLUEPRINT</w:t>
      </w:r>
    </w:p>
    <w:p>
      <w:pPr>
        <w:pStyle w:val="Heading2"/>
      </w:pPr>
      <w:r>
        <w:t>Written Submission Strategy</w:t>
      </w:r>
    </w:p>
    <w:p>
      <w:r>
        <w:t>Ground 1: In the case of Joshua Homann, the sentencing judge erred by not considering the mitigating factor of the defendant's psychosis. This factor should have been given significant weight to potentially reduce moral culpability. The evidence indicates Homann's condition predates the incident and affected his state of mind, analogous to Veen v R (No 2), where mental impairment required revisiting culpability for sentencing appropriateness.</w:t>
      </w:r>
    </w:p>
    <w:p>
      <w:r>
        <w:t>Ground 2: Homann's trial was compromised due to the refusal of a judge-alone trial, amidst profound public prejudice and complex psychiatric testimony. As supported by R v Milat, the refusal neglected necessary protections against jury bias, crucial for ensuring a fair trial. Adjudication by an informed legal professional, devoid of media influence, aligns with s 132 Criminal Procedure Act executions to uphold justice integrity.</w:t>
      </w:r>
    </w:p>
    <w:p>
      <w:r>
        <w:t>Grounds 3 &amp; 4: Ineffectiveness plagued Homann's defence, exemplified in inappropriate psychiatric evidence handling and failing to address juror bias. Dietrich v The Queen commands rectifying injustices due to counsel failures, advocating for review aligning with Skaf misconduct constructs. Each issue, underscored by inadequate adaptation to prejudicial media and juror conduct, required intervention preventing compromised justice.</w:t>
      </w:r>
    </w:p>
    <w:p>
      <w:pPr>
        <w:pStyle w:val="Heading2"/>
      </w:pPr>
      <w:r>
        <w:t>Oral Submission Strategy</w:t>
      </w:r>
    </w:p>
    <w:p>
      <w:r>
        <w:t>Opening Strategy: Present the appeal as a fundamental reconsideration of fairness principles against unprecedented public bias and complex psychiatric disputes ignored by jury comprehension. Ground the argument in established legal standards demanding procedural and representative competence consistent with motivations endorsing justice over procedural conformity.</w:t>
      </w:r>
    </w:p>
    <w:p>
      <w:r>
        <w:t>Questions and Responses:</w:t>
      </w:r>
    </w:p>
    <w:p>
      <w:pPr>
        <w:pStyle w:val="ListBullet"/>
      </w:pPr>
      <w:r>
        <w:t>**Bench Question:** "How does voluntary drug intoxication affect moral culpability assessments?"</w:t>
      </w:r>
    </w:p>
    <w:p>
      <w:pPr>
        <w:pStyle w:val="ListBullet"/>
      </w:pPr>
      <w:r>
        <w:t>**Response:** Refer to **R v Israil**, underscoring that mental illness affected perceptions independent of the drug's voluntary nature.</w:t>
      </w:r>
    </w:p>
    <w:p>
      <w:r>
        <w:t>Time Management per Ground: Allocate focused arguments with primary emphasis on moral culpability implications and trial fairness breaches. Equitable attention should ensure holistic recognition of compounded irregularities undermining justice served.</w:t>
      </w:r>
    </w:p>
    <w:p>
      <w:r>
        <w:t>Closing Argument: Highlight that rectifying Homann's grievances upholds legal principles prioritising impartiality and accuracy in complex cases. Assert the appellate process as a corrective agent for maintaining public trust by demonstrating judicial commitment to evaluating oversight where justice mandates review.</w:t>
      </w:r>
    </w:p>
    <w:p>
      <w:pPr>
        <w:pStyle w:val="Heading1"/>
      </w:pPr>
      <w:r>
        <w:t>13. HOW TO START YOUR APPEAL + REQUIRED FORMS</w:t>
      </w:r>
    </w:p>
    <w:p>
      <w:pPr>
        <w:pStyle w:val="Heading2"/>
      </w:pPr>
      <w:r>
        <w:t>Step-by-Step Guide to Initiating an Appeal</w:t>
      </w:r>
    </w:p>
    <w:p>
      <w:r>
        <w:t>1. Determine Appeal Grounds and Strategy</w:t>
      </w:r>
    </w:p>
    <w:p>
      <w:pPr>
        <w:pStyle w:val="ListBullet"/>
      </w:pPr>
      <w:r>
        <w:t>**Objective**: The legal professional must carefully review the grounds of appeal identified and develop a comprehensive strategy. The grounds include the failure to consider mental impairment, refusal of a judge-alone trial, ineffective legal representation, and juror misconduct.</w:t>
      </w:r>
    </w:p>
    <w:p>
      <w:pPr>
        <w:pStyle w:val="ListBullet"/>
      </w:pPr>
      <w:r>
        <w:t>**Deadline**: Immediate attention is required to ensure all grounds are valid and substantial within legal justifications.</w:t>
      </w:r>
    </w:p>
    <w:p>
      <w:pPr>
        <w:pStyle w:val="ListBullet"/>
      </w:pPr>
      <w:r>
        <w:t>**Resources**: Use the case documents and legal memos to assess the strength of each ground.</w:t>
      </w:r>
    </w:p>
    <w:p>
      <w:r>
        <w:t>2. File a Notice of Appeal</w:t>
      </w:r>
    </w:p>
    <w:p>
      <w:pPr>
        <w:pStyle w:val="ListBullet"/>
      </w:pPr>
      <w:r>
        <w:t>**Objective**: To formally notify the court and the prosecution of the appeal. This involves lodging a Notice of Appeal against Joshua Homann's sentence using the Criminal Appeal Act 1912 (NSW), specifically referencing s. 5(1)(c).</w:t>
      </w:r>
    </w:p>
    <w:p>
      <w:pPr>
        <w:pStyle w:val="ListBullet"/>
      </w:pPr>
      <w:r>
        <w:t>**Required Form**: Form 20 - Notice of Appeal (CRIM 22).</w:t>
      </w:r>
    </w:p>
    <w:p>
      <w:pPr>
        <w:pStyle w:val="ListBullet"/>
      </w:pPr>
      <w:r>
        <w:t>**Deadline**: Must be filed within 28 days of the sentencing decision (25 May 2018). Check for any available extensions due to procedural delays.</w:t>
      </w:r>
    </w:p>
    <w:p>
      <w:pPr>
        <w:pStyle w:val="ListBullet"/>
      </w:pPr>
      <w:r>
        <w:t>**Link to Form**: [Form 20 - Notice of Appeal (NSW Courts)](https://www.lawlink.nsw.gov.au/lawlink/supreme_court/ll_sc.nsf/vwFiles/Form_20.pdf/$file/Form_20.pdf).</w:t>
      </w:r>
    </w:p>
    <w:p>
      <w:r>
        <w:t>3. Compile the Appeal Record</w:t>
      </w:r>
    </w:p>
    <w:p>
      <w:pPr>
        <w:pStyle w:val="ListBullet"/>
      </w:pPr>
      <w:r>
        <w:t>**Objective**: Assemble all the documents presented during the trial, including transcripts, exhibits, and remarks on sentencing. Ensure all psychiatric reports by Dr. Allnutt and Dr. Martin are included.</w:t>
      </w:r>
    </w:p>
    <w:p>
      <w:pPr>
        <w:pStyle w:val="ListBullet"/>
      </w:pPr>
      <w:r>
        <w:t>**Deadline**: Complete within the first two weeks following the notice of appeal.</w:t>
      </w:r>
    </w:p>
    <w:p>
      <w:pPr>
        <w:pStyle w:val="ListBullet"/>
      </w:pPr>
      <w:r>
        <w:t>**Who to Contact**: Contact the court's registry and the trial's transcription services for copies.</w:t>
      </w:r>
    </w:p>
    <w:p>
      <w:r>
        <w:t>4. Submit Written Submissions</w:t>
      </w:r>
    </w:p>
    <w:p>
      <w:pPr>
        <w:pStyle w:val="ListBullet"/>
      </w:pPr>
      <w:r>
        <w:t>**Objective**: Prepare detailed written submissions for the appeal, aligning arguments with relevant legal principles, statutes, and case precedents presented during the initial submissions.</w:t>
      </w:r>
    </w:p>
    <w:p>
      <w:pPr>
        <w:pStyle w:val="ListBullet"/>
      </w:pPr>
      <w:r>
        <w:t>**Required Form**: Ensure submissions are filed with accompanying Form 24 - Appellant's Submissions (CRIM 24).</w:t>
      </w:r>
    </w:p>
    <w:p>
      <w:pPr>
        <w:pStyle w:val="ListBullet"/>
      </w:pPr>
      <w:r>
        <w:t>**Deadline**: Submit these at least 14 days before the hearing.</w:t>
      </w:r>
    </w:p>
    <w:p>
      <w:pPr>
        <w:pStyle w:val="ListBullet"/>
      </w:pPr>
      <w:r>
        <w:t>**Link to Form**: [Appellant's Submissions (NSW Courts)](https://www.lawlink.nsw.gov.au/lawlink/supreme_court/ll_sc.nsf/vwFiles/crim24.pdf/$file/crim24.pdf).</w:t>
      </w:r>
    </w:p>
    <w:p>
      <w:r>
        <w:t>5. Request a Hearing Date</w:t>
      </w:r>
    </w:p>
    <w:p>
      <w:pPr>
        <w:pStyle w:val="ListBullet"/>
      </w:pPr>
      <w:r>
        <w:t>**Objective**: Schedule the appeal hearing. Confirm the hearing date with the registry officials as soon as the notice and written submissions are filed.</w:t>
      </w:r>
    </w:p>
    <w:p>
      <w:pPr>
        <w:pStyle w:val="ListBullet"/>
      </w:pPr>
      <w:r>
        <w:t>**Deadline**: Ideally, align this process concurrently with submission deadlines.</w:t>
      </w:r>
    </w:p>
    <w:p>
      <w:pPr>
        <w:pStyle w:val="ListBullet"/>
      </w:pPr>
      <w:r>
        <w:t>**Urgency**: High, to secure a closer date within the appeal schedule.</w:t>
      </w:r>
    </w:p>
    <w:p>
      <w:pPr>
        <w:pStyle w:val="Heading2"/>
      </w:pPr>
      <w:r>
        <w:t>Forms Summary Table</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728"/>
          </w:tcPr>
          <w:p>
            <w:r>
              <w:rPr>
                <w:b/>
                <w:sz w:val="17"/>
              </w:rPr>
              <w:t>Form Number</w:t>
            </w:r>
          </w:p>
        </w:tc>
        <w:tc>
          <w:tcPr>
            <w:tcW w:type="dxa" w:w="1728"/>
          </w:tcPr>
          <w:p>
            <w:r>
              <w:rPr>
                <w:b/>
                <w:sz w:val="17"/>
              </w:rPr>
              <w:t>Name</w:t>
            </w:r>
          </w:p>
        </w:tc>
        <w:tc>
          <w:tcPr>
            <w:tcW w:type="dxa" w:w="1728"/>
          </w:tcPr>
          <w:p>
            <w:r>
              <w:rPr>
                <w:b/>
                <w:sz w:val="17"/>
              </w:rPr>
              <w:t>Purpose</w:t>
            </w:r>
          </w:p>
        </w:tc>
        <w:tc>
          <w:tcPr>
            <w:tcW w:type="dxa" w:w="1728"/>
          </w:tcPr>
          <w:p>
            <w:r>
              <w:rPr>
                <w:b/>
                <w:sz w:val="17"/>
              </w:rPr>
              <w:t>Deadline</w:t>
            </w:r>
          </w:p>
        </w:tc>
        <w:tc>
          <w:tcPr>
            <w:tcW w:type="dxa" w:w="1728"/>
          </w:tcPr>
          <w:p>
            <w:r>
              <w:rPr>
                <w:b/>
                <w:sz w:val="17"/>
              </w:rPr>
              <w:t>Link</w:t>
            </w:r>
          </w:p>
        </w:tc>
      </w:tr>
      <w:tr>
        <w:tc>
          <w:tcPr>
            <w:tcW w:type="dxa" w:w="1728"/>
          </w:tcPr>
          <w:p>
            <w:r>
              <w:rPr>
                <w:sz w:val="17"/>
              </w:rPr>
              <w:t>Form 20</w:t>
            </w:r>
          </w:p>
        </w:tc>
        <w:tc>
          <w:tcPr>
            <w:tcW w:type="dxa" w:w="1728"/>
          </w:tcPr>
          <w:p>
            <w:r>
              <w:rPr>
                <w:sz w:val="17"/>
              </w:rPr>
              <w:t>Notice of Appeal (CRIM 22)</w:t>
            </w:r>
          </w:p>
        </w:tc>
        <w:tc>
          <w:tcPr>
            <w:tcW w:type="dxa" w:w="1728"/>
          </w:tcPr>
          <w:p>
            <w:r>
              <w:rPr>
                <w:sz w:val="17"/>
              </w:rPr>
              <w:t>Initiate appeal</w:t>
            </w:r>
          </w:p>
        </w:tc>
        <w:tc>
          <w:tcPr>
            <w:tcW w:type="dxa" w:w="1728"/>
          </w:tcPr>
          <w:p>
            <w:r>
              <w:rPr>
                <w:sz w:val="17"/>
              </w:rPr>
              <w:t>Within 28 days post sentencing</w:t>
            </w:r>
          </w:p>
        </w:tc>
        <w:tc>
          <w:tcPr>
            <w:tcW w:type="dxa" w:w="1728"/>
          </w:tcPr>
          <w:p>
            <w:r>
              <w:rPr>
                <w:sz w:val="17"/>
              </w:rPr>
              <w:t>[Download](https://www.lawlink.nsw.gov.au/lawlink/supreme_court/ll_sc.nsf/vwFiles/Form_20.pdf)</w:t>
            </w:r>
          </w:p>
        </w:tc>
      </w:tr>
      <w:tr>
        <w:tc>
          <w:tcPr>
            <w:tcW w:type="dxa" w:w="1728"/>
          </w:tcPr>
          <w:p>
            <w:r>
              <w:rPr>
                <w:sz w:val="17"/>
              </w:rPr>
              <w:t>Form 24</w:t>
            </w:r>
          </w:p>
        </w:tc>
        <w:tc>
          <w:tcPr>
            <w:tcW w:type="dxa" w:w="1728"/>
          </w:tcPr>
          <w:p>
            <w:r>
              <w:rPr>
                <w:sz w:val="17"/>
              </w:rPr>
              <w:t>Appellant's Submissions (CRIM 24)</w:t>
            </w:r>
          </w:p>
        </w:tc>
        <w:tc>
          <w:tcPr>
            <w:tcW w:type="dxa" w:w="1728"/>
          </w:tcPr>
          <w:p>
            <w:r>
              <w:rPr>
                <w:sz w:val="17"/>
              </w:rPr>
              <w:t>File substantive legal arguments for appeal</w:t>
            </w:r>
          </w:p>
        </w:tc>
        <w:tc>
          <w:tcPr>
            <w:tcW w:type="dxa" w:w="1728"/>
          </w:tcPr>
          <w:p>
            <w:r>
              <w:rPr>
                <w:sz w:val="17"/>
              </w:rPr>
              <w:t>14 days before the appeal hearing</w:t>
            </w:r>
          </w:p>
        </w:tc>
        <w:tc>
          <w:tcPr>
            <w:tcW w:type="dxa" w:w="1728"/>
          </w:tcPr>
          <w:p>
            <w:r>
              <w:rPr>
                <w:sz w:val="17"/>
              </w:rPr>
              <w:t>[Download](https://www.lawlink.nsw.gov.au/lawlink/supreme_court/ll_sc.nsf/vwFiles/crim24.pdf)</w:t>
            </w:r>
          </w:p>
        </w:tc>
      </w:tr>
    </w:tbl>
    <w:p/>
    <w:p>
      <w:pPr>
        <w:pStyle w:val="Heading1"/>
      </w:pPr>
      <w:r>
        <w:t>14. PRIORITISED ACTION PLAN</w:t>
      </w:r>
    </w:p>
    <w:p>
      <w:pPr>
        <w:pStyle w:val="Heading2"/>
      </w:pPr>
      <w:r>
        <w:t>72-Hour Actions (Urgent)</w:t>
      </w:r>
    </w:p>
    <w:p>
      <w:r>
        <w:t>1. File Notice of Appeal</w:t>
      </w:r>
    </w:p>
    <w:p>
      <w:pPr>
        <w:pStyle w:val="ListBullet"/>
      </w:pPr>
      <w:r>
        <w:t>**What to Do**: Submit Form 20 - Notice of Appeal immediately if not already filed.</w:t>
      </w:r>
    </w:p>
    <w:p>
      <w:pPr>
        <w:pStyle w:val="ListBullet"/>
      </w:pPr>
      <w:r>
        <w:t>**Who to Contact**: Ensure registry receipt confirmation.</w:t>
      </w:r>
    </w:p>
    <w:p>
      <w:pPr>
        <w:pStyle w:val="ListBullet"/>
      </w:pPr>
      <w:r>
        <w:t>**Objective**: Secure the applicant’s intention to appeal.</w:t>
      </w:r>
    </w:p>
    <w:p>
      <w:pPr>
        <w:pStyle w:val="ListBullet"/>
      </w:pPr>
      <w:r>
        <w:t>**Deadline**: Due immediately to secure legal proceedings.</w:t>
      </w:r>
    </w:p>
    <w:p>
      <w:r>
        <w:t>2. Engage Appellate Barrister</w:t>
      </w:r>
    </w:p>
    <w:p>
      <w:pPr>
        <w:pStyle w:val="ListBullet"/>
      </w:pPr>
      <w:r>
        <w:t>**What to Do**: Secure a barrister specialising in appellate advocacy for the intricate issues of mental impairment and legal procedural errors.</w:t>
      </w:r>
    </w:p>
    <w:p>
      <w:pPr>
        <w:pStyle w:val="ListBullet"/>
      </w:pPr>
      <w:r>
        <w:t>**Who to Contact**: Professional contacts from associations like the Law Society of New South Wales.</w:t>
      </w:r>
    </w:p>
    <w:p>
      <w:pPr>
        <w:pStyle w:val="ListBullet"/>
      </w:pPr>
      <w:r>
        <w:t>**Objective**: Equip the legal team with expertise to handle complex psychiatric evidence and legal missteps noted in the original trial.</w:t>
      </w:r>
    </w:p>
    <w:p>
      <w:r>
        <w:t>3. Collect Trial Records and Begin Record Compilation</w:t>
      </w:r>
    </w:p>
    <w:p>
      <w:pPr>
        <w:pStyle w:val="ListBullet"/>
      </w:pPr>
      <w:r>
        <w:t>**What to Do**: Assemble and organise all trial records such as judgment texts, trial transcripts, and psychiatric evaluations.</w:t>
      </w:r>
    </w:p>
    <w:p>
      <w:pPr>
        <w:pStyle w:val="ListBullet"/>
      </w:pPr>
      <w:r>
        <w:t>**Who to Contact**: The Court Registry and transcription services.</w:t>
      </w:r>
    </w:p>
    <w:p>
      <w:pPr>
        <w:pStyle w:val="ListBullet"/>
      </w:pPr>
      <w:r>
        <w:t>**Objective**: Provide a complete record for appeal preparation.</w:t>
      </w:r>
    </w:p>
    <w:p>
      <w:r>
        <w:t>4. Review Media Reports and Public Perceptions</w:t>
      </w:r>
    </w:p>
    <w:p>
      <w:pPr>
        <w:pStyle w:val="ListBullet"/>
      </w:pPr>
      <w:r>
        <w:t>**What to Do**: Evaluate the impact of media narratives on the trial for inclusion in submissions on biases and prejudices.</w:t>
      </w:r>
    </w:p>
    <w:p>
      <w:pPr>
        <w:pStyle w:val="ListBullet"/>
      </w:pPr>
      <w:r>
        <w:t>**Who to Contact**: Media monitoring services as necessary.</w:t>
      </w:r>
    </w:p>
    <w:p>
      <w:pPr>
        <w:pStyle w:val="ListBullet"/>
      </w:pPr>
      <w:r>
        <w:t>**Objective**: Gauge and understand potential jury influence to contextualise arguments on prejudice and unfair trial.</w:t>
      </w:r>
    </w:p>
    <w:p>
      <w:r>
        <w:t>5. Ensure Client Admission and Remittance of Fees for Record Procurement</w:t>
      </w:r>
    </w:p>
    <w:p>
      <w:pPr>
        <w:pStyle w:val="ListBullet"/>
      </w:pPr>
      <w:r>
        <w:t>**What to Do**: Facilitate terms for coverage of legal aid or private fees for record procurement if not on Legal Aid.</w:t>
      </w:r>
    </w:p>
    <w:p>
      <w:pPr>
        <w:pStyle w:val="ListBullet"/>
      </w:pPr>
      <w:r>
        <w:t>**Who to Contact**: Legal Aid New South Wales if applicable; private legal practitioners otherwise.</w:t>
      </w:r>
    </w:p>
    <w:p>
      <w:pPr>
        <w:pStyle w:val="ListBullet"/>
      </w:pPr>
      <w:r>
        <w:t>**Objective**: Maintain procedural flow without financial hindrances.</w:t>
      </w:r>
    </w:p>
    <w:p>
      <w:pPr>
        <w:pStyle w:val="Heading2"/>
      </w:pPr>
      <w:r>
        <w:t>7-Day Actions</w:t>
      </w:r>
    </w:p>
    <w:p>
      <w:r>
        <w:t>1. Draft Initial Appeal Submissions</w:t>
      </w:r>
    </w:p>
    <w:p>
      <w:pPr>
        <w:pStyle w:val="ListBullet"/>
      </w:pPr>
      <w:r>
        <w:t>**What to Do**: Begin drafting appeal grounds and submissions touching on all identified procedural and factual misstatements.</w:t>
      </w:r>
    </w:p>
    <w:p>
      <w:pPr>
        <w:pStyle w:val="ListBullet"/>
      </w:pPr>
      <w:r>
        <w:t>**Who to Contact**: Coordinate with the appellate counsel in drafting.</w:t>
      </w:r>
    </w:p>
    <w:p>
      <w:pPr>
        <w:pStyle w:val="ListBullet"/>
      </w:pPr>
      <w:r>
        <w:t>**Objective**: Frame sound and persuasive legal arguments for appellate court review.</w:t>
      </w:r>
    </w:p>
    <w:p>
      <w:r>
        <w:t>2. Conduct Comparative Case Research</w:t>
      </w:r>
    </w:p>
    <w:p>
      <w:pPr>
        <w:pStyle w:val="ListBullet"/>
      </w:pPr>
      <w:r>
        <w:t>**What to Do**: Analyse precedents and existing cases for sentencing and case dicta involving similar psychiatric defences.</w:t>
      </w:r>
    </w:p>
    <w:p>
      <w:pPr>
        <w:pStyle w:val="ListBullet"/>
      </w:pPr>
      <w:r>
        <w:t>**Who to Contact**: Legal databases (e.g., AustLII) and university law libraries for research support.</w:t>
      </w:r>
    </w:p>
    <w:p>
      <w:pPr>
        <w:pStyle w:val="ListBullet"/>
      </w:pPr>
      <w:r>
        <w:t>**Objective**: Establish a well-grounded argument leveraging previous judicial assessments and sentencing decisions.</w:t>
      </w:r>
    </w:p>
    <w:p>
      <w:r>
        <w:t>3. Verify Compliance with Procedural Appeals Court Requirements</w:t>
      </w:r>
    </w:p>
    <w:p>
      <w:pPr>
        <w:pStyle w:val="ListBullet"/>
      </w:pPr>
      <w:r>
        <w:t>**What to Do**: Double-check adherence to procedural requirements established by the Court of Criminal Appeal.</w:t>
      </w:r>
    </w:p>
    <w:p>
      <w:pPr>
        <w:pStyle w:val="ListBullet"/>
      </w:pPr>
      <w:r>
        <w:t>**Who to Contact**: The Court of Criminal Appeal Registry.</w:t>
      </w:r>
    </w:p>
    <w:p>
      <w:pPr>
        <w:pStyle w:val="ListBullet"/>
      </w:pPr>
      <w:r>
        <w:t>**Objective**: Mitigate risks of procedural deficiencies affecting the appeal.</w:t>
      </w:r>
    </w:p>
    <w:p>
      <w:r>
        <w:t>4. Ensure Submission of Any Outstanding Forms and Perfectories</w:t>
      </w:r>
    </w:p>
    <w:p>
      <w:pPr>
        <w:pStyle w:val="ListBullet"/>
      </w:pPr>
      <w:r>
        <w:t>**What to Do**: Expedite any additional documentation such as affidavits in support of new or altered submissions.</w:t>
      </w:r>
    </w:p>
    <w:p>
      <w:pPr>
        <w:pStyle w:val="ListBullet"/>
      </w:pPr>
      <w:r>
        <w:t>**Who to Contact**: Legal administrative support teams or relevant legal practitioners.</w:t>
      </w:r>
    </w:p>
    <w:p>
      <w:pPr>
        <w:pStyle w:val="ListBullet"/>
      </w:pPr>
      <w:r>
        <w:t>**Objective**: Complete the administrative formation for the appeal to proceed smoothly.</w:t>
      </w:r>
    </w:p>
    <w:p>
      <w:r>
        <w:t>5. Assess the Need for Further Expert Analysis and Opinions</w:t>
      </w:r>
    </w:p>
    <w:p>
      <w:pPr>
        <w:pStyle w:val="ListBullet"/>
      </w:pPr>
      <w:r>
        <w:t>**What to Do**: Review if additional expert forensic psychiatric opinions are required to strengthen arguments.</w:t>
      </w:r>
    </w:p>
    <w:p>
      <w:pPr>
        <w:pStyle w:val="ListBullet"/>
      </w:pPr>
      <w:r>
        <w:t>**Who to Contact**: Forensic psychiatric experts as necessary, particularly regarding mitigating factors like mental illness.</w:t>
      </w:r>
    </w:p>
    <w:p>
      <w:pPr>
        <w:pStyle w:val="ListBullet"/>
      </w:pPr>
      <w:r>
        <w:t>**Objective**: Strengthen appeal positions with corroborative expert opinions validating trial evidence.</w:t>
      </w:r>
    </w:p>
    <w:p>
      <w:pPr>
        <w:pStyle w:val="Heading2"/>
      </w:pPr>
      <w:r>
        <w:t>28-Day Actions</w:t>
      </w:r>
    </w:p>
    <w:p>
      <w:r>
        <w:t>1. Finalise and File Legal Submissions to Court</w:t>
      </w:r>
    </w:p>
    <w:p>
      <w:pPr>
        <w:pStyle w:val="ListBullet"/>
      </w:pPr>
      <w:r>
        <w:t>**What to Do**: Submit tailored legal submissions, ensuring clear presentation of all grounds, evidence, and sought outcomes.</w:t>
      </w:r>
    </w:p>
    <w:p>
      <w:pPr>
        <w:pStyle w:val="ListBullet"/>
      </w:pPr>
      <w:r>
        <w:t>**Who to Contact**: Facilitate with the barrister and legal team.</w:t>
      </w:r>
    </w:p>
    <w:p>
      <w:pPr>
        <w:pStyle w:val="ListBullet"/>
      </w:pPr>
      <w:r>
        <w:t>**Objective**: Present a cohesive and comprehensive submission for the appellate bench.</w:t>
      </w:r>
    </w:p>
    <w:p>
      <w:r>
        <w:t>2. Confirm Hearing and Preparatory Requirements</w:t>
      </w:r>
    </w:p>
    <w:p>
      <w:pPr>
        <w:pStyle w:val="ListBullet"/>
      </w:pPr>
      <w:r>
        <w:t>**What to Do**: Verify hearing dates and compile preparatory materials including case law summaries, and argument synopses.</w:t>
      </w:r>
    </w:p>
    <w:p>
      <w:pPr>
        <w:pStyle w:val="ListBullet"/>
      </w:pPr>
      <w:r>
        <w:t>**Who to Contact**: Liaison with the appellate lawyer responsible.</w:t>
      </w:r>
    </w:p>
    <w:p>
      <w:pPr>
        <w:pStyle w:val="ListBullet"/>
      </w:pPr>
      <w:r>
        <w:t>**Objective**: Prepare strategically for court appearances.</w:t>
      </w:r>
    </w:p>
    <w:p>
      <w:r>
        <w:t>3. Negotiate Potential Settlement with Crown if Applicable</w:t>
      </w:r>
    </w:p>
    <w:p>
      <w:pPr>
        <w:pStyle w:val="ListBullet"/>
      </w:pPr>
      <w:r>
        <w:t>**What to Do**: Engage with the Crown to explore any feasible agreement that might involve re-evaluation or alternative resolution.</w:t>
      </w:r>
    </w:p>
    <w:p>
      <w:pPr>
        <w:pStyle w:val="ListBullet"/>
      </w:pPr>
      <w:r>
        <w:t>**Who to Contact**: Direct lines of communication should be opened with the Office of the Director of Public Prosecutions.</w:t>
      </w:r>
    </w:p>
    <w:p>
      <w:pPr>
        <w:pStyle w:val="ListBullet"/>
      </w:pPr>
      <w:r>
        <w:t>**Objective**: Cost-effectiveness and potentially expedited resolution.</w:t>
      </w:r>
    </w:p>
    <w:p>
      <w:r>
        <w:t>4. Schedule a Comprehensive Pre-Hearing Conference</w:t>
      </w:r>
    </w:p>
    <w:p>
      <w:pPr>
        <w:pStyle w:val="ListBullet"/>
      </w:pPr>
      <w:r>
        <w:t>**What to Do**: Convene with the legal team for exhaustive review of trial evidence, submissions, and expected appellate arguments.</w:t>
      </w:r>
    </w:p>
    <w:p>
      <w:pPr>
        <w:pStyle w:val="ListBullet"/>
      </w:pPr>
      <w:r>
        <w:t>**Objective**: Align all appellate and strategic understandings before the court hearing.</w:t>
      </w:r>
    </w:p>
    <w:p>
      <w:r>
        <w:t>5. Develop Contingency Plans for Further Appeal if Necessary</w:t>
      </w:r>
    </w:p>
    <w:p>
      <w:pPr>
        <w:pStyle w:val="ListBullet"/>
      </w:pPr>
      <w:r>
        <w:t>**What to Do**: Map out timelines and strategies should an adverse decision necessitate application to the High Court of Australia.</w:t>
      </w:r>
    </w:p>
    <w:p>
      <w:pPr>
        <w:pStyle w:val="ListBullet"/>
      </w:pPr>
      <w:r>
        <w:t>**Who to Contact**: Senior counsels and specialized appeals experts.</w:t>
      </w:r>
    </w:p>
    <w:p>
      <w:pPr>
        <w:pStyle w:val="ListBullet"/>
      </w:pPr>
      <w:r>
        <w:t>**Objective**: Protect continuation of appellate discussions and outcomes.</w:t>
      </w:r>
    </w:p>
    <w:p>
      <w:pPr>
        <w:pStyle w:val="Heading1"/>
      </w:pPr>
      <w:r>
        <w:t>15. CLIENT PLAIN-ENGLISH BRIEF</w:t>
      </w:r>
    </w:p>
    <w:p>
      <w:pPr>
        <w:pStyle w:val="Heading2"/>
      </w:pPr>
      <w:r>
        <w:t>Understanding the Appeal</w:t>
      </w:r>
    </w:p>
    <w:p>
      <w:r>
        <w:t>This appeal for Joshua Homann revolves around challenging the sentence for murder, where significant concerns involve both factual and procedural matters that potentially influenced the fairness of his original trial. Four primary grounds have been identified to substantiate the appeal, each pivotal in supporting the claim that the trial outcome and sentencing were unjust.</w:t>
      </w:r>
    </w:p>
    <w:p>
      <w:r>
        <w:t>1. Ground 1: Failure to Properly Consider Mental Impairment as Mitigating Factor</w:t>
      </w:r>
    </w:p>
    <w:p>
      <w:pPr>
        <w:pStyle w:val="ListBullet"/>
      </w:pPr>
      <w:r>
        <w:t>**Simple Explanation**: This ground argues that the judge didn’t adequately consider Joshua’s mental illness, which could have reduced his responsibility for the crime. At the time, Joshua was suffering from a longstanding psychotic disorder, not merely a condition induced by drugs.</w:t>
      </w:r>
    </w:p>
    <w:p>
      <w:pPr>
        <w:pStyle w:val="ListBullet"/>
      </w:pPr>
      <w:r>
        <w:t>**Importance for the Appeal**: Acknowledging his mental state could have led to a lesser charge (such as manslaughter) or sentence, acknowledging diminished decision-making capacity due to mental illness.</w:t>
      </w:r>
    </w:p>
    <w:p>
      <w:pPr>
        <w:pStyle w:val="ListBullet"/>
      </w:pPr>
      <w:r>
        <w:t>**Success Likelihood**: The strength lies in whether the appeal judges agree that the original assessment overlooked significant medical evidence supporting mental impairment.</w:t>
      </w:r>
    </w:p>
    <w:p>
      <w:pPr>
        <w:pStyle w:val="ListBullet"/>
      </w:pPr>
      <w:r>
        <w:t>**Potential Outcome if Successful**: A reduced sentence if the appeal court concurs that mental illness significantly affected Joshua's conduct at the time of the crime.</w:t>
      </w:r>
    </w:p>
    <w:p>
      <w:r>
        <w:t>2. Ground 2: Refusal of Judge-Alone Trial Leading to Unfair Verdict</w:t>
      </w:r>
    </w:p>
    <w:p>
      <w:pPr>
        <w:pStyle w:val="ListBullet"/>
      </w:pPr>
      <w:r>
        <w:t>**Simple Explanation**: This focuses on the judge’s refusal to allow Joshua to be tried by a judge alone, given the complex evidence about his mental health and the prejudicial media coverage.</w:t>
      </w:r>
    </w:p>
    <w:p>
      <w:pPr>
        <w:pStyle w:val="ListBullet"/>
      </w:pPr>
      <w:r>
        <w:t>**Importance for the Appeal**: Given the publicity and complexity of the psychiatric evidence, a judge-alone trial might have led to a more balanced assessment of the psychiatric and evidential materials.</w:t>
      </w:r>
    </w:p>
    <w:p>
      <w:pPr>
        <w:pStyle w:val="ListBullet"/>
      </w:pPr>
      <w:r>
        <w:t>**Success Likelihood**: Judges might see the refusal as an error if they agree a jury could be biased by media portrayal and find the psychiatric evidence technical enough to merit judicial assessment.</w:t>
      </w:r>
    </w:p>
    <w:p>
      <w:pPr>
        <w:pStyle w:val="ListBullet"/>
      </w:pPr>
      <w:r>
        <w:t>**Potential Outcome if Successful**: An order for a retrial without a jury, focusing on the weight of psychiatric complexities.</w:t>
      </w:r>
    </w:p>
    <w:p>
      <w:r>
        <w:t>3. Ground 3: Ineffective Legal Representation</w:t>
      </w:r>
    </w:p>
    <w:p>
      <w:pPr>
        <w:pStyle w:val="ListBullet"/>
      </w:pPr>
      <w:r>
        <w:t>**Simple Explanation**: The assertion here is that Joshua’s lawyer didn’t effectively represent him, especially failing to pursue a critical opportunity for a judge-alone trial amidst prejudicial circumstances.</w:t>
      </w:r>
    </w:p>
    <w:p>
      <w:pPr>
        <w:pStyle w:val="ListBullet"/>
      </w:pPr>
      <w:r>
        <w:t>**Importance for the Appeal**: Adequate legal representation is crucial for ensuring a fair trial. If the defence failed to offer all possible protections, the trial result could be deemed unreliable.</w:t>
      </w:r>
    </w:p>
    <w:p>
      <w:pPr>
        <w:pStyle w:val="ListBullet"/>
      </w:pPr>
      <w:r>
        <w:t>**Success Likelihood**: This could depend on whether the appellate court perceives the legal representation falls outside what a 'reasonable professional' should have done under similar conditions.</w:t>
      </w:r>
    </w:p>
    <w:p>
      <w:pPr>
        <w:pStyle w:val="ListBullet"/>
      </w:pPr>
      <w:r>
        <w:t>**Potential Outcome if Successful**: A new trial could be ordered owing to the defective representation affecting trial fairness.</w:t>
      </w:r>
    </w:p>
    <w:p>
      <w:r>
        <w:t>4. Ground 4: Juror Misconduct and Bias</w:t>
      </w:r>
    </w:p>
    <w:p>
      <w:pPr>
        <w:pStyle w:val="ListBullet"/>
      </w:pPr>
      <w:r>
        <w:t>**Simple Explanation**: This ground asserts that there was juror misconduct during the trial which could have biased the verdict. For instance, a juror’s interaction with the victim’s family indicates partiality.</w:t>
      </w:r>
    </w:p>
    <w:p>
      <w:pPr>
        <w:pStyle w:val="ListBullet"/>
      </w:pPr>
      <w:r>
        <w:t>**Importance for the Appeal**: Impartiality is foundational to a fair trial; if bias influenced the deliberation process, the verdict's integrity could be successfully challenged.</w:t>
      </w:r>
    </w:p>
    <w:p>
      <w:pPr>
        <w:pStyle w:val="ListBullet"/>
      </w:pPr>
      <w:r>
        <w:t>**Success Likelihood**: Requires solid confirmation of juror misconduct affecting impartiality and subsequent conviction reliability.</w:t>
      </w:r>
    </w:p>
    <w:p>
      <w:pPr>
        <w:pStyle w:val="ListBullet"/>
      </w:pPr>
      <w:r>
        <w:t>**Potential Outcome if Successful**: The trial could potentially be annulled, with a mandate for a fresh trial under more impartial conditions.</w:t>
      </w:r>
    </w:p>
    <w:p>
      <w:pPr>
        <w:pStyle w:val="Heading2"/>
      </w:pPr>
      <w:r>
        <w:t>The Broader Appeal Framework</w:t>
      </w:r>
    </w:p>
    <w:p>
      <w:r>
        <w:t>The overall appeal argues that the original trial process potentially failed to deliver justice, considering certain procedural missteps and biases. The timeline for this appeal involves court filings and thorough deliberation by appellate judges, where successful challenges can lead to a retrial or sentence reduction.</w:t>
      </w:r>
    </w:p>
    <w:p>
      <w:pPr>
        <w:pStyle w:val="Heading2"/>
      </w:pPr>
      <w:r>
        <w:t>Realistic Outcomes</w:t>
      </w:r>
    </w:p>
    <w:p>
      <w:r>
        <w:t>1. Conviction Upheld: If the appeal does not identify substantial legal error, the current sentence will persist. 2. Conviction Downgraded: Acceptance of psychosis as a significant mitigating factor may result in the murder charge being reduced to manslaughter, with or without reduced sentencing. 3. Retrial Ordered: Successful argument on juror or procedural errors may lead to a new trial, potentially judge-alone as advocated in original applications. 4. Sentence Reduced: A finding that mental impairment was unfairly weighted during original sentencing might not change the conviction but could lessen imprisonment duration.</w:t>
      </w:r>
    </w:p>
    <w:p>
      <w:pPr>
        <w:pStyle w:val="Heading2"/>
      </w:pPr>
      <w:r>
        <w:t>Immediate Actions for the Applicant</w:t>
      </w:r>
    </w:p>
    <w:p>
      <w:pPr>
        <w:pStyle w:val="ListBullet"/>
      </w:pPr>
      <w:r>
        <w:t>**Immediate Tasks**: Engage with legal representatives to confirm the status of appeal filing, ensuring all procedural steps align with dedicated timelines.</w:t>
      </w:r>
    </w:p>
    <w:p>
      <w:pPr>
        <w:pStyle w:val="ListBullet"/>
      </w:pPr>
      <w:r>
        <w:t>**This Week's Focus**: Review submitted trial documents and trial records for completeness, focusing on missing papers potentially critical to the appeal support.</w:t>
      </w:r>
    </w:p>
    <w:p>
      <w:pPr>
        <w:pStyle w:val="ListBullet"/>
      </w:pPr>
      <w:r>
        <w:t>**Monthly Strategy**: Collaborate with the defence team on compiling research and drafting submissions responsive to identified appeal grounds, locked within the statutory timetable.</w:t>
      </w:r>
    </w:p>
    <w:p/>
    <w:p>
      <w:pPr>
        <w:jc w:val="center"/>
      </w:pPr>
      <w:r>
        <w:rPr>
          <w:b/>
          <w:color w:val="1E3A5F"/>
          <w:sz w:val="28"/>
        </w:rPr>
        <w:t>Created and Designed by Deb King</w:t>
      </w:r>
    </w:p>
    <w:p>
      <w:pPr>
        <w:jc w:val="center"/>
      </w:pPr>
      <w:r>
        <w:rPr>
          <w:color w:val="64748B"/>
          <w:sz w:val="18"/>
        </w:rPr>
        <w:t>Criminal Law Appeal Case Management — GLENMORE PARK NSW</w:t>
      </w:r>
    </w:p>
    <w:p/>
    <w:p>
      <w:pPr>
        <w:jc w:val="center"/>
      </w:pPr>
      <w:r>
        <w:rPr>
          <w:b/>
          <w:color w:val="DC2626"/>
          <w:sz w:val="28"/>
        </w:rPr>
        <w:t>NOT LEGAL ADVICE</w:t>
      </w:r>
    </w:p>
    <w:p>
      <w:pPr>
        <w:jc w:val="center"/>
      </w:pPr>
      <w:r>
        <w:rPr>
          <w:b/>
          <w:color w:val="1E293B"/>
          <w:sz w:val="20"/>
        </w:rPr>
        <w:t>This document is an educational tool only. It does NOT constitute legal advice and must NOT be relied upon as such. All analysis, findings, and recommendations must be independently verified by a qualified Australian legal professional before any action is taken. No solicitor-client relationship is formed through the provision of this report.</w:t>
      </w:r>
    </w:p>
    <w:sectPr w:rsidR="00FC693F" w:rsidRPr="0006063C" w:rsidSect="00034616">
      <w:footerReference w:type="default" r:id="rId9"/>
      <w:pgSz w:w="12240" w:h="15840"/>
      <w:pgMar w:top="1440" w:right="1800" w:bottom="1440" w:left="180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475569"/>
        <w:sz w:val="16"/>
      </w:rPr>
      <w:t xml:space="preserve">Criminal Appeal Case Management - Full Detailed Legal Analysis on Joshua Scott Homann - 27/03/2026 — Page </w:t>
    </w:r>
    <w:r>
      <w:fldChar w:fldCharType="begin"/>
      <w:instrText xml:space="preserve"> PAGE </w:instrText>
      <w:fldChar w:fldCharType="end"/>
    </w:r>
  </w:p>
  <w:p>
    <w:pPr>
      <w:jc w:val="center"/>
    </w:pPr>
    <w:r>
      <w:rPr>
        <w:b/>
        <w:color w:val="1E3A5F"/>
        <w:sz w:val="16"/>
      </w:rPr>
      <w:t>Created and Designed by Deb King — Thank you for using the tool. Good luck with the appeal process.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29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29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