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drawing>
          <wp:inline distT="0" distB="0" distL="0" distR="0">
            <wp:extent cx="1905000" cy="838200"/>
            <wp:effectExtent t="0" r="0" b="0" l="0"/>
            <wp:docPr id="1" name="IFM" descr="Investing for Mummies logo" title="IF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838200"/>
                    </a:xfrm>
                    <a:prstGeom prst="rect">
                      <a:avLst/>
                    </a:prstGeom>
                  </pic:spPr>
                </pic:pic>
              </a:graphicData>
            </a:graphic>
          </wp:inline>
        </w:drawing>
      </w:r>
    </w:p>
    <w:p>
      <w:pPr>
        <w:spacing w:after="80" w:before="400"/>
        <w:jc w:val="center"/>
      </w:pPr>
      <w:r>
        <w:rPr>
          <w:rFonts w:ascii="Lora" w:cs="Lora" w:eastAsia="Lora" w:hAnsi="Lora"/>
          <w:b/>
          <w:bCs/>
          <w:color w:val="1a3a5c"/>
          <w:sz w:val="56"/>
          <w:szCs w:val="56"/>
        </w:rPr>
        <w:t xml:space="preserve">Investing for Mummies</w:t>
      </w:r>
    </w:p>
    <w:p>
      <w:pPr>
        <w:spacing w:after="80" w:before="0"/>
        <w:jc w:val="center"/>
      </w:pPr>
      <w:r>
        <w:rPr>
          <w:rFonts w:ascii="Lora" w:cs="Lora" w:eastAsia="Lora" w:hAnsi="Lora"/>
          <w:i/>
          <w:iCs/>
          <w:color w:val="2a9d8f"/>
          <w:sz w:val="40"/>
          <w:szCs w:val="40"/>
        </w:rPr>
        <w:t xml:space="preserve">Brand Guidelines</w:t>
      </w:r>
    </w:p>
    <w:p>
      <w:pPr>
        <w:spacing w:after="0" w:before="80"/>
        <w:jc w:val="center"/>
      </w:pPr>
      <w:r>
        <w:rPr>
          <w:rFonts w:ascii="Nunito" w:cs="Nunito" w:eastAsia="Nunito" w:hAnsi="Nunito"/>
          <w:color w:val="5a7d8a"/>
          <w:sz w:val="20"/>
          <w:szCs w:val="20"/>
        </w:rPr>
        <w:t xml:space="preserve">investingformummies.com  ·  ifm-deploy.vercel.app</w:t>
      </w:r>
    </w:p>
    <w:p>
      <w:pPr>
        <w:spacing w:after="0" w:before="0"/>
        <w:jc w:val="center"/>
      </w:pPr>
      <w:r>
        <w:rPr>
          <w:b w:val="0"/>
        </w:rPr>
        <w:t>June 2026  ·  Version 2.0  (merged with the Build Reference Guide)</w:t>
      </w:r>
    </w:p>
    <w:p>
      <w:r>
        <w:br w:type="page"/>
      </w:r>
    </w:p>
    <w:p>
      <w:pPr>
        <w:pStyle w:val="Heading1"/>
        <w:pBdr>
          <w:bottom w:val="single" w:color="2a9d8f" w:sz="6" w:space="4"/>
        </w:pBdr>
        <w:spacing w:after="160" w:before="360"/>
      </w:pPr>
      <w:r>
        <w:rPr>
          <w:rFonts w:ascii="Lora" w:cs="Lora" w:eastAsia="Lora" w:hAnsi="Lora"/>
          <w:b/>
          <w:bCs/>
          <w:color w:val="1a3a5c"/>
          <w:sz w:val="36"/>
          <w:szCs w:val="36"/>
        </w:rPr>
        <w:t xml:space="preserve">1. Brand Overview</w:t>
      </w:r>
    </w:p>
    <w:p>
      <w:pPr>
        <w:spacing w:after="80" w:before="60"/>
      </w:pPr>
      <w:r>
        <w:rPr>
          <w:rFonts w:ascii="Nunito" w:cs="Nunito" w:eastAsia="Nunito" w:hAnsi="Nunito"/>
          <w:b w:val="false"/>
          <w:bCs w:val="false"/>
          <w:color w:val="1a3a5c"/>
          <w:sz w:val="22"/>
          <w:szCs w:val="22"/>
        </w:rPr>
        <w:t xml:space="preserve">Investing for Mummies (IFM) is a financial education platform built for Indian mums — women who are often excluded from money conversations and want to learn in a way that feels warm, friendly, and empowering.</w:t>
      </w:r>
    </w:p>
    <w:p>
      <w:pPr>
        <w:spacing w:after="80" w:before="0"/>
      </w:pPr>
      <w:r>
        <w:t xml:space="preserve"/>
      </w:r>
    </w:p>
    <w:p>
      <w:pPr>
        <w:pStyle w:val="Heading2"/>
        <w:spacing w:after="120" w:before="240"/>
      </w:pPr>
      <w:r>
        <w:rPr>
          <w:rFonts w:ascii="Lora" w:cs="Lora" w:eastAsia="Lora" w:hAnsi="Lora"/>
          <w:b/>
          <w:bCs/>
          <w:color w:val="1a3a5c"/>
          <w:sz w:val="28"/>
          <w:szCs w:val="28"/>
        </w:rPr>
        <w:t xml:space="preserve">Mission</w:t>
      </w:r>
    </w:p>
    <w:p>
      <w:pPr>
        <w:spacing w:after="80" w:before="60"/>
      </w:pPr>
      <w:r>
        <w:rPr>
          <w:rFonts w:ascii="Nunito" w:cs="Nunito" w:eastAsia="Nunito" w:hAnsi="Nunito"/>
          <w:b w:val="false"/>
          <w:bCs w:val="false"/>
          <w:color w:val="1a3a5c"/>
          <w:sz w:val="22"/>
          <w:szCs w:val="22"/>
        </w:rPr>
        <w:t xml:space="preserve">Make financial literacy feel as natural as a chat with a friend. No jargon. No judgment. Just clarity, confidence, and action.</w:t>
      </w:r>
    </w:p>
    <w:p>
      <w:pPr>
        <w:spacing w:after="80" w:before="0"/>
      </w:pPr>
      <w:r>
        <w:t xml:space="preserve"/>
      </w:r>
    </w:p>
    <w:p>
      <w:pPr>
        <w:pStyle w:val="Heading2"/>
        <w:spacing w:after="120" w:before="240"/>
      </w:pPr>
      <w:r>
        <w:rPr>
          <w:rFonts w:ascii="Lora" w:cs="Lora" w:eastAsia="Lora" w:hAnsi="Lora"/>
          <w:b/>
          <w:bCs/>
          <w:color w:val="1a3a5c"/>
          <w:sz w:val="28"/>
          <w:szCs w:val="28"/>
        </w:rPr>
        <w:t xml:space="preserve">Target Audience</w:t>
      </w:r>
    </w:p>
    <w:p>
      <w:pPr>
        <w:pStyle w:val="ListParagraph"/>
        <w:numPr>
          <w:ilvl w:val="0"/>
          <w:numId w:val="1"/>
        </w:numPr>
        <w:spacing w:after="40" w:before="40"/>
        <w:ind w:left="360" w:hanging="200"/>
      </w:pPr>
      <w:r>
        <w:rPr>
          <w:rFonts w:ascii="Nunito" w:cs="Nunito" w:eastAsia="Nunito" w:hAnsi="Nunito"/>
          <w:color w:val="1a3a5c"/>
          <w:sz w:val="22"/>
          <w:szCs w:val="22"/>
        </w:rPr>
        <w:t xml:space="preserve">Indian women, 28–50, navigating household finances</w:t>
      </w:r>
    </w:p>
    <w:p>
      <w:pPr>
        <w:pStyle w:val="ListParagraph"/>
        <w:numPr>
          <w:ilvl w:val="0"/>
          <w:numId w:val="1"/>
        </w:numPr>
        <w:spacing w:after="40" w:before="40"/>
        <w:ind w:left="360" w:hanging="200"/>
      </w:pPr>
      <w:r>
        <w:rPr>
          <w:rFonts w:ascii="Nunito" w:cs="Nunito" w:eastAsia="Nunito" w:hAnsi="Nunito"/>
          <w:color w:val="1a3a5c"/>
          <w:sz w:val="22"/>
          <w:szCs w:val="22"/>
        </w:rPr>
        <w:t xml:space="preserve">First-time investors or those returning after a break</w:t>
      </w:r>
    </w:p>
    <w:p>
      <w:pPr>
        <w:pStyle w:val="ListParagraph"/>
        <w:numPr>
          <w:ilvl w:val="0"/>
          <w:numId w:val="1"/>
        </w:numPr>
        <w:spacing w:after="40" w:before="40"/>
        <w:ind w:left="360" w:hanging="200"/>
      </w:pPr>
      <w:r>
        <w:rPr>
          <w:rFonts w:ascii="Nunito" w:cs="Nunito" w:eastAsia="Nunito" w:hAnsi="Nunito"/>
          <w:color w:val="1a3a5c"/>
          <w:sz w:val="22"/>
          <w:szCs w:val="22"/>
        </w:rPr>
        <w:t xml:space="preserve">Mums who want to teach their children about money</w:t>
      </w:r>
    </w:p>
    <w:p>
      <w:pPr>
        <w:pStyle w:val="ListParagraph"/>
        <w:numPr>
          <w:ilvl w:val="0"/>
          <w:numId w:val="1"/>
        </w:numPr>
        <w:spacing w:after="40" w:before="40"/>
        <w:ind w:left="360" w:hanging="200"/>
      </w:pPr>
      <w:r>
        <w:rPr>
          <w:rFonts w:ascii="Nunito" w:cs="Nunito" w:eastAsia="Nunito" w:hAnsi="Nunito"/>
          <w:color w:val="1a3a5c"/>
          <w:sz w:val="22"/>
          <w:szCs w:val="22"/>
        </w:rPr>
        <w:t xml:space="preserve">Curious learners who prefer stories and examples over textbooks</w:t>
      </w:r>
    </w:p>
    <w:p>
      <w:pPr>
        <w:spacing w:after="80" w:before="0"/>
      </w:pPr>
      <w:r>
        <w:t xml:space="preserve"/>
      </w:r>
    </w:p>
    <w:p>
      <w:pPr>
        <w:pStyle w:val="Heading2"/>
        <w:spacing w:after="120" w:before="240"/>
      </w:pPr>
      <w:r>
        <w:rPr>
          <w:rFonts w:ascii="Lora" w:cs="Lora" w:eastAsia="Lora" w:hAnsi="Lora"/>
          <w:b/>
          <w:bCs/>
          <w:color w:val="1a3a5c"/>
          <w:sz w:val="28"/>
          <w:szCs w:val="28"/>
        </w:rPr>
        <w:t xml:space="preserve">Brand Personality</w:t>
      </w:r>
    </w:p>
    <w:p>
      <w:pPr>
        <w:pStyle w:val="ListParagraph"/>
        <w:numPr>
          <w:ilvl w:val="0"/>
          <w:numId w:val="1"/>
        </w:numPr>
        <w:spacing w:after="40" w:before="40"/>
        <w:ind w:left="360" w:hanging="200"/>
      </w:pPr>
      <w:r>
        <w:rPr>
          <w:rFonts w:ascii="Nunito" w:cs="Nunito" w:eastAsia="Nunito" w:hAnsi="Nunito"/>
          <w:color w:val="1a3a5c"/>
          <w:sz w:val="22"/>
          <w:szCs w:val="22"/>
        </w:rPr>
        <w:t xml:space="preserve">Warm &amp; encouraging — like a smart friend, not a banker</w:t>
      </w:r>
    </w:p>
    <w:p>
      <w:pPr>
        <w:pStyle w:val="ListParagraph"/>
        <w:numPr>
          <w:ilvl w:val="0"/>
          <w:numId w:val="1"/>
        </w:numPr>
        <w:spacing w:after="40" w:before="40"/>
        <w:ind w:left="360" w:hanging="200"/>
      </w:pPr>
      <w:r>
        <w:rPr>
          <w:rFonts w:ascii="Nunito" w:cs="Nunito" w:eastAsia="Nunito" w:hAnsi="Nunito"/>
          <w:color w:val="1a3a5c"/>
          <w:sz w:val="22"/>
          <w:szCs w:val="22"/>
        </w:rPr>
        <w:t xml:space="preserve">Clear &amp; direct — no filler, no fluff</w:t>
      </w:r>
    </w:p>
    <w:p>
      <w:pPr>
        <w:pStyle w:val="ListParagraph"/>
        <w:numPr>
          <w:ilvl w:val="0"/>
          <w:numId w:val="1"/>
        </w:numPr>
        <w:spacing w:after="40" w:before="40"/>
        <w:ind w:left="360" w:hanging="200"/>
      </w:pPr>
      <w:r>
        <w:rPr>
          <w:rFonts w:ascii="Nunito" w:cs="Nunito" w:eastAsia="Nunito" w:hAnsi="Nunito"/>
          <w:color w:val="1a3a5c"/>
          <w:sz w:val="22"/>
          <w:szCs w:val="22"/>
        </w:rPr>
        <w:t xml:space="preserve">Playful but credible — games and emoji, grounded in real finance</w:t>
      </w:r>
    </w:p>
    <w:p>
      <w:pPr>
        <w:pStyle w:val="ListParagraph"/>
        <w:numPr>
          <w:ilvl w:val="0"/>
          <w:numId w:val="1"/>
        </w:numPr>
        <w:spacing w:after="40" w:before="40"/>
        <w:ind w:left="360" w:hanging="200"/>
      </w:pPr>
      <w:r>
        <w:rPr>
          <w:rFonts w:ascii="Nunito" w:cs="Nunito" w:eastAsia="Nunito" w:hAnsi="Nunito"/>
          <w:color w:val="1a3a5c"/>
          <w:sz w:val="22"/>
          <w:szCs w:val="22"/>
        </w:rPr>
        <w:t xml:space="preserve">Indian at heart — Indian number formatting, Indian investment products</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2. Logo Usage</w:t>
      </w:r>
    </w:p>
    <w:p>
      <w:pPr>
        <w:spacing w:after="80" w:before="60"/>
      </w:pPr>
      <w:r>
        <w:rPr>
          <w:rFonts w:ascii="Nunito" w:cs="Nunito" w:eastAsia="Nunito" w:hAnsi="Nunito"/>
          <w:b w:val="false"/>
          <w:bCs w:val="false"/>
          <w:color w:val="1a3a5c"/>
          <w:sz w:val="22"/>
          <w:szCs w:val="22"/>
        </w:rPr>
        <w:t xml:space="preserve">Five logo files live in the CLAUDE project folder. Always pick the right file for the right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File</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Background</w:t>
            </w:r>
          </w:p>
        </w:tc>
        <w:tc>
          <w:tcPr>
            <w:tcW w:type="dxa" w:w="49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Use When…</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IFM logo white background.png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White / light</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Print reports, Word docs, email headers, light-background cards</w:t>
            </w:r>
          </w:p>
        </w:tc>
      </w:tr>
      <w:tr>
        <w:tc>
          <w:tcPr>
            <w:tcW w:type="dxa" w:w="2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IFM logo teal background.png</w:t>
            </w:r>
          </w:p>
        </w:tc>
        <w:tc>
          <w:tcPr>
            <w:tcW w:type="dxa" w:w="18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Mint / teal</w:t>
            </w:r>
          </w:p>
        </w:tc>
        <w:tc>
          <w:tcPr>
            <w:tcW w:type="dxa" w:w="49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In-app hero banners on light gradient backgrounds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IFM logo black background.png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Dark / black</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Dark-mode screens, dark social posts, presentations on dark slides</w:t>
            </w:r>
          </w:p>
        </w:tc>
      </w:tr>
      <w:tr>
        <w:tc>
          <w:tcPr>
            <w:tcW w:type="dxa" w:w="2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IFM logo (TM) round.png</w:t>
            </w:r>
          </w:p>
        </w:tc>
        <w:tc>
          <w:tcPr>
            <w:tcW w:type="dxa" w:w="18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Transparent</w:t>
            </w:r>
          </w:p>
        </w:tc>
        <w:tc>
          <w:tcPr>
            <w:tcW w:type="dxa" w:w="49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App header icon, favicon, small circular avatar slots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IFM round logo for watermark.png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Transparent</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Watermarks, print footers, subtle background stamps</w:t>
            </w:r>
          </w:p>
        </w:tc>
      </w:tr>
    </w:tbl>
    <w:p>
      <w:pPr>
        <w:spacing w:after="80" w:before="0"/>
      </w:pPr>
      <w:r>
        <w:t xml:space="preserve"/>
      </w:r>
    </w:p>
    <w:p>
      <w:pPr>
        <w:pStyle w:val="Heading2"/>
        <w:spacing w:after="120" w:before="240"/>
      </w:pPr>
      <w:r>
        <w:rPr>
          <w:rFonts w:ascii="Lora" w:cs="Lora" w:eastAsia="Lora" w:hAnsi="Lora"/>
          <w:b/>
          <w:bCs/>
          <w:color w:val="1a3a5c"/>
          <w:sz w:val="28"/>
          <w:szCs w:val="28"/>
        </w:rPr>
        <w:t xml:space="preserve">Rules</w:t>
      </w:r>
    </w:p>
    <w:p>
      <w:pPr>
        <w:pStyle w:val="ListParagraph"/>
        <w:numPr>
          <w:ilvl w:val="0"/>
          <w:numId w:val="1"/>
        </w:numPr>
        <w:spacing w:after="40" w:before="40"/>
        <w:ind w:left="360" w:hanging="200"/>
      </w:pPr>
      <w:r>
        <w:rPr>
          <w:rFonts w:ascii="Nunito" w:cs="Nunito" w:eastAsia="Nunito" w:hAnsi="Nunito"/>
          <w:color w:val="1a3a5c"/>
          <w:sz w:val="22"/>
          <w:szCs w:val="22"/>
        </w:rPr>
        <w:t xml:space="preserve">In-app iframe headers: always use the round watermark logo — it fits the circular header slot</w:t>
      </w:r>
    </w:p>
    <w:p>
      <w:pPr>
        <w:pStyle w:val="ListParagraph"/>
        <w:numPr>
          <w:ilvl w:val="0"/>
          <w:numId w:val="1"/>
        </w:numPr>
        <w:spacing w:after="40" w:before="40"/>
        <w:ind w:left="360" w:hanging="200"/>
      </w:pPr>
      <w:r>
        <w:rPr>
          <w:b w:val="0"/>
          <w:highlight w:val="yellow"/>
        </w:rPr>
        <w:t>Game hero banners: inject the white rectangular logo (PRINT_LOGO_SRC) via the .hero-logo-wide CSS class — NOT ifm-logo-sq.png (deprecated) and never the round watermark. See Section 18.</w:t>
      </w:r>
    </w:p>
    <w:p>
      <w:pPr>
        <w:pStyle w:val="ListParagraph"/>
        <w:numPr>
          <w:ilvl w:val="0"/>
          <w:numId w:val="1"/>
        </w:numPr>
        <w:spacing w:after="40" w:before="40"/>
        <w:ind w:left="360" w:hanging="200"/>
      </w:pPr>
      <w:r>
        <w:rPr>
          <w:rFonts w:ascii="Nunito" w:cs="Nunito" w:eastAsia="Nunito" w:hAnsi="Nunito"/>
          <w:color w:val="1a3a5c"/>
          <w:sz w:val="22"/>
          <w:szCs w:val="22"/>
        </w:rPr>
        <w:t xml:space="preserve">Print / PDF reports: use IFM logo white background.png — stored as window.PRINT_LOGO_SRC</w:t>
      </w:r>
    </w:p>
    <w:p>
      <w:pPr>
        <w:pStyle w:val="ListParagraph"/>
        <w:numPr>
          <w:ilvl w:val="0"/>
          <w:numId w:val="1"/>
        </w:numPr>
        <w:spacing w:after="40" w:before="40"/>
        <w:ind w:left="360" w:hanging="200"/>
      </w:pPr>
      <w:r>
        <w:rPr>
          <w:rFonts w:ascii="Nunito" w:cs="Nunito" w:eastAsia="Nunito" w:hAnsi="Nunito"/>
          <w:color w:val="1a3a5c"/>
          <w:sz w:val="22"/>
          <w:szCs w:val="22"/>
        </w:rPr>
        <w:t xml:space="preserve">Word / PDF documents: embed IFM logo white background.png, ~4cm wide, left-aligned</w:t>
      </w:r>
    </w:p>
    <w:p>
      <w:pPr>
        <w:pStyle w:val="ListParagraph"/>
        <w:numPr>
          <w:ilvl w:val="0"/>
          <w:numId w:val="1"/>
        </w:numPr>
        <w:spacing w:after="40" w:before="40"/>
        <w:ind w:left="360" w:hanging="200"/>
      </w:pPr>
      <w:r>
        <w:rPr>
          <w:rFonts w:ascii="Nunito" w:cs="Nunito" w:eastAsia="Nunito" w:hAnsi="Nunito"/>
          <w:color w:val="1a3a5c"/>
          <w:sz w:val="22"/>
          <w:szCs w:val="22"/>
        </w:rPr>
        <w:t xml:space="preserve">NEVER pass the round watermark logo to generateReport() — use PRINT_LOGO_SRC</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3. Colour Palette</w:t>
      </w:r>
    </w:p>
    <w:p>
      <w:pPr>
        <w:spacing w:after="80" w:before="60"/>
      </w:pPr>
      <w:r>
        <w:rPr>
          <w:rFonts w:ascii="Nunito" w:cs="Nunito" w:eastAsia="Nunito" w:hAnsi="Nunito"/>
          <w:b w:val="false"/>
          <w:bCs w:val="false"/>
          <w:color w:val="1a3a5c"/>
          <w:sz w:val="22"/>
          <w:szCs w:val="22"/>
        </w:rPr>
        <w:t xml:space="preserve">Always use CSS variables — never hardcode hex values in styles. The CSS variables are declared in :root at the top of index.html.</w:t>
      </w:r>
    </w:p>
    <w:p>
      <w:pPr>
        <w:spacing w:after="80" w:before="0"/>
      </w:pPr>
      <w:r>
        <w:t xml:space="preserve"/>
      </w:r>
    </w:p>
    <w:p>
      <w:pPr>
        <w:spacing w:after="20" w:before="40"/>
      </w:pPr>
      <w:r>
        <w:rPr>
          <w:rFonts w:ascii="Nunito" w:cs="Nunito" w:eastAsia="Nunito" w:hAnsi="Nunito"/>
          <w:b/>
          <w:bCs/>
          <w:color w:val="5a7d8a"/>
          <w:sz w:val="16"/>
          <w:szCs w:val="16"/>
        </w:rPr>
        <w:t xml:space="preserve">PRIMARY PALETTE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5160"/>
      </w:tblGrid>
      <w:tr>
        <w:trPr>
          <w:tblHeader/>
        </w:trPr>
        <w:tc>
          <w:tcPr>
            <w:tcW w:type="dxa" w:w="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
            </w:r>
          </w:p>
        </w:tc>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Variable</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Hex</w:t>
            </w:r>
          </w:p>
        </w:tc>
        <w:tc>
          <w:tcPr>
            <w:tcW w:type="dxa" w:w="51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Use</w:t>
            </w:r>
          </w:p>
        </w:tc>
      </w:tr>
      <w:tr>
        <w:tc>
          <w:tcPr>
            <w:tcW w:type="dxa" w:w="600"/>
            <w:tcBorders>
              <w:top w:val="single" w:color="dddddd" w:sz="4"/>
              <w:left w:val="single" w:color="dddddd" w:sz="4"/>
              <w:bottom w:val="single" w:color="dddddd" w:sz="4"/>
              <w:right w:val="single" w:color="dddddd" w:sz="4"/>
            </w:tcBorders>
            <w:shd w:fill="1a3a5c"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--navy</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#1a3a5c</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Headings, dark text, buttons, active states</w:t>
            </w:r>
          </w:p>
        </w:tc>
      </w:tr>
      <w:tr>
        <w:tc>
          <w:tcPr>
            <w:tcW w:type="dxa" w:w="600"/>
            <w:tcBorders>
              <w:top w:val="single" w:color="dddddd" w:sz="4"/>
              <w:left w:val="single" w:color="dddddd" w:sz="4"/>
              <w:bottom w:val="single" w:color="dddddd" w:sz="4"/>
              <w:right w:val="single" w:color="dddddd" w:sz="4"/>
            </w:tcBorders>
            <w:shd w:fill="1a3a5c"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--ink</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#1a3a5c</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Alias for --navy at the same hex — used in place of pure black (#000000); same value, kept as a distinct name for semantic clarity</w:t>
            </w:r>
          </w:p>
        </w:tc>
      </w:tr>
      <w:tr>
        <w:tc>
          <w:tcPr>
            <w:tcW w:type="dxa" w:w="600"/>
            <w:tcBorders>
              <w:top w:val="single" w:color="dddddd" w:sz="4"/>
              <w:left w:val="single" w:color="dddddd" w:sz="4"/>
              <w:bottom w:val="single" w:color="dddddd" w:sz="4"/>
              <w:right w:val="single" w:color="dddddd" w:sz="4"/>
            </w:tcBorders>
            <w:shd w:fill="2a9d8f"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--teal</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#2a9d8f</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Primary brand accent, borders, highlights</w:t>
            </w:r>
          </w:p>
        </w:tc>
      </w:tr>
      <w:tr>
        <w:tc>
          <w:tcPr>
            <w:tcW w:type="dxa" w:w="600"/>
            <w:tcBorders>
              <w:top w:val="single" w:color="dddddd" w:sz="4"/>
              <w:left w:val="single" w:color="dddddd" w:sz="4"/>
              <w:bottom w:val="single" w:color="dddddd" w:sz="4"/>
              <w:right w:val="single" w:color="dddddd" w:sz="4"/>
            </w:tcBorders>
            <w:shd w:fill="5a7d8a"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--muted</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#5a7d8a</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Secondary text, labels, placeholders</w:t>
            </w:r>
          </w:p>
        </w:tc>
      </w:tr>
      <w:tr>
        <w:tc>
          <w:tcPr>
            <w:tcW w:type="dxa" w:w="600"/>
            <w:tcBorders>
              <w:top w:val="single" w:color="dddddd" w:sz="4"/>
              <w:left w:val="single" w:color="dddddd" w:sz="4"/>
              <w:bottom w:val="single" w:color="dddddd" w:sz="4"/>
              <w:right w:val="single" w:color="dddddd" w:sz="4"/>
            </w:tcBorders>
            <w:shd w:fill="f7faf9"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--cream</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#f7faf9</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Page background</w:t>
            </w:r>
          </w:p>
        </w:tc>
      </w:tr>
      <w:tr>
        <w:tc>
          <w:tcPr>
            <w:tcW w:type="dxa" w:w="600"/>
            <w:tcBorders>
              <w:top w:val="single" w:color="dddddd" w:sz="4"/>
              <w:left w:val="single" w:color="dddddd" w:sz="4"/>
              <w:bottom w:val="single" w:color="dddddd" w:sz="4"/>
              <w:right w:val="single" w:color="dddddd" w:sz="4"/>
            </w:tcBorders>
            <w:shd w:fill="ffffff"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--white</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#ffffff</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Card backgrounds</w:t>
            </w:r>
          </w:p>
        </w:tc>
      </w:tr>
      <w:tr>
        <w:tc>
          <w:tcPr>
            <w:tcW w:type="dxa" w:w="600"/>
            <w:tcBorders>
              <w:top w:val="single" w:color="dddddd" w:sz="4"/>
              <w:left w:val="single" w:color="dddddd" w:sz="4"/>
              <w:bottom w:val="single" w:color="dddddd" w:sz="4"/>
              <w:right w:val="single" w:color="dddddd" w:sz="4"/>
            </w:tcBorders>
            <w:shd w:fill="bde9e4"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--mint</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#bde9e4</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Borders, light accents</w:t>
            </w:r>
          </w:p>
        </w:tc>
      </w:tr>
      <w:tr>
        <w:tc>
          <w:tcPr>
            <w:tcW w:type="dxa" w:w="600"/>
            <w:tcBorders>
              <w:top w:val="single" w:color="dddddd" w:sz="4"/>
              <w:left w:val="single" w:color="dddddd" w:sz="4"/>
              <w:bottom w:val="single" w:color="dddddd" w:sz="4"/>
              <w:right w:val="single" w:color="dddddd" w:sz="4"/>
            </w:tcBorders>
            <w:shd w:fill="e0f3f0"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--mint-lt</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#e0f3f0</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Highlight backgrounds, feedback panels</w:t>
            </w:r>
          </w:p>
        </w:tc>
      </w:tr>
      <w:tr>
        <w:tc>
          <w:tcPr>
            <w:tcW w:type="dxa" w:w="600"/>
            <w:tcBorders>
              <w:top w:val="single" w:color="dddddd" w:sz="4"/>
              <w:left w:val="single" w:color="dddddd" w:sz="4"/>
              <w:bottom w:val="single" w:color="dddddd" w:sz="4"/>
              <w:right w:val="single" w:color="dddddd" w:sz="4"/>
            </w:tcBorders>
            <w:shd w:fill="c9a84c"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--gold</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#c9a84c</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Gold game elements, special highlights</w:t>
            </w:r>
          </w:p>
        </w:tc>
      </w:tr>
      <w:tr>
        <w:tc>
          <w:tcPr>
            <w:tcW w:type="dxa" w:w="600"/>
            <w:tcBorders>
              <w:top w:val="single" w:color="dddddd" w:sz="4"/>
              <w:left w:val="single" w:color="dddddd" w:sz="4"/>
              <w:bottom w:val="single" w:color="dddddd" w:sz="4"/>
              <w:right w:val="single" w:color="dddddd" w:sz="4"/>
            </w:tcBorders>
            <w:shd w:fill="f5f0e0"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--gold-lt</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#f5f0e0</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Warning badges, gold-themed backgrounds</w:t>
            </w:r>
          </w:p>
        </w:tc>
      </w:tr>
      <w:tr>
        <w:tc>
          <w:tcPr>
            <w:tcW w:type="dxa" w:w="600"/>
            <w:tcBorders>
              <w:top w:val="single" w:color="dddddd" w:sz="4"/>
              <w:left w:val="single" w:color="dddddd" w:sz="4"/>
              <w:bottom w:val="single" w:color="dddddd" w:sz="4"/>
              <w:right w:val="single" w:color="dddddd" w:sz="4"/>
            </w:tcBorders>
            <w:shd w:fill="264d78"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--navy-lt</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#264d78</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Button gradients, secondary navy</w:t>
            </w:r>
          </w:p>
        </w:tc>
      </w:tr>
      <w:tr>
        <w:tc>
          <w:tcPr>
            <w:tcW w:type="dxa" w:w="600"/>
            <w:tcBorders>
              <w:top w:val="single" w:color="dddddd" w:sz="4"/>
              <w:left w:val="single" w:color="dddddd" w:sz="4"/>
              <w:bottom w:val="single" w:color="dddddd" w:sz="4"/>
              <w:right w:val="single" w:color="dddddd" w:sz="4"/>
            </w:tcBorders>
            <w:shd w:fill="27AE60"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--success</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#27AE60</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Correct answers, positive feedback</w:t>
            </w:r>
          </w:p>
        </w:tc>
      </w:tr>
      <w:tr>
        <w:tc>
          <w:tcPr>
            <w:tcW w:type="dxa" w:w="600"/>
            <w:tcBorders>
              <w:top w:val="single" w:color="dddddd" w:sz="4"/>
              <w:left w:val="single" w:color="dddddd" w:sz="4"/>
              <w:bottom w:val="single" w:color="dddddd" w:sz="4"/>
              <w:right w:val="single" w:color="dddddd" w:sz="4"/>
            </w:tcBorders>
            <w:shd w:fill="c0392b" w:val="clear"/>
          </w:tcPr>
          <w:p>
            <w:r>
              <w:t xml:space="preserve"/>
            </w:r>
          </w:p>
        </w:tc>
        <w:tc>
          <w:tcPr>
            <w:tcW w:type="dxa" w:w="22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b/>
                <w:bCs/>
                <w:color w:val="1a3a5c"/>
                <w:sz w:val="20"/>
                <w:szCs w:val="20"/>
              </w:rPr>
              <w:t xml:space="preserve">--danger</w:t>
            </w:r>
          </w:p>
        </w:tc>
        <w:tc>
          <w:tcPr>
            <w:tcW w:type="dxa" w:w="140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Courier New" w:cs="Courier New" w:eastAsia="Courier New" w:hAnsi="Courier New"/>
                <w:color w:val="5a7d8a"/>
                <w:sz w:val="20"/>
                <w:szCs w:val="20"/>
              </w:rPr>
              <w:t xml:space="preserve">#c0392b</w:t>
            </w:r>
          </w:p>
        </w:tc>
        <w:tc>
          <w:tcPr>
            <w:tcW w:type="dxa" w:w="51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Nunito" w:cs="Nunito" w:eastAsia="Nunito" w:hAnsi="Nunito"/>
                <w:color w:val="1a3a5c"/>
                <w:sz w:val="20"/>
                <w:szCs w:val="20"/>
              </w:rPr>
              <w:t xml:space="preserve">Wrong answers, errors, alerts</w:t>
            </w:r>
          </w:p>
        </w:tc>
      </w:tr>
    </w:tbl>
    <w:p>
      <w:pPr>
        <w:spacing w:after="80" w:before="0"/>
      </w:pPr>
      <w:r>
        <w:t xml:space="preserve"/>
      </w:r>
    </w:p>
    <w:p>
      <w:pPr>
        <w:pStyle w:val="Heading2"/>
        <w:spacing w:after="120" w:before="240"/>
      </w:pPr>
      <w:r>
        <w:rPr>
          <w:rFonts w:ascii="Lora" w:cs="Lora" w:eastAsia="Lora" w:hAnsi="Lora"/>
          <w:b/>
          <w:bCs/>
          <w:color w:val="1a3a5c"/>
          <w:sz w:val="28"/>
          <w:szCs w:val="28"/>
        </w:rPr>
        <w:t xml:space="preserve">Gradient Rule</w:t>
      </w:r>
    </w:p>
    <w:p>
      <w:pPr>
        <w:pStyle w:val="ListParagraph"/>
        <w:numPr>
          <w:ilvl w:val="0"/>
          <w:numId w:val="1"/>
        </w:numPr>
        <w:spacing w:after="40" w:before="40"/>
        <w:ind w:left="360" w:hanging="200"/>
      </w:pPr>
      <w:r>
        <w:rPr>
          <w:rFonts w:ascii="Nunito" w:cs="Nunito" w:eastAsia="Nunito" w:hAnsi="Nunito"/>
          <w:color w:val="1a3a5c"/>
          <w:sz w:val="22"/>
          <w:szCs w:val="22"/>
        </w:rPr>
        <w:t xml:space="preserve">All gradients: 135deg, lighter colour → darker colour</w:t>
      </w:r>
    </w:p>
    <w:p>
      <w:pPr>
        <w:pStyle w:val="ListParagraph"/>
        <w:numPr>
          <w:ilvl w:val="0"/>
          <w:numId w:val="1"/>
        </w:numPr>
        <w:spacing w:after="40" w:before="40"/>
        <w:ind w:left="360" w:hanging="200"/>
      </w:pPr>
      <w:r>
        <w:rPr>
          <w:rFonts w:ascii="Nunito" w:cs="Nunito" w:eastAsia="Nunito" w:hAnsi="Nunito"/>
          <w:color w:val="1a3a5c"/>
          <w:sz w:val="22"/>
          <w:szCs w:val="22"/>
        </w:rPr>
        <w:t xml:space="preserve">Primary button gradient: linear-gradient(135deg, var(--navy), var(--teal))</w:t>
      </w:r>
    </w:p>
    <w:p>
      <w:pPr>
        <w:pStyle w:val="ListParagraph"/>
        <w:numPr>
          <w:ilvl w:val="0"/>
          <w:numId w:val="1"/>
        </w:numPr>
        <w:spacing w:after="40" w:before="40"/>
        <w:ind w:left="360" w:hanging="200"/>
      </w:pPr>
      <w:r>
        <w:rPr>
          <w:rFonts w:ascii="Nunito" w:cs="Nunito" w:eastAsia="Nunito" w:hAnsi="Nunito"/>
          <w:color w:val="1a3a5c"/>
          <w:sz w:val="22"/>
          <w:szCs w:val="22"/>
        </w:rPr>
        <w:t xml:space="preserve">Hero banner gradients: use the game's theme colour pair, always with white text on top</w:t>
      </w:r>
    </w:p>
    <w:p>
      <w:pPr>
        <w:pStyle w:val="ListParagraph"/>
        <w:numPr>
          <w:ilvl w:val="0"/>
          <w:numId w:val="1"/>
        </w:numPr>
        <w:spacing w:after="40" w:before="40"/>
        <w:ind w:left="360" w:hanging="200"/>
      </w:pPr>
      <w:r>
        <w:rPr>
          <w:rFonts w:ascii="Nunito" w:cs="Nunito" w:eastAsia="Nunito" w:hAnsi="Nunito"/>
          <w:color w:val="1a3a5c"/>
          <w:sz w:val="22"/>
          <w:szCs w:val="22"/>
          <w:highlight w:val="yellow"/>
        </w:rPr>
        <w:t xml:space="preserve">Never use pure black — use --ink (#1a3a5c) instead</w:t>
      </w:r>
    </w:p>
    <w:p>
      <w:pPr>
        <w:pStyle w:val="ListParagraph"/>
      </w:pPr>
      <w:r>
        <w:rPr>
          <w:b/>
        </w:rPr>
        <w:t>Resolved 2026-07-28: --teal has been reconciled to #2a9d8f across every game (previously drifted to #1a3a5c / #0e7a6e in places).</w:t>
      </w:r>
    </w:p>
    <w:p>
      <w:pPr>
        <w:pStyle w:val="ListParagraph"/>
      </w:pPr>
      <w:r>
        <w:rPr>
          <w:b/>
        </w:rPr>
        <w:t>Resolved 2026-07-28: --ink is now declared in :root as an alias for --navy (#1a3a5c) — see the palette table above.</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4. Typography</w:t>
      </w:r>
    </w:p>
    <w:p>
      <w:pPr>
        <w:pStyle w:val="Heading2"/>
        <w:spacing w:after="120" w:before="240"/>
      </w:pPr>
      <w:r>
        <w:rPr>
          <w:rFonts w:ascii="Lora" w:cs="Lora" w:eastAsia="Lora" w:hAnsi="Lora"/>
          <w:b/>
          <w:bCs/>
          <w:color w:val="1a3a5c"/>
          <w:sz w:val="28"/>
          <w:szCs w:val="28"/>
        </w:rPr>
        <w:t xml:space="preserve">Font Families</w:t>
      </w:r>
    </w:p>
    <w:p>
      <w:pPr>
        <w:spacing w:after="80" w:before="60"/>
      </w:pPr>
      <w:r>
        <w:rPr>
          <w:rFonts w:ascii="Nunito" w:cs="Nunito" w:eastAsia="Nunito" w:hAnsi="Nunito"/>
          <w:b w:val="false"/>
          <w:bCs w:val="false"/>
          <w:color w:val="1a3a5c"/>
          <w:sz w:val="22"/>
          <w:szCs w:val="22"/>
        </w:rPr>
        <w:t xml:space="preserve">Two fonts only. Both loaded from Google Fonts at the top of every file — never use system fonts.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Font</w:t>
            </w:r>
          </w:p>
        </w:tc>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Weights</w:t>
            </w:r>
          </w:p>
        </w:tc>
        <w:tc>
          <w:tcPr>
            <w:tcW w:type="dxa" w:w="48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Use</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Nunito</w:t>
            </w:r>
          </w:p>
        </w:tc>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400, 600, 700, 800, 900</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Body text, UI labels, buttons, inputs, tags — the brand voice</w:t>
            </w:r>
          </w:p>
        </w:tc>
      </w:tr>
      <w:tr>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Lora</w:t>
            </w:r>
          </w:p>
        </w:tc>
        <w:tc>
          <w:tcPr>
            <w:tcW w:type="dxa" w:w="25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600, italic 600</w:t>
            </w:r>
          </w:p>
        </w:tc>
        <w:tc>
          <w:tcPr>
            <w:tcW w:type="dxa" w:w="4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Headings, card titles, serif moments — adds warmth &amp; trust</w:t>
            </w:r>
          </w:p>
        </w:tc>
      </w:tr>
    </w:tbl>
    <w:p>
      <w:pPr>
        <w:spacing w:after="80" w:before="0"/>
      </w:pPr>
      <w:r>
        <w:t xml:space="preserve"/>
      </w:r>
    </w:p>
    <w:p>
      <w:pPr>
        <w:pStyle w:val="Heading2"/>
        <w:spacing w:after="120" w:before="240"/>
      </w:pPr>
      <w:r>
        <w:rPr>
          <w:rFonts w:ascii="Lora" w:cs="Lora" w:eastAsia="Lora" w:hAnsi="Lora"/>
          <w:b/>
          <w:bCs/>
          <w:color w:val="1a3a5c"/>
          <w:sz w:val="28"/>
          <w:szCs w:val="2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9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Element</w:t>
            </w:r>
          </w:p>
        </w:tc>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Size</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Weight</w:t>
            </w:r>
          </w:p>
        </w:tc>
        <w:tc>
          <w:tcPr>
            <w:tcW w:type="dxa" w:w="29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Font</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Page / section heading</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clamp(1.2rem, 2.5vw, 1.6rem)</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700</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Lora</w:t>
            </w:r>
          </w:p>
        </w:tc>
      </w:tr>
      <w:tr>
        <w:tc>
          <w:tcPr>
            <w:tcW w:type="dxa" w:w="28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Card title</w:t>
            </w:r>
          </w:p>
        </w:tc>
        <w:tc>
          <w:tcPr>
            <w:tcW w:type="dxa" w:w="22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Courier New" w:cs="Courier New" w:eastAsia="Courier New" w:hAnsi="Courier New"/>
                <w:color w:val="1a3a5c"/>
                <w:sz w:val="19"/>
                <w:szCs w:val="19"/>
              </w:rPr>
              <w:t xml:space="preserve">0.92rem</w:t>
            </w:r>
          </w:p>
        </w:tc>
        <w:tc>
          <w:tcPr>
            <w:tcW w:type="dxa" w:w="14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700</w:t>
            </w:r>
          </w:p>
        </w:tc>
        <w:tc>
          <w:tcPr>
            <w:tcW w:type="dxa" w:w="29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Lora</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Body / inputs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Courier New" w:cs="Courier New" w:eastAsia="Courier New" w:hAnsi="Courier New"/>
                <w:color w:val="1a3a5c"/>
                <w:sz w:val="19"/>
                <w:szCs w:val="19"/>
              </w:rPr>
              <w:t xml:space="preserve">0.85–0.92rem</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600–700</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Nunito</w:t>
            </w:r>
          </w:p>
        </w:tc>
      </w:tr>
      <w:tr>
        <w:tc>
          <w:tcPr>
            <w:tcW w:type="dxa" w:w="28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Labels / secondary</w:t>
            </w:r>
          </w:p>
        </w:tc>
        <w:tc>
          <w:tcPr>
            <w:tcW w:type="dxa" w:w="22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Courier New" w:cs="Courier New" w:eastAsia="Courier New" w:hAnsi="Courier New"/>
                <w:color w:val="1a3a5c"/>
                <w:sz w:val="19"/>
                <w:szCs w:val="19"/>
              </w:rPr>
              <w:t xml:space="preserve">0.75–0.78rem</w:t>
            </w:r>
          </w:p>
        </w:tc>
        <w:tc>
          <w:tcPr>
            <w:tcW w:type="dxa" w:w="14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700</w:t>
            </w:r>
          </w:p>
        </w:tc>
        <w:tc>
          <w:tcPr>
            <w:tcW w:type="dxa" w:w="29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Nunito</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Tags / caps labels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Courier New" w:cs="Courier New" w:eastAsia="Courier New" w:hAnsi="Courier New"/>
                <w:color w:val="1a3a5c"/>
                <w:sz w:val="19"/>
                <w:szCs w:val="19"/>
              </w:rPr>
              <w:t xml:space="preserve">0.55–0.65rem</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800–900</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Nunito + uppercase + letter-spacing: 1px</w:t>
            </w:r>
          </w:p>
        </w:tc>
      </w:tr>
      <w:tr>
        <w:tc>
          <w:tcPr>
            <w:tcW w:type="dxa" w:w="28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Values / numbers</w:t>
            </w:r>
          </w:p>
        </w:tc>
        <w:tc>
          <w:tcPr>
            <w:tcW w:type="dxa" w:w="22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1.1–1.5rem</w:t>
            </w:r>
          </w:p>
        </w:tc>
        <w:tc>
          <w:tcPr>
            <w:tcW w:type="dxa" w:w="14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600</w:t>
            </w:r>
          </w:p>
        </w:tc>
        <w:tc>
          <w:tcPr>
            <w:tcW w:type="dxa" w:w="29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Lora</w:t>
            </w:r>
          </w:p>
        </w:tc>
      </w:tr>
    </w:tbl>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5. UI Components</w:t>
      </w:r>
    </w:p>
    <w:p>
      <w:pPr>
        <w:pStyle w:val="Heading2"/>
        <w:spacing w:after="120" w:before="240"/>
      </w:pPr>
      <w:r>
        <w:rPr>
          <w:rFonts w:ascii="Lora" w:cs="Lora" w:eastAsia="Lora" w:hAnsi="Lora"/>
          <w:b/>
          <w:bCs/>
          <w:color w:val="1a3a5c"/>
          <w:sz w:val="28"/>
          <w:szCs w:val="28"/>
        </w:rPr>
        <w:t xml:space="preserve">Cards</w:t>
      </w:r>
    </w:p>
    <w:p>
      <w:pPr>
        <w:spacing w:after="80" w:before="60"/>
      </w:pPr>
      <w:r>
        <w:rPr>
          <w:rFonts w:ascii="Nunito" w:cs="Nunito" w:eastAsia="Nunito" w:hAnsi="Nunito"/>
          <w:b w:val="false"/>
          <w:bCs w:val="false"/>
          <w:color w:val="1a3a5c"/>
          <w:sz w:val="22"/>
          <w:szCs w:val="22"/>
        </w:rPr>
        <w:t xml:space="preserve">All content cards share these exact styles:</w:t>
      </w:r>
    </w:p>
    <w:p>
      <w:pPr>
        <w:pStyle w:val="ListParagraph"/>
        <w:numPr>
          <w:ilvl w:val="0"/>
          <w:numId w:val="1"/>
        </w:numPr>
        <w:spacing w:after="40" w:before="40"/>
        <w:ind w:left="360" w:hanging="200"/>
      </w:pPr>
      <w:r>
        <w:rPr>
          <w:rFonts w:ascii="Nunito" w:cs="Nunito" w:eastAsia="Nunito" w:hAnsi="Nunito"/>
          <w:b/>
          <w:bCs/>
          <w:color w:val="1a3a5c"/>
          <w:sz w:val="22"/>
          <w:szCs w:val="22"/>
        </w:rPr>
        <w:t xml:space="preserve">border-radius: 14px</w:t>
      </w:r>
    </w:p>
    <w:p>
      <w:pPr>
        <w:pStyle w:val="ListParagraph"/>
        <w:numPr>
          <w:ilvl w:val="0"/>
          <w:numId w:val="1"/>
        </w:numPr>
        <w:spacing w:after="40" w:before="40"/>
        <w:ind w:left="360" w:hanging="200"/>
      </w:pPr>
      <w:r>
        <w:rPr>
          <w:rFonts w:ascii="Nunito" w:cs="Nunito" w:eastAsia="Nunito" w:hAnsi="Nunito"/>
          <w:b/>
          <w:bCs/>
          <w:color w:val="1a3a5c"/>
          <w:sz w:val="22"/>
          <w:szCs w:val="22"/>
        </w:rPr>
        <w:t xml:space="preserve">padding: 16px</w:t>
      </w:r>
    </w:p>
    <w:p>
      <w:pPr>
        <w:pStyle w:val="ListParagraph"/>
        <w:numPr>
          <w:ilvl w:val="0"/>
          <w:numId w:val="1"/>
        </w:numPr>
        <w:spacing w:after="40" w:before="40"/>
        <w:ind w:left="360" w:hanging="200"/>
      </w:pPr>
      <w:r>
        <w:rPr>
          <w:rFonts w:ascii="Nunito" w:cs="Nunito" w:eastAsia="Nunito" w:hAnsi="Nunito"/>
          <w:b/>
          <w:bCs/>
          <w:color w:val="1a3a5c"/>
          <w:sz w:val="22"/>
          <w:szCs w:val="22"/>
        </w:rPr>
        <w:t xml:space="preserve">background: var(--white)</w:t>
      </w:r>
    </w:p>
    <w:p>
      <w:pPr>
        <w:pStyle w:val="ListParagraph"/>
        <w:numPr>
          <w:ilvl w:val="0"/>
          <w:numId w:val="1"/>
        </w:numPr>
        <w:spacing w:after="40" w:before="40"/>
        <w:ind w:left="360" w:hanging="200"/>
      </w:pPr>
      <w:r>
        <w:rPr>
          <w:rFonts w:ascii="Nunito" w:cs="Nunito" w:eastAsia="Nunito" w:hAnsi="Nunito"/>
          <w:b/>
          <w:bCs/>
          <w:color w:val="1a3a5c"/>
          <w:sz w:val="22"/>
          <w:szCs w:val="22"/>
        </w:rPr>
        <w:t xml:space="preserve">box-shadow:</w:t>
      </w:r>
      <w:r>
        <w:rPr>
          <w:rFonts w:ascii="Nunito" w:cs="Nunito" w:eastAsia="Nunito" w:hAnsi="Nunito"/>
          <w:color w:val="1a3a5c"/>
          <w:sz w:val="22"/>
          <w:szCs w:val="22"/>
        </w:rPr>
        <w:t xml:space="preserve"> 0 2px 12px rgba(26,58,92,0.06)  ← soft, never harsh</w:t>
      </w:r>
    </w:p>
    <w:p>
      <w:pPr>
        <w:pStyle w:val="ListParagraph"/>
        <w:numPr>
          <w:ilvl w:val="0"/>
          <w:numId w:val="1"/>
        </w:numPr>
        <w:spacing w:after="40" w:before="40"/>
        <w:ind w:left="360" w:hanging="200"/>
      </w:pPr>
      <w:r>
        <w:rPr>
          <w:rFonts w:ascii="Nunito" w:cs="Nunito" w:eastAsia="Nunito" w:hAnsi="Nunito"/>
          <w:b/>
          <w:bCs/>
          <w:color w:val="1a3a5c"/>
          <w:sz w:val="22"/>
          <w:szCs w:val="22"/>
        </w:rPr>
        <w:t xml:space="preserve">margin-bottom: 12px</w:t>
      </w:r>
    </w:p>
    <w:p>
      <w:pPr>
        <w:pStyle w:val="ListParagraph"/>
        <w:numPr>
          <w:ilvl w:val="0"/>
          <w:numId w:val="1"/>
        </w:numPr>
        <w:spacing w:after="40" w:before="40"/>
        <w:ind w:left="360" w:hanging="200"/>
      </w:pPr>
      <w:r>
        <w:rPr>
          <w:rFonts w:ascii="Nunito" w:cs="Nunito" w:eastAsia="Nunito" w:hAnsi="Nunito"/>
          <w:color w:val="1a3a5c"/>
          <w:sz w:val="22"/>
          <w:szCs w:val="22"/>
        </w:rPr>
        <w:t xml:space="preserve">Card title: Lora, 0.92rem, --navy, emoji/icon + gap 8px</w:t>
      </w:r>
    </w:p>
    <w:p>
      <w:pPr>
        <w:spacing w:after="80" w:before="0"/>
      </w:pPr>
      <w:r>
        <w:t xml:space="preserve"/>
      </w:r>
    </w:p>
    <w:p>
      <w:pPr>
        <w:pStyle w:val="Heading2"/>
        <w:spacing w:after="120" w:before="240"/>
      </w:pPr>
      <w:r>
        <w:rPr>
          <w:rFonts w:ascii="Lora" w:cs="Lora" w:eastAsia="Lora" w:hAnsi="Lora"/>
          <w:b/>
          <w:bCs/>
          <w:color w:val="1a3a5c"/>
          <w:sz w:val="28"/>
          <w:szCs w:val="28"/>
        </w:rPr>
        <w:t xml:space="preserve">Buttons</w:t>
      </w:r>
    </w:p>
    <w:p>
      <w:pPr>
        <w:spacing w:after="20" w:before="40"/>
      </w:pPr>
      <w:r>
        <w:rPr>
          <w:rFonts w:ascii="Nunito" w:cs="Nunito" w:eastAsia="Nunito" w:hAnsi="Nunito"/>
          <w:b/>
          <w:bCs/>
          <w:color w:val="5a7d8a"/>
          <w:sz w:val="16"/>
          <w:szCs w:val="16"/>
        </w:rPr>
        <w:t xml:space="preserve">PRIMARY</w:t>
      </w:r>
    </w:p>
    <w:p>
      <w:pPr>
        <w:pStyle w:val="ListParagraph"/>
        <w:numPr>
          <w:ilvl w:val="0"/>
          <w:numId w:val="1"/>
        </w:numPr>
        <w:spacing w:after="40" w:before="40"/>
        <w:ind w:left="360" w:hanging="200"/>
      </w:pPr>
      <w:r>
        <w:rPr>
          <w:rFonts w:ascii="Nunito" w:cs="Nunito" w:eastAsia="Nunito" w:hAnsi="Nunito"/>
          <w:color w:val="1a3a5c"/>
          <w:sz w:val="22"/>
          <w:szCs w:val="22"/>
        </w:rPr>
        <w:t xml:space="preserve">background: linear-gradient(135deg, var(--navy), var(--teal))</w:t>
      </w:r>
    </w:p>
    <w:p>
      <w:pPr>
        <w:pStyle w:val="ListParagraph"/>
        <w:numPr>
          <w:ilvl w:val="0"/>
          <w:numId w:val="1"/>
        </w:numPr>
        <w:spacing w:after="40" w:before="40"/>
        <w:ind w:left="360" w:hanging="200"/>
      </w:pPr>
      <w:r>
        <w:rPr>
          <w:rFonts w:ascii="Nunito" w:cs="Nunito" w:eastAsia="Nunito" w:hAnsi="Nunito"/>
          <w:color w:val="1a3a5c"/>
          <w:sz w:val="22"/>
          <w:szCs w:val="22"/>
        </w:rPr>
        <w:t xml:space="preserve">color: #fff  ·  border-radius: 12px  ·  padding: 12px 28px</w:t>
      </w:r>
    </w:p>
    <w:p>
      <w:pPr>
        <w:pStyle w:val="ListParagraph"/>
        <w:numPr>
          <w:ilvl w:val="0"/>
          <w:numId w:val="1"/>
        </w:numPr>
        <w:spacing w:after="40" w:before="40"/>
        <w:ind w:left="360" w:hanging="200"/>
      </w:pPr>
      <w:r>
        <w:rPr>
          <w:rFonts w:ascii="Nunito" w:cs="Nunito" w:eastAsia="Nunito" w:hAnsi="Nunito"/>
          <w:color w:val="1a3a5c"/>
          <w:sz w:val="22"/>
          <w:szCs w:val="22"/>
        </w:rPr>
        <w:t xml:space="preserve">font: 800 0.92rem Nunito  ·  box-shadow: 0 4px 16px rgba(26,58,92,0.2)</w:t>
      </w:r>
    </w:p>
    <w:p>
      <w:pPr>
        <w:spacing w:after="40" w:before="0"/>
      </w:pPr>
      <w:r>
        <w:t xml:space="preserve"/>
      </w:r>
    </w:p>
    <w:p>
      <w:pPr>
        <w:spacing w:after="20" w:before="40"/>
      </w:pPr>
      <w:r>
        <w:rPr>
          <w:rFonts w:ascii="Nunito" w:cs="Nunito" w:eastAsia="Nunito" w:hAnsi="Nunito"/>
          <w:b/>
          <w:bCs/>
          <w:color w:val="5a7d8a"/>
          <w:sz w:val="16"/>
          <w:szCs w:val="16"/>
        </w:rPr>
        <w:t xml:space="preserve">SECONDARY / OUTLINE</w:t>
      </w:r>
    </w:p>
    <w:p>
      <w:pPr>
        <w:pStyle w:val="ListParagraph"/>
        <w:numPr>
          <w:ilvl w:val="0"/>
          <w:numId w:val="1"/>
        </w:numPr>
        <w:spacing w:after="40" w:before="40"/>
        <w:ind w:left="360" w:hanging="200"/>
      </w:pPr>
      <w:r>
        <w:rPr>
          <w:rFonts w:ascii="Nunito" w:cs="Nunito" w:eastAsia="Nunito" w:hAnsi="Nunito"/>
          <w:color w:val="1a3a5c"/>
          <w:sz w:val="22"/>
          <w:szCs w:val="22"/>
        </w:rPr>
        <w:t xml:space="preserve">border: 2px solid var(--mint)  ·  background: var(--white)  ·  color: var(--muted)</w:t>
      </w:r>
    </w:p>
    <w:p>
      <w:pPr>
        <w:pStyle w:val="ListParagraph"/>
        <w:numPr>
          <w:ilvl w:val="0"/>
          <w:numId w:val="1"/>
        </w:numPr>
        <w:spacing w:after="40" w:before="40"/>
        <w:ind w:left="360" w:hanging="200"/>
      </w:pPr>
      <w:r>
        <w:rPr>
          <w:rFonts w:ascii="Nunito" w:cs="Nunito" w:eastAsia="Nunito" w:hAnsi="Nunito"/>
          <w:color w:val="1a3a5c"/>
          <w:sz w:val="22"/>
          <w:szCs w:val="22"/>
        </w:rPr>
        <w:t xml:space="preserve">border-radius: 12px — always declare font-family: Nunito explicitly</w:t>
      </w:r>
    </w:p>
    <w:p>
      <w:pPr>
        <w:spacing w:after="40" w:before="0"/>
      </w:pPr>
      <w:r>
        <w:t xml:space="preserve"/>
      </w:r>
    </w:p>
    <w:p>
      <w:pPr>
        <w:spacing w:after="20" w:before="40"/>
      </w:pPr>
      <w:r>
        <w:rPr>
          <w:rFonts w:ascii="Nunito" w:cs="Nunito" w:eastAsia="Nunito" w:hAnsi="Nunito"/>
          <w:b/>
          <w:bCs/>
          <w:color w:val="5a7d8a"/>
          <w:sz w:val="16"/>
          <w:szCs w:val="16"/>
        </w:rPr>
        <w:t xml:space="preserve">STATES</w:t>
      </w:r>
    </w:p>
    <w:p>
      <w:pPr>
        <w:pStyle w:val="ListParagraph"/>
        <w:numPr>
          <w:ilvl w:val="0"/>
          <w:numId w:val="1"/>
        </w:numPr>
        <w:spacing w:after="40" w:before="40"/>
        <w:ind w:left="360" w:hanging="200"/>
      </w:pPr>
      <w:r>
        <w:rPr>
          <w:rFonts w:ascii="Nunito" w:cs="Nunito" w:eastAsia="Nunito" w:hAnsi="Nunito"/>
          <w:color w:val="1a3a5c"/>
          <w:sz w:val="22"/>
          <w:szCs w:val="22"/>
        </w:rPr>
        <w:t xml:space="preserve">Hover: lift shadow or shift border to --teal</w:t>
      </w:r>
    </w:p>
    <w:p>
      <w:pPr>
        <w:pStyle w:val="ListParagraph"/>
        <w:numPr>
          <w:ilvl w:val="0"/>
          <w:numId w:val="1"/>
        </w:numPr>
        <w:spacing w:after="40" w:before="40"/>
        <w:ind w:left="360" w:hanging="200"/>
      </w:pPr>
      <w:r>
        <w:rPr>
          <w:rFonts w:ascii="Nunito" w:cs="Nunito" w:eastAsia="Nunito" w:hAnsi="Nunito"/>
          <w:color w:val="1a3a5c"/>
          <w:sz w:val="22"/>
          <w:szCs w:val="22"/>
        </w:rPr>
        <w:t xml:space="preserve">Disabled: opacity 0.5; cursor: not-allowed</w:t>
      </w:r>
    </w:p>
    <w:p>
      <w:pPr>
        <w:spacing w:after="80" w:before="0"/>
      </w:pPr>
      <w:r>
        <w:t xml:space="preserve"/>
      </w:r>
    </w:p>
    <w:p>
      <w:pPr>
        <w:pStyle w:val="Heading2"/>
        <w:spacing w:after="120" w:before="240"/>
      </w:pPr>
      <w:r>
        <w:rPr>
          <w:rFonts w:ascii="Lora" w:cs="Lora" w:eastAsia="Lora" w:hAnsi="Lora"/>
          <w:b/>
          <w:bCs/>
          <w:color w:val="1a3a5c"/>
          <w:sz w:val="28"/>
          <w:szCs w:val="28"/>
        </w:rPr>
        <w:t xml:space="preserve">Answer Options (.opt buttons)</w:t>
      </w:r>
    </w:p>
    <w:p>
      <w:pPr>
        <w:pStyle w:val="ListParagraph"/>
        <w:numPr>
          <w:ilvl w:val="0"/>
          <w:numId w:val="1"/>
        </w:numPr>
        <w:spacing w:after="40" w:before="40"/>
        <w:ind w:left="360" w:hanging="200"/>
      </w:pPr>
      <w:r>
        <w:rPr>
          <w:rFonts w:ascii="Nunito" w:cs="Nunito" w:eastAsia="Nunito" w:hAnsi="Nunito"/>
          <w:color w:val="1a3a5c"/>
          <w:sz w:val="22"/>
          <w:szCs w:val="22"/>
        </w:rPr>
        <w:t xml:space="preserve">width: 100%  ·  border: 2px solid var(--teal)  ·  border-radius: 12px</w:t>
      </w:r>
    </w:p>
    <w:p>
      <w:pPr>
        <w:pStyle w:val="ListParagraph"/>
        <w:numPr>
          <w:ilvl w:val="0"/>
          <w:numId w:val="1"/>
        </w:numPr>
        <w:spacing w:after="40" w:before="40"/>
        <w:ind w:left="360" w:hanging="200"/>
      </w:pPr>
      <w:r>
        <w:rPr>
          <w:rFonts w:ascii="Nunito" w:cs="Nunito" w:eastAsia="Nunito" w:hAnsi="Nunito"/>
          <w:color w:val="1a3a5c"/>
          <w:sz w:val="22"/>
          <w:szCs w:val="22"/>
        </w:rPr>
        <w:t xml:space="preserve">background: #fff  ·  font: 700 0.92rem Nunito  ·  color: var(--navy)</w:t>
      </w:r>
    </w:p>
    <w:p>
      <w:pPr>
        <w:pStyle w:val="ListParagraph"/>
        <w:numPr>
          <w:ilvl w:val="0"/>
          <w:numId w:val="1"/>
        </w:numPr>
        <w:spacing w:after="40" w:before="40"/>
        <w:ind w:left="360" w:hanging="200"/>
      </w:pPr>
      <w:r>
        <w:rPr>
          <w:rFonts w:ascii="Nunito" w:cs="Nunito" w:eastAsia="Nunito" w:hAnsi="Nunito"/>
          <w:color w:val="1a3a5c"/>
          <w:sz w:val="22"/>
          <w:szCs w:val="22"/>
        </w:rPr>
        <w:t xml:space="preserve">box-shadow: 0 2px 8px rgba(42,157,143,0.10)</w:t>
      </w:r>
    </w:p>
    <w:p>
      <w:pPr>
        <w:pStyle w:val="ListParagraph"/>
        <w:numPr>
          <w:ilvl w:val="0"/>
          <w:numId w:val="1"/>
        </w:numPr>
        <w:spacing w:after="40" w:before="40"/>
        <w:ind w:left="360" w:hanging="200"/>
      </w:pPr>
      <w:r>
        <w:rPr>
          <w:rFonts w:ascii="Nunito" w:cs="Nunito" w:eastAsia="Nunito" w:hAnsi="Nunito"/>
          <w:color w:val="1a3a5c"/>
          <w:sz w:val="22"/>
          <w:szCs w:val="22"/>
        </w:rPr>
        <w:t xml:space="preserve">Hover: border → var(--navy)  ·  background → var(--mint-lt)  ·  translateY(-1px)</w:t>
      </w:r>
    </w:p>
    <w:p>
      <w:pPr>
        <w:pStyle w:val="ListParagraph"/>
        <w:numPr>
          <w:ilvl w:val="0"/>
          <w:numId w:val="1"/>
        </w:numPr>
        <w:spacing w:after="40" w:before="40"/>
        <w:ind w:left="360" w:hanging="200"/>
      </w:pPr>
      <w:r>
        <w:rPr>
          <w:rFonts w:ascii="Nunito" w:cs="Nunito" w:eastAsia="Nunito" w:hAnsi="Nunito"/>
          <w:color w:val="1a3a5c"/>
          <w:sz w:val="22"/>
          <w:szCs w:val="22"/>
        </w:rPr>
        <w:t xml:space="preserve">Correct state: border + color → var(--success)  ·  background → #e8f5f2</w:t>
      </w:r>
    </w:p>
    <w:p>
      <w:pPr>
        <w:pStyle w:val="ListParagraph"/>
        <w:numPr>
          <w:ilvl w:val="0"/>
          <w:numId w:val="1"/>
        </w:numPr>
        <w:spacing w:after="40" w:before="40"/>
        <w:ind w:left="360" w:hanging="200"/>
      </w:pPr>
      <w:r>
        <w:rPr>
          <w:rFonts w:ascii="Nunito" w:cs="Nunito" w:eastAsia="Nunito" w:hAnsi="Nunito"/>
          <w:color w:val="1a3a5c"/>
          <w:sz w:val="22"/>
          <w:szCs w:val="22"/>
        </w:rPr>
        <w:t xml:space="preserve">Wrong state: border + color → var(--danger)  ·  background → #fce8e8</w:t>
      </w:r>
    </w:p>
    <w:p>
      <w:pPr>
        <w:spacing w:after="80" w:before="0"/>
      </w:pPr>
      <w:r>
        <w:t xml:space="preserve"/>
      </w:r>
    </w:p>
    <w:p>
      <w:pPr>
        <w:pStyle w:val="Heading2"/>
        <w:spacing w:after="120" w:before="240"/>
      </w:pPr>
      <w:r>
        <w:rPr>
          <w:rFonts w:ascii="Lora" w:cs="Lora" w:eastAsia="Lora" w:hAnsi="Lora"/>
          <w:b/>
          <w:bCs/>
          <w:color w:val="1a3a5c"/>
          <w:sz w:val="28"/>
          <w:szCs w:val="28"/>
        </w:rPr>
        <w:t xml:space="preserve">Tags / Chips</w:t>
      </w:r>
    </w:p>
    <w:p>
      <w:pPr>
        <w:pStyle w:val="ListParagraph"/>
        <w:numPr>
          <w:ilvl w:val="0"/>
          <w:numId w:val="1"/>
        </w:numPr>
        <w:spacing w:after="40" w:before="40"/>
        <w:ind w:left="360" w:hanging="200"/>
      </w:pPr>
      <w:r>
        <w:rPr>
          <w:rFonts w:ascii="Nunito" w:cs="Nunito" w:eastAsia="Nunito" w:hAnsi="Nunito"/>
          <w:color w:val="1a3a5c"/>
          <w:sz w:val="22"/>
          <w:szCs w:val="22"/>
        </w:rPr>
        <w:t xml:space="preserve">position: absolute, top: 8px, right: 8px on cards</w:t>
      </w:r>
    </w:p>
    <w:p>
      <w:pPr>
        <w:pStyle w:val="ListParagraph"/>
        <w:numPr>
          <w:ilvl w:val="0"/>
          <w:numId w:val="1"/>
        </w:numPr>
        <w:spacing w:after="40" w:before="40"/>
        <w:ind w:left="360" w:hanging="200"/>
      </w:pPr>
      <w:r>
        <w:rPr>
          <w:rFonts w:ascii="Nunito" w:cs="Nunito" w:eastAsia="Nunito" w:hAnsi="Nunito"/>
          <w:color w:val="1a3a5c"/>
          <w:sz w:val="22"/>
          <w:szCs w:val="22"/>
        </w:rPr>
        <w:t xml:space="preserve">font-size: 0.55rem  ·  font-weight: 800  ·  padding: 2px 8px  ·  border-radius: 10px</w:t>
      </w:r>
    </w:p>
    <w:p>
      <w:pPr>
        <w:pStyle w:val="ListParagraph"/>
        <w:numPr>
          <w:ilvl w:val="0"/>
          <w:numId w:val="1"/>
        </w:numPr>
        <w:spacing w:after="40" w:before="40"/>
        <w:ind w:left="360" w:hanging="200"/>
      </w:pPr>
      <w:r>
        <w:rPr>
          <w:rFonts w:ascii="Nunito" w:cs="Nunito" w:eastAsia="Nunito" w:hAnsi="Nunito"/>
          <w:color w:val="1a3a5c"/>
          <w:sz w:val="22"/>
          <w:szCs w:val="22"/>
        </w:rPr>
        <w:t xml:space="preserve">text-transform: uppercase  ·  letter-spacing: 0.5px</w:t>
      </w:r>
    </w:p>
    <w:p>
      <w:pPr>
        <w:spacing w:after="80" w:before="0"/>
      </w:pPr>
      <w:r>
        <w:t xml:space="preserve"/>
      </w:r>
    </w:p>
    <w:p>
      <w:pPr>
        <w:pStyle w:val="Heading2"/>
        <w:spacing w:after="120" w:before="240"/>
      </w:pPr>
      <w:r>
        <w:rPr>
          <w:rFonts w:ascii="Lora" w:cs="Lora" w:eastAsia="Lora" w:hAnsi="Lora"/>
          <w:b/>
          <w:bCs/>
          <w:color w:val="1a3a5c"/>
          <w:sz w:val="28"/>
          <w:szCs w:val="28"/>
        </w:rPr>
        <w:t xml:space="preserve">Feedback Panels (.feedback)</w:t>
      </w:r>
    </w:p>
    <w:p>
      <w:pPr>
        <w:pStyle w:val="ListParagraph"/>
        <w:numPr>
          <w:ilvl w:val="0"/>
          <w:numId w:val="1"/>
        </w:numPr>
        <w:spacing w:after="40" w:before="40"/>
        <w:ind w:left="360" w:hanging="200"/>
      </w:pPr>
      <w:r>
        <w:rPr>
          <w:rFonts w:ascii="Nunito" w:cs="Nunito" w:eastAsia="Nunito" w:hAnsi="Nunito"/>
          <w:color w:val="1a3a5c"/>
          <w:sz w:val="22"/>
          <w:szCs w:val="22"/>
        </w:rPr>
        <w:t xml:space="preserve">Correct / OK: background #e8f5f2  ·  border-left: 4px solid var(--success)  ·  color #1A5C3A</w:t>
      </w:r>
    </w:p>
    <w:p>
      <w:pPr>
        <w:pStyle w:val="ListParagraph"/>
        <w:numPr>
          <w:ilvl w:val="0"/>
          <w:numId w:val="1"/>
        </w:numPr>
        <w:spacing w:after="40" w:before="40"/>
        <w:ind w:left="360" w:hanging="200"/>
      </w:pPr>
      <w:r>
        <w:rPr>
          <w:rFonts w:ascii="Nunito" w:cs="Nunito" w:eastAsia="Nunito" w:hAnsi="Nunito"/>
          <w:color w:val="1a3a5c"/>
          <w:sz w:val="22"/>
          <w:szCs w:val="22"/>
        </w:rPr>
        <w:t xml:space="preserve">Wrong / Bad: background #fce8e8  ·  border-left: 4px solid var(--danger)  ·  color #7A1A1A</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6. Layout Patterns</w:t>
      </w:r>
    </w:p>
    <w:p>
      <w:pPr>
        <w:pStyle w:val="Heading2"/>
        <w:spacing w:after="120" w:before="240"/>
      </w:pPr>
      <w:r>
        <w:rPr>
          <w:rFonts w:ascii="Lora" w:cs="Lora" w:eastAsia="Lora" w:hAnsi="Lora"/>
          <w:b/>
          <w:bCs/>
          <w:color w:val="1a3a5c"/>
          <w:sz w:val="28"/>
          <w:szCs w:val="28"/>
        </w:rPr>
        <w:t xml:space="preserve">Border Radius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Border Radius</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Page sections / hero banners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16px</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Cards</w:t>
            </w:r>
          </w:p>
        </w:tc>
        <w:tc>
          <w:tcPr>
            <w:tcW w:type="dxa" w:w="57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14px</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Inputs, buttons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12px</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Tags, pills</w:t>
            </w:r>
          </w:p>
        </w:tc>
        <w:tc>
          <w:tcPr>
            <w:tcW w:type="dxa" w:w="57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10px</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Tiny chips / badges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4–6px</w:t>
            </w:r>
          </w:p>
        </w:tc>
      </w:tr>
    </w:tbl>
    <w:p>
      <w:pPr>
        <w:spacing w:after="80" w:before="0"/>
      </w:pPr>
      <w:r>
        <w:t xml:space="preserve"/>
      </w:r>
    </w:p>
    <w:p>
      <w:pPr>
        <w:pStyle w:val="Heading2"/>
        <w:spacing w:after="120" w:before="240"/>
      </w:pPr>
      <w:r>
        <w:rPr>
          <w:rFonts w:ascii="Lora" w:cs="Lora" w:eastAsia="Lora" w:hAnsi="Lora"/>
          <w:b/>
          <w:bCs/>
          <w:color w:val="1a3a5c"/>
          <w:sz w:val="28"/>
          <w:szCs w:val="28"/>
        </w:rPr>
        <w:t xml:space="preserve">Spacing Scale</w:t>
      </w:r>
    </w:p>
    <w:p>
      <w:pPr>
        <w:pStyle w:val="ListParagraph"/>
        <w:numPr>
          <w:ilvl w:val="0"/>
          <w:numId w:val="1"/>
        </w:numPr>
        <w:spacing w:after="40" w:before="40"/>
        <w:ind w:left="360" w:hanging="200"/>
      </w:pPr>
      <w:r>
        <w:rPr>
          <w:rFonts w:ascii="Nunito" w:cs="Nunito" w:eastAsia="Nunito" w:hAnsi="Nunito"/>
          <w:color w:val="1a3a5c"/>
          <w:sz w:val="22"/>
          <w:szCs w:val="22"/>
        </w:rPr>
        <w:t xml:space="preserve">gap: 8px — tight (within a row)</w:t>
      </w:r>
    </w:p>
    <w:p>
      <w:pPr>
        <w:pStyle w:val="ListParagraph"/>
        <w:numPr>
          <w:ilvl w:val="0"/>
          <w:numId w:val="1"/>
        </w:numPr>
        <w:spacing w:after="40" w:before="40"/>
        <w:ind w:left="360" w:hanging="200"/>
      </w:pPr>
      <w:r>
        <w:rPr>
          <w:rFonts w:ascii="Nunito" w:cs="Nunito" w:eastAsia="Nunito" w:hAnsi="Nunito"/>
          <w:color w:val="1a3a5c"/>
          <w:sz w:val="22"/>
          <w:szCs w:val="22"/>
        </w:rPr>
        <w:t xml:space="preserve">gap: 12px — standard (between cards in a list)</w:t>
      </w:r>
    </w:p>
    <w:p>
      <w:pPr>
        <w:pStyle w:val="ListParagraph"/>
        <w:numPr>
          <w:ilvl w:val="0"/>
          <w:numId w:val="1"/>
        </w:numPr>
        <w:spacing w:after="40" w:before="40"/>
        <w:ind w:left="360" w:hanging="200"/>
      </w:pPr>
      <w:r>
        <w:rPr>
          <w:rFonts w:ascii="Nunito" w:cs="Nunito" w:eastAsia="Nunito" w:hAnsi="Nunito"/>
          <w:color w:val="1a3a5c"/>
          <w:sz w:val="22"/>
          <w:szCs w:val="22"/>
        </w:rPr>
        <w:t xml:space="preserve">gap: 16px — loose (between sections)</w:t>
      </w:r>
    </w:p>
    <w:p>
      <w:pPr>
        <w:spacing w:after="80" w:before="0"/>
      </w:pPr>
      <w:r>
        <w:t xml:space="preserve"/>
      </w:r>
    </w:p>
    <w:p>
      <w:pPr>
        <w:pStyle w:val="Heading2"/>
        <w:spacing w:after="120" w:before="240"/>
      </w:pPr>
      <w:r>
        <w:rPr>
          <w:rFonts w:ascii="Lora" w:cs="Lora" w:eastAsia="Lora" w:hAnsi="Lora"/>
          <w:b/>
          <w:bCs/>
          <w:color w:val="1a3a5c"/>
          <w:sz w:val="28"/>
          <w:szCs w:val="28"/>
        </w:rPr>
        <w:t xml:space="preserve">Key Layout Rules</w:t>
      </w:r>
    </w:p>
    <w:p>
      <w:pPr>
        <w:pStyle w:val="ListParagraph"/>
        <w:numPr>
          <w:ilvl w:val="0"/>
          <w:numId w:val="1"/>
        </w:numPr>
        <w:spacing w:after="40" w:before="40"/>
        <w:ind w:left="360" w:hanging="200"/>
      </w:pPr>
      <w:r>
        <w:rPr>
          <w:rFonts w:ascii="Nunito" w:cs="Nunito" w:eastAsia="Nunito" w:hAnsi="Nunito"/>
          <w:color w:val="1a3a5c"/>
          <w:sz w:val="22"/>
          <w:szCs w:val="22"/>
        </w:rPr>
        <w:t xml:space="preserve">Game picker grid: display:grid; grid-template-columns: repeat(auto-fill, minmax(140px, 1fr))</w:t>
      </w:r>
    </w:p>
    <w:p>
      <w:pPr>
        <w:pStyle w:val="ListParagraph"/>
        <w:numPr>
          <w:ilvl w:val="0"/>
          <w:numId w:val="1"/>
        </w:numPr>
        <w:spacing w:after="40" w:before="40"/>
        <w:ind w:left="360" w:hanging="200"/>
      </w:pPr>
      <w:r>
        <w:rPr>
          <w:rFonts w:ascii="Nunito" w:cs="Nunito" w:eastAsia="Nunito" w:hAnsi="Nunito"/>
          <w:color w:val="1a3a5c"/>
          <w:sz w:val="22"/>
          <w:szCs w:val="22"/>
        </w:rPr>
        <w:t xml:space="preserve">Game screens: max-width: 480px; margin: 0 auto (mobile-first)</w:t>
      </w:r>
    </w:p>
    <w:p>
      <w:pPr>
        <w:pStyle w:val="ListParagraph"/>
        <w:numPr>
          <w:ilvl w:val="0"/>
          <w:numId w:val="1"/>
        </w:numPr>
        <w:spacing w:after="40" w:before="40"/>
        <w:ind w:left="360" w:hanging="200"/>
      </w:pPr>
      <w:r>
        <w:rPr>
          <w:rFonts w:ascii="Nunito" w:cs="Nunito" w:eastAsia="Nunito" w:hAnsi="Nunito"/>
          <w:color w:val="1a3a5c"/>
          <w:sz w:val="22"/>
          <w:szCs w:val="22"/>
        </w:rPr>
        <w:t xml:space="preserve">Dynamic rows: must use flex-wrap: nowrap — wrapping breaks column alignment</w:t>
      </w:r>
    </w:p>
    <w:p>
      <w:pPr>
        <w:pStyle w:val="ListParagraph"/>
        <w:numPr>
          <w:ilvl w:val="0"/>
          <w:numId w:val="1"/>
        </w:numPr>
        <w:spacing w:after="40" w:before="40"/>
        <w:ind w:left="360" w:hanging="200"/>
      </w:pPr>
      <w:r>
        <w:rPr>
          <w:rFonts w:ascii="Nunito" w:cs="Nunito" w:eastAsia="Nunito" w:hAnsi="Nunito"/>
          <w:color w:val="1a3a5c"/>
          <w:sz w:val="22"/>
          <w:szCs w:val="22"/>
        </w:rPr>
        <w:t xml:space="preserve">Column widths in dynamic rows must exactly match static rows — hardcode same values</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7. Game Cards (Home Screen)</w:t>
      </w:r>
    </w:p>
    <w:p>
      <w:pPr>
        <w:spacing w:after="80" w:before="60"/>
      </w:pPr>
      <w:r>
        <w:rPr>
          <w:rFonts w:ascii="Nunito" w:cs="Nunito" w:eastAsia="Nunito" w:hAnsi="Nunito"/>
          <w:b w:val="false"/>
          <w:bCs w:val="false"/>
          <w:color w:val="1a3a5c"/>
          <w:sz w:val="22"/>
          <w:szCs w:val="22"/>
        </w:rPr>
        <w:t xml:space="preserve">Each game card on the home screen follows this pattern:</w:t>
      </w:r>
    </w:p>
    <w:p>
      <w:pPr>
        <w:pStyle w:val="ListParagraph"/>
        <w:numPr>
          <w:ilvl w:val="0"/>
          <w:numId w:val="1"/>
        </w:numPr>
        <w:spacing w:after="40" w:before="40"/>
        <w:ind w:left="360" w:hanging="200"/>
      </w:pPr>
      <w:r>
        <w:rPr>
          <w:rFonts w:ascii="Nunito" w:cs="Nunito" w:eastAsia="Nunito" w:hAnsi="Nunito"/>
          <w:color w:val="1a3a5c"/>
          <w:sz w:val="22"/>
          <w:szCs w:val="22"/>
        </w:rPr>
        <w:t xml:space="preserve">border-radius: 14px  ·  padding: 16px 10px  ·  text-align: center</w:t>
      </w:r>
    </w:p>
    <w:p>
      <w:pPr>
        <w:pStyle w:val="ListParagraph"/>
        <w:numPr>
          <w:ilvl w:val="0"/>
          <w:numId w:val="1"/>
        </w:numPr>
        <w:spacing w:after="40" w:before="40"/>
        <w:ind w:left="360" w:hanging="200"/>
      </w:pPr>
      <w:r>
        <w:rPr>
          <w:rFonts w:ascii="Nunito" w:cs="Nunito" w:eastAsia="Nunito" w:hAnsi="Nunito"/>
          <w:color w:val="1a3a5c"/>
          <w:sz w:val="22"/>
          <w:szCs w:val="22"/>
        </w:rPr>
        <w:t xml:space="preserve">Unique pastel gradient background per game — always pairs of similar hues</w:t>
      </w:r>
    </w:p>
    <w:p>
      <w:pPr>
        <w:pStyle w:val="ListParagraph"/>
        <w:numPr>
          <w:ilvl w:val="0"/>
          <w:numId w:val="1"/>
        </w:numPr>
        <w:spacing w:after="40" w:before="40"/>
        <w:ind w:left="360" w:hanging="200"/>
      </w:pPr>
      <w:r>
        <w:rPr>
          <w:rFonts w:ascii="Nunito" w:cs="Nunito" w:eastAsia="Nunito" w:hAnsi="Nunito"/>
          <w:color w:val="1a3a5c"/>
          <w:sz w:val="22"/>
          <w:szCs w:val="22"/>
        </w:rPr>
        <w:t xml:space="preserve">Icon: emoji, font-size: 4.4rem desktop / 3.8rem mobile, line-height: 1</w:t>
      </w:r>
    </w:p>
    <w:p>
      <w:pPr>
        <w:pStyle w:val="ListParagraph"/>
        <w:numPr>
          <w:ilvl w:val="0"/>
          <w:numId w:val="1"/>
        </w:numPr>
        <w:spacing w:after="40" w:before="40"/>
        <w:ind w:left="360" w:hanging="200"/>
      </w:pPr>
      <w:r>
        <w:rPr>
          <w:rFonts w:ascii="Nunito" w:cs="Nunito" w:eastAsia="Nunito" w:hAnsi="Nunito"/>
          <w:color w:val="1a3a5c"/>
          <w:sz w:val="22"/>
          <w:szCs w:val="22"/>
        </w:rPr>
        <w:t xml:space="preserve">Title: Lora, 0.82rem, 700, var(--navy)</w:t>
      </w:r>
    </w:p>
    <w:p>
      <w:pPr>
        <w:pStyle w:val="ListParagraph"/>
        <w:numPr>
          <w:ilvl w:val="0"/>
          <w:numId w:val="1"/>
        </w:numPr>
        <w:spacing w:after="40" w:before="40"/>
        <w:ind w:left="360" w:hanging="200"/>
      </w:pPr>
      <w:r>
        <w:rPr>
          <w:rFonts w:ascii="Nunito" w:cs="Nunito" w:eastAsia="Nunito" w:hAnsi="Nunito"/>
          <w:color w:val="1a3a5c"/>
          <w:sz w:val="22"/>
          <w:szCs w:val="22"/>
        </w:rPr>
        <w:t xml:space="preserve">Description: Nunito, 0.65rem, var(--muted), hidden on mobile</w:t>
      </w:r>
    </w:p>
    <w:p>
      <w:pPr>
        <w:pStyle w:val="ListParagraph"/>
        <w:numPr>
          <w:ilvl w:val="0"/>
          <w:numId w:val="1"/>
        </w:numPr>
        <w:spacing w:after="40" w:before="40"/>
        <w:ind w:left="360" w:hanging="200"/>
      </w:pPr>
      <w:r>
        <w:rPr>
          <w:rFonts w:ascii="Nunito" w:cs="Nunito" w:eastAsia="Nunito" w:hAnsi="Nunito"/>
          <w:color w:val="1a3a5c"/>
          <w:sz w:val="22"/>
          <w:szCs w:val="22"/>
        </w:rPr>
        <w:t xml:space="preserve">Tag pill: absolute, top-right, GAME / QUIZ / Simulation label</w:t>
      </w:r>
    </w:p>
    <w:p>
      <w:pPr>
        <w:pStyle w:val="ListParagraph"/>
        <w:numPr>
          <w:ilvl w:val="0"/>
          <w:numId w:val="1"/>
        </w:numPr>
        <w:spacing w:after="40" w:before="40"/>
        <w:ind w:left="360" w:hanging="200"/>
      </w:pPr>
      <w:r>
        <w:rPr>
          <w:rFonts w:ascii="Nunito" w:cs="Nunito" w:eastAsia="Nunito" w:hAnsi="Nunito"/>
          <w:color w:val="1a3a5c"/>
          <w:sz w:val="22"/>
          <w:szCs w:val="22"/>
        </w:rPr>
        <w:t xml:space="preserve">Hover: translateY(-3px) + box-shadow 0 8px 24px rgba(26,58,92,0.15)</w:t>
      </w:r>
    </w:p>
    <w:p>
      <w:pPr>
        <w:spacing w:after="80" w:before="0"/>
      </w:pPr>
      <w:r>
        <w:t xml:space="preserve"/>
      </w:r>
    </w:p>
    <w:p>
      <w:pPr>
        <w:pStyle w:val="Heading2"/>
        <w:spacing w:after="120" w:before="240"/>
      </w:pPr>
      <w:r>
        <w:rPr>
          <w:rFonts w:ascii="Lora" w:cs="Lora" w:eastAsia="Lora" w:hAnsi="Lora"/>
          <w:b/>
          <w:bCs/>
          <w:color w:val="1a3a5c"/>
          <w:sz w:val="28"/>
          <w:szCs w:val="28"/>
        </w:rPr>
        <w:t xml:space="preserve">Current Game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2860"/>
        <w:gridCol w:w="200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Game</w:t>
            </w:r>
          </w:p>
        </w:tc>
        <w:tc>
          <w:tcPr>
            <w:tcW w:type="dxa" w:w="9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Icon</w:t>
            </w:r>
          </w:p>
        </w:tc>
        <w:tc>
          <w:tcPr>
            <w:tcW w:type="dxa" w:w="28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Category</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Status</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Debt Detective</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Debt Investments</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Inline / beta</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Debt Boss</w:t>
            </w:r>
          </w:p>
        </w:tc>
        <w:tc>
          <w:tcPr>
            <w:tcW w:type="dxa" w:w="9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Debt Investments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 Inline / beta</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NAV Pizza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Mutual Funds</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₹1Cr Ladder</w:t>
            </w:r>
          </w:p>
        </w:tc>
        <w:tc>
          <w:tcPr>
            <w:tcW w:type="dxa" w:w="9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Mutual Funds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Radha's Mission</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Mutual Funds</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3 Investors</w:t>
            </w:r>
          </w:p>
        </w:tc>
        <w:tc>
          <w:tcPr>
            <w:tcW w:type="dxa" w:w="9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Mutual Funds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Wheel of Gold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(SVG gold bar)</w:t>
            </w:r>
          </w:p>
        </w:tc>
        <w:tc>
          <w:tcPr>
            <w:tcW w:type="dxa" w:w="2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Commodities</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Wheel of Silver</w:t>
            </w:r>
          </w:p>
        </w:tc>
        <w:tc>
          <w:tcPr>
            <w:tcW w:type="dxa" w:w="9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Commodities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REIT or Real?</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Real Estate</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Inline / beta</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My First Trade</w:t>
            </w:r>
          </w:p>
        </w:tc>
        <w:tc>
          <w:tcPr>
            <w:tcW w:type="dxa" w:w="9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Stocks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Cap Climber</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Stocks</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Inline / beta</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3 Buckets</w:t>
            </w:r>
          </w:p>
        </w:tc>
        <w:tc>
          <w:tcPr>
            <w:tcW w:type="dxa" w:w="9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Core Concepts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 Published · /3-buckets/</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Double or Nothing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Core Concepts</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 In portal</w:t>
            </w:r>
          </w:p>
        </w:tc>
      </w:tr>
      <w:tr>
        <w:tc>
          <w:tcPr>
            <w:tcW w:type="dxa" w:w="36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Hidden Fortunes</w:t>
            </w:r>
          </w:p>
        </w:tc>
        <w:tc>
          <w:tcPr>
            <w:tcW w:type="dxa" w:w="9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w:t>
            </w:r>
          </w:p>
        </w:tc>
        <w:tc>
          <w:tcPr>
            <w:tcW w:type="dxa" w:w="28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Core Concepts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 Published · /hidden-fortunes/</w:t>
            </w:r>
          </w:p>
        </w:tc>
      </w:tr>
    </w:tbl>
    <w:p>
      <w:pPr>
        <w:spacing w:after="160" w:before="0"/>
      </w:pPr>
      <w:r>
        <w:rPr>
          <w:rFonts w:ascii="Nunito" w:cs="Nunito" w:eastAsia="Nunito" w:hAnsi="Nunito"/>
          <w:i/>
          <w:color w:val="5a7d8a"/>
          <w:sz w:val="18"/>
          <w:szCs w:val="18"/>
        </w:rPr>
        <w:t xml:space="preserve">Status key: ✅ Published = has its own live WordPress page (URL shown). 🎮 In portal = live in the in-app /games/ catalogue but no standalone page. ⚪ Inline / beta = built into index.html but not in the public portal. Last audited: 2 June 2026 (live page-sitemap + /games/ portal). Re-scan before relying on this column — it goes stale fast.</w:t>
      </w:r>
    </w:p>
    <w:p>
      <w:pPr>
        <w:pStyle w:val="Heading1"/>
        <w:pBdr>
          <w:bottom w:val="single" w:color="2a9d8f" w:sz="6" w:space="4"/>
        </w:pBdr>
        <w:spacing w:after="160" w:before="360"/>
      </w:pPr>
      <w:r>
        <w:rPr>
          <w:rFonts w:ascii="Lora" w:cs="Lora" w:eastAsia="Lora" w:hAnsi="Lora"/>
          <w:b/>
          <w:bCs/>
          <w:color w:val="1a3a5c"/>
          <w:sz w:val="36"/>
          <w:szCs w:val="36"/>
        </w:rPr>
        <w:t xml:space="preserve">8. Game Hero Banners</w:t>
      </w:r>
    </w:p>
    <w:p>
      <w:pPr>
        <w:spacing w:after="80" w:before="60"/>
      </w:pPr>
      <w:r>
        <w:rPr>
          <w:rFonts w:ascii="Nunito" w:cs="Nunito" w:eastAsia="Nunito" w:hAnsi="Nunito"/>
          <w:b w:val="false"/>
          <w:bCs w:val="false"/>
          <w:color w:val="1a3a5c"/>
          <w:sz w:val="22"/>
          <w:szCs w:val="22"/>
        </w:rPr>
        <w:t xml:space="preserve">Every game starts with a hero banner at the top of the game screen.</w:t>
      </w:r>
    </w:p>
    <w:p>
      <w:pPr>
        <w:spacing w:after="80" w:before="0"/>
      </w:pPr>
      <w:r>
        <w:t xml:space="preserve"/>
      </w:r>
    </w:p>
    <w:p>
      <w:pPr>
        <w:pStyle w:val="Heading2"/>
        <w:spacing w:after="120" w:before="240"/>
      </w:pPr>
      <w:r>
        <w:rPr>
          <w:rFonts w:ascii="Lora" w:cs="Lora" w:eastAsia="Lora" w:hAnsi="Lora"/>
          <w:b/>
          <w:bCs/>
          <w:color w:val="1a3a5c"/>
          <w:sz w:val="28"/>
          <w:szCs w:val="28"/>
        </w:rPr>
        <w:t xml:space="preserve">CSS Structure</w:t>
      </w:r>
    </w:p>
    <w:p>
      <w:pPr>
        <w:pStyle w:val="ListParagraph"/>
        <w:numPr>
          <w:ilvl w:val="0"/>
          <w:numId w:val="1"/>
        </w:numPr>
        <w:spacing w:after="40" w:before="40"/>
        <w:ind w:left="360" w:hanging="200"/>
      </w:pPr>
      <w:r>
        <w:rPr>
          <w:rFonts w:ascii="Nunito" w:cs="Nunito" w:eastAsia="Nunito" w:hAnsi="Nunito"/>
          <w:color w:val="1a3a5c"/>
          <w:sz w:val="22"/>
          <w:szCs w:val="22"/>
        </w:rPr>
        <w:t xml:space="preserve">border-radius: 16px  ·  padding: 18px 20px 18px 95px (left space for logo)</w:t>
      </w:r>
    </w:p>
    <w:p>
      <w:pPr>
        <w:pStyle w:val="ListParagraph"/>
        <w:numPr>
          <w:ilvl w:val="0"/>
          <w:numId w:val="1"/>
        </w:numPr>
        <w:spacing w:after="40" w:before="40"/>
        <w:ind w:left="360" w:hanging="200"/>
      </w:pPr>
      <w:r>
        <w:rPr>
          <w:rFonts w:ascii="Nunito" w:cs="Nunito" w:eastAsia="Nunito" w:hAnsi="Nunito"/>
          <w:color w:val="1a3a5c"/>
          <w:sz w:val="22"/>
          <w:szCs w:val="22"/>
        </w:rPr>
        <w:t xml:space="preserve">color: #fff  ·  position: relative  ·  overflow: hidden</w:t>
      </w:r>
    </w:p>
    <w:p>
      <w:pPr>
        <w:pStyle w:val="ListParagraph"/>
        <w:numPr>
          <w:ilvl w:val="0"/>
          <w:numId w:val="1"/>
        </w:numPr>
        <w:spacing w:after="40" w:before="40"/>
        <w:ind w:left="360" w:hanging="200"/>
      </w:pPr>
      <w:r>
        <w:rPr>
          <w:rFonts w:ascii="Nunito" w:cs="Nunito" w:eastAsia="Nunito" w:hAnsi="Nunito"/>
          <w:color w:val="1a3a5c"/>
          <w:sz w:val="22"/>
          <w:szCs w:val="22"/>
        </w:rPr>
        <w:t xml:space="preserve">Logo: position absolute, left: 16px, vertically centered, 65–70px wide</w:t>
      </w:r>
    </w:p>
    <w:p>
      <w:pPr>
        <w:pStyle w:val="ListParagraph"/>
        <w:numPr>
          <w:ilvl w:val="0"/>
          <w:numId w:val="1"/>
        </w:numPr>
        <w:spacing w:after="40" w:before="40"/>
        <w:ind w:left="360" w:hanging="200"/>
      </w:pPr>
      <w:r>
        <w:rPr>
          <w:b w:val="0"/>
          <w:highlight w:val="yellow"/>
        </w:rPr>
        <w:t>Logo: inject PRINT_LOGO_SRC (white rectangular logo) via the .hero-logo-wide class — see Section 18 for mobile-safe sizing. (The old ifm-logo-sq.png approach is deprecated.)</w:t>
      </w:r>
    </w:p>
    <w:p>
      <w:pPr>
        <w:spacing w:after="80" w:before="0"/>
      </w:pPr>
      <w:r>
        <w:t xml:space="preserve"/>
      </w:r>
    </w:p>
    <w:p>
      <w:pPr>
        <w:pStyle w:val="Heading2"/>
        <w:spacing w:after="120" w:before="240"/>
      </w:pPr>
      <w:r>
        <w:rPr>
          <w:rFonts w:ascii="Lora" w:cs="Lora" w:eastAsia="Lora" w:hAnsi="Lora"/>
          <w:b/>
          <w:bCs/>
          <w:color w:val="1a3a5c"/>
          <w:sz w:val="28"/>
          <w:szCs w:val="28"/>
        </w:rPr>
        <w:t xml:space="preserve">Content Structure</w:t>
      </w:r>
    </w:p>
    <w:p>
      <w:pPr>
        <w:pStyle w:val="ListParagraph"/>
        <w:numPr>
          <w:ilvl w:val="0"/>
          <w:numId w:val="1"/>
        </w:numPr>
        <w:spacing w:after="40" w:before="40"/>
        <w:ind w:left="360" w:hanging="200"/>
      </w:pPr>
      <w:r>
        <w:rPr>
          <w:rFonts w:ascii="Nunito" w:cs="Nunito" w:eastAsia="Nunito" w:hAnsi="Nunito"/>
          <w:color w:val="1a3a5c"/>
          <w:sz w:val="22"/>
          <w:szCs w:val="22"/>
        </w:rPr>
        <w:t xml:space="preserve">Tag pill above title: background rgba(255,255,255,0.2), rounded, uppercase, tiny font</w:t>
      </w:r>
    </w:p>
    <w:p>
      <w:pPr>
        <w:pStyle w:val="ListParagraph"/>
        <w:numPr>
          <w:ilvl w:val="0"/>
          <w:numId w:val="1"/>
        </w:numPr>
        <w:spacing w:after="40" w:before="40"/>
        <w:ind w:left="360" w:hanging="200"/>
      </w:pPr>
      <w:r>
        <w:rPr>
          <w:rFonts w:ascii="Nunito" w:cs="Nunito" w:eastAsia="Nunito" w:hAnsi="Nunito"/>
          <w:color w:val="1a3a5c"/>
          <w:sz w:val="22"/>
          <w:szCs w:val="22"/>
        </w:rPr>
        <w:t xml:space="preserve">Title: Lora serif, white, bold</w:t>
      </w:r>
    </w:p>
    <w:p>
      <w:pPr>
        <w:pStyle w:val="ListParagraph"/>
        <w:numPr>
          <w:ilvl w:val="0"/>
          <w:numId w:val="1"/>
        </w:numPr>
        <w:spacing w:after="40" w:before="40"/>
        <w:ind w:left="360" w:hanging="200"/>
      </w:pPr>
      <w:r>
        <w:rPr>
          <w:rFonts w:ascii="Nunito" w:cs="Nunito" w:eastAsia="Nunito" w:hAnsi="Nunito"/>
          <w:color w:val="1a3a5c"/>
          <w:sz w:val="22"/>
          <w:szCs w:val="22"/>
        </w:rPr>
        <w:t xml:space="preserve">Subtitle: rgba(255,255,255,0.85), Nunito, 0.8rem</w:t>
      </w:r>
    </w:p>
    <w:p>
      <w:pPr>
        <w:pStyle w:val="ListParagraph"/>
        <w:numPr>
          <w:ilvl w:val="0"/>
          <w:numId w:val="1"/>
        </w:numPr>
        <w:spacing w:after="40" w:before="40"/>
        <w:ind w:left="360" w:hanging="200"/>
      </w:pPr>
      <w:r>
        <w:rPr>
          <w:rFonts w:ascii="Nunito" w:cs="Nunito" w:eastAsia="Nunito" w:hAnsi="Nunito"/>
          <w:color w:val="1a3a5c"/>
          <w:sz w:val="22"/>
          <w:szCs w:val="22"/>
        </w:rPr>
        <w:t xml:space="preserve">Each game gets its own unique gradient — document the hex pair when creating</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9. Number &amp; Input Formatting</w:t>
      </w:r>
    </w:p>
    <w:p>
      <w:pPr>
        <w:pStyle w:val="Heading2"/>
        <w:spacing w:after="120" w:before="240"/>
      </w:pPr>
      <w:r>
        <w:rPr>
          <w:rFonts w:ascii="Lora" w:cs="Lora" w:eastAsia="Lora" w:hAnsi="Lora"/>
          <w:b/>
          <w:bCs/>
          <w:color w:val="1a3a5c"/>
          <w:sz w:val="28"/>
          <w:szCs w:val="28"/>
        </w:rPr>
        <w:t xml:space="preserve">Indian Number Format</w:t>
      </w:r>
    </w:p>
    <w:p>
      <w:pPr>
        <w:spacing w:after="80" w:before="60"/>
      </w:pPr>
      <w:r>
        <w:rPr>
          <w:rFonts w:ascii="Nunito" w:cs="Nunito" w:eastAsia="Nunito" w:hAnsi="Nunito"/>
          <w:b w:val="false"/>
          <w:bCs w:val="false"/>
          <w:color w:val="1a3a5c"/>
          <w:sz w:val="22"/>
          <w:szCs w:val="22"/>
        </w:rPr>
        <w:t xml:space="preserve">All financial values use Indian formatting — first comma at 3 digits from right, then every 2 digits.</w:t>
      </w:r>
    </w:p>
    <w:p>
      <w:pPr>
        <w:pStyle w:val="ListParagraph"/>
        <w:numPr>
          <w:ilvl w:val="0"/>
          <w:numId w:val="1"/>
        </w:numPr>
        <w:spacing w:after="40" w:before="40"/>
        <w:ind w:left="360" w:hanging="200"/>
      </w:pPr>
      <w:r>
        <w:rPr>
          <w:rFonts w:ascii="Nunito" w:cs="Nunito" w:eastAsia="Nunito" w:hAnsi="Nunito"/>
          <w:color w:val="1a3a5c"/>
          <w:sz w:val="22"/>
          <w:szCs w:val="22"/>
        </w:rPr>
        <w:t xml:space="preserve">₹1,00,000  NOT  ₹100,000</w:t>
      </w:r>
    </w:p>
    <w:p>
      <w:pPr>
        <w:pStyle w:val="ListParagraph"/>
        <w:numPr>
          <w:ilvl w:val="0"/>
          <w:numId w:val="1"/>
        </w:numPr>
        <w:spacing w:after="40" w:before="40"/>
        <w:ind w:left="360" w:hanging="200"/>
      </w:pPr>
      <w:r>
        <w:rPr>
          <w:rFonts w:ascii="Nunito" w:cs="Nunito" w:eastAsia="Nunito" w:hAnsi="Nunito"/>
          <w:color w:val="1a3a5c"/>
          <w:sz w:val="22"/>
          <w:szCs w:val="22"/>
        </w:rPr>
        <w:t xml:space="preserve">Use indianFormat(num) on every keystroke to reformat input fields</w:t>
      </w:r>
    </w:p>
    <w:p>
      <w:pPr>
        <w:pStyle w:val="ListParagraph"/>
        <w:numPr>
          <w:ilvl w:val="0"/>
          <w:numId w:val="1"/>
        </w:numPr>
        <w:spacing w:after="40" w:before="40"/>
        <w:ind w:left="360" w:hanging="200"/>
      </w:pPr>
      <w:r>
        <w:rPr>
          <w:rFonts w:ascii="Nunito" w:cs="Nunito" w:eastAsia="Nunito" w:hAnsi="Nunito"/>
          <w:color w:val="1a3a5c"/>
          <w:sz w:val="22"/>
          <w:szCs w:val="22"/>
        </w:rPr>
        <w:t xml:space="preserve">Use parseShorthand(val) to read values back — handles "2L", "50K", "1.5Cr"</w:t>
      </w:r>
    </w:p>
    <w:p>
      <w:pPr>
        <w:spacing w:after="80" w:before="0"/>
      </w:pPr>
      <w:r>
        <w:t xml:space="preserve"/>
      </w:r>
    </w:p>
    <w:p>
      <w:pPr>
        <w:pStyle w:val="Heading2"/>
        <w:spacing w:after="120" w:before="240"/>
      </w:pPr>
      <w:r>
        <w:rPr>
          <w:rFonts w:ascii="Lora" w:cs="Lora" w:eastAsia="Lora" w:hAnsi="Lora"/>
          <w:b/>
          <w:bCs/>
          <w:color w:val="1a3a5c"/>
          <w:sz w:val="28"/>
          <w:szCs w:val="28"/>
        </w:rPr>
        <w:t xml:space="preserve">Input Box Rules — CRITICAL</w:t>
      </w:r>
    </w:p>
    <w:p>
      <w:pPr>
        <w:pStyle w:val="ListParagraph"/>
        <w:numPr>
          <w:ilvl w:val="0"/>
          <w:numId w:val="1"/>
        </w:numPr>
        <w:spacing w:after="40" w:before="40"/>
        <w:ind w:left="360" w:hanging="200"/>
      </w:pPr>
      <w:r>
        <w:rPr>
          <w:rFonts w:ascii="Nunito" w:cs="Nunito" w:eastAsia="Nunito" w:hAnsi="Nunito"/>
          <w:color w:val="1a3a5c"/>
          <w:sz w:val="22"/>
          <w:szCs w:val="22"/>
        </w:rPr>
        <w:t xml:space="preserve">The input box ALWAYS shows the full Indian-formatted number</w:t>
      </w:r>
    </w:p>
    <w:p>
      <w:pPr>
        <w:pStyle w:val="ListParagraph"/>
        <w:numPr>
          <w:ilvl w:val="0"/>
          <w:numId w:val="1"/>
        </w:numPr>
        <w:spacing w:after="40" w:before="40"/>
        <w:ind w:left="360" w:hanging="200"/>
      </w:pPr>
      <w:r>
        <w:rPr>
          <w:rFonts w:ascii="Nunito" w:cs="Nunito" w:eastAsia="Nunito" w:hAnsi="Nunito"/>
          <w:color w:val="1a3a5c"/>
          <w:sz w:val="22"/>
          <w:szCs w:val="22"/>
        </w:rPr>
        <w:t xml:space="preserve">NEVER modify el.value to show shorthand — this corrupts user input</w:t>
      </w:r>
    </w:p>
    <w:p>
      <w:pPr>
        <w:pStyle w:val="ListParagraph"/>
        <w:numPr>
          <w:ilvl w:val="0"/>
          <w:numId w:val="1"/>
        </w:numPr>
        <w:spacing w:after="40" w:before="40"/>
        <w:ind w:left="360" w:hanging="200"/>
      </w:pPr>
      <w:r>
        <w:rPr>
          <w:rFonts w:ascii="Nunito" w:cs="Nunito" w:eastAsia="Nunito" w:hAnsi="Nunito"/>
          <w:color w:val="1a3a5c"/>
          <w:sz w:val="22"/>
          <w:szCs w:val="22"/>
        </w:rPr>
        <w:t xml:space="preserve">Shorthand badge ("20L") is a separate element, never inside the input box</w:t>
      </w:r>
    </w:p>
    <w:p>
      <w:pPr>
        <w:spacing w:after="80" w:before="0"/>
      </w:pPr>
      <w:r>
        <w:t xml:space="preserve"/>
      </w:r>
    </w:p>
    <w:p>
      <w:pPr>
        <w:pStyle w:val="Heading2"/>
        <w:spacing w:after="120" w:before="240"/>
      </w:pPr>
      <w:r>
        <w:rPr>
          <w:rFonts w:ascii="Lora" w:cs="Lora" w:eastAsia="Lora" w:hAnsi="Lora"/>
          <w:b/>
          <w:bCs/>
          <w:color w:val="1a3a5c"/>
          <w:sz w:val="28"/>
          <w:szCs w:val="28"/>
        </w:rPr>
        <w:t xml:space="preserve">Shorthand Badge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Layout Context</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Badge Position</w:t>
            </w:r>
          </w:p>
        </w:tc>
        <w:tc>
          <w:tcPr>
            <w:tcW w:type="dxa" w:w="41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tcPr>
          <w:p>
            <w:r>
              <w:rPr>
                <w:rFonts w:ascii="Nunito" w:cs="Nunito" w:eastAsia="Nunito" w:hAnsi="Nunito"/>
                <w:b/>
                <w:bCs/>
                <w:color w:val="ffffff"/>
                <w:sz w:val="19"/>
                <w:szCs w:val="19"/>
              </w:rPr>
              <w:t xml:space="preserve">Example</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Horizontal row table (multi-column)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LEFT of input</w:t>
            </w:r>
          </w:p>
        </w:tc>
        <w:tc>
          <w:tcPr>
            <w:tcW w:type="dxa" w:w="4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Retirement planner asset rows</w:t>
            </w:r>
          </w:p>
        </w:tc>
      </w:tr>
      <w:tr>
        <w:tc>
          <w:tcPr>
            <w:tcW w:type="dxa" w:w="32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Centred card inputs</w:t>
            </w:r>
          </w:p>
        </w:tc>
        <w:tc>
          <w:tcPr>
            <w:tcW w:type="dxa" w:w="200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BELOW the input</w:t>
            </w:r>
          </w:p>
        </w:tc>
        <w:tc>
          <w:tcPr>
            <w:tcW w:type="dxa" w:w="4160"/>
            <w:tcBorders>
              <w:top w:val="single" w:color="dddddd" w:sz="4"/>
              <w:left w:val="single" w:color="dddddd" w:sz="4"/>
              <w:bottom w:val="single" w:color="dddddd" w:sz="4"/>
              <w:right w:val="single" w:color="dddddd" w:sz="4"/>
            </w:tcBorders>
            <w:shd w:fill="f7faf9" w:val="clear"/>
            <w:tcMar>
              <w:top w:type="dxa" w:w="60"/>
              <w:left w:type="dxa" w:w="120"/>
              <w:bottom w:type="dxa" w:w="60"/>
              <w:right w:type="dxa" w:w="80"/>
            </w:tcMar>
          </w:tcPr>
          <w:p>
            <w:r>
              <w:rPr>
                <w:rFonts w:ascii="Nunito" w:cs="Nunito" w:eastAsia="Nunito" w:hAnsi="Nunito"/>
                <w:color w:val="1a3a5c"/>
                <w:sz w:val="19"/>
                <w:szCs w:val="19"/>
              </w:rPr>
              <w:t xml:space="preserve">SWP calculator corpus field</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Single standalone field</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RIGHT of input</w:t>
            </w:r>
          </w:p>
        </w:tc>
        <w:tc>
          <w:tcPr>
            <w:tcW w:type="dxa" w:w="4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Nunito" w:cs="Nunito" w:eastAsia="Nunito" w:hAnsi="Nunito"/>
                <w:color w:val="1a3a5c"/>
                <w:sz w:val="19"/>
                <w:szCs w:val="19"/>
              </w:rPr>
              <w:t xml:space="preserve">Budget planner single fields</w:t>
            </w:r>
          </w:p>
        </w:tc>
      </w:tr>
    </w:tbl>
    <w:p>
      <w:pPr>
        <w:spacing w:after="80" w:before="0"/>
      </w:pPr>
      <w:r>
        <w:t xml:space="preserve"/>
      </w:r>
    </w:p>
    <w:p>
      <w:pPr>
        <w:pStyle w:val="Heading2"/>
        <w:spacing w:after="120" w:before="240"/>
      </w:pPr>
      <w:r>
        <w:rPr>
          <w:rFonts w:ascii="Lora" w:cs="Lora" w:eastAsia="Lora" w:hAnsi="Lora"/>
          <w:b/>
          <w:bCs/>
          <w:color w:val="1a3a5c"/>
          <w:sz w:val="28"/>
          <w:szCs w:val="28"/>
        </w:rPr>
        <w:t xml:space="preserve">Shorthand Badge CSS</w:t>
      </w:r>
    </w:p>
    <w:p>
      <w:pPr>
        <w:pStyle w:val="ListParagraph"/>
        <w:numPr>
          <w:ilvl w:val="0"/>
          <w:numId w:val="1"/>
        </w:numPr>
        <w:spacing w:after="40" w:before="40"/>
        <w:ind w:left="360" w:hanging="200"/>
      </w:pPr>
      <w:r>
        <w:rPr>
          <w:rFonts w:ascii="Nunito" w:cs="Nunito" w:eastAsia="Nunito" w:hAnsi="Nunito"/>
          <w:color w:val="1a3a5c"/>
          <w:sz w:val="22"/>
          <w:szCs w:val="22"/>
        </w:rPr>
        <w:t xml:space="preserve">font-size: 0.62rem  ·  font-weight: 800  ·  color: var(--teal)</w:t>
      </w:r>
    </w:p>
    <w:p>
      <w:pPr>
        <w:pStyle w:val="ListParagraph"/>
        <w:numPr>
          <w:ilvl w:val="0"/>
          <w:numId w:val="1"/>
        </w:numPr>
        <w:spacing w:after="40" w:before="40"/>
        <w:ind w:left="360" w:hanging="200"/>
      </w:pPr>
      <w:r>
        <w:rPr>
          <w:rFonts w:ascii="Nunito" w:cs="Nunito" w:eastAsia="Nunito" w:hAnsi="Nunito"/>
          <w:color w:val="1a3a5c"/>
          <w:sz w:val="22"/>
          <w:szCs w:val="22"/>
        </w:rPr>
        <w:t xml:space="preserve">background: #e8f5f2  ·  padding: 1px 5px  ·  border-radius: 4px</w:t>
      </w:r>
    </w:p>
    <w:p>
      <w:pPr>
        <w:pStyle w:val="ListParagraph"/>
        <w:numPr>
          <w:ilvl w:val="0"/>
          <w:numId w:val="1"/>
        </w:numPr>
        <w:spacing w:after="40" w:before="40"/>
        <w:ind w:left="360" w:hanging="200"/>
      </w:pPr>
      <w:r>
        <w:rPr>
          <w:rFonts w:ascii="Nunito" w:cs="Nunito" w:eastAsia="Nunito" w:hAnsi="Nunito"/>
          <w:color w:val="1a3a5c"/>
          <w:sz w:val="22"/>
          <w:szCs w:val="22"/>
        </w:rPr>
        <w:t xml:space="preserve">Appears only when value &gt; 0; hidden when field is empty</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10. Game Question Card Pattern</w:t>
      </w:r>
    </w:p>
    <w:p>
      <w:pPr>
        <w:spacing w:after="80" w:before="60"/>
      </w:pPr>
      <w:r>
        <w:rPr>
          <w:rFonts w:ascii="Nunito" w:cs="Nunito" w:eastAsia="Nunito" w:hAnsi="Nunito"/>
          <w:b w:val="false"/>
          <w:bCs w:val="false"/>
          <w:color w:val="1a3a5c"/>
          <w:sz w:val="22"/>
          <w:szCs w:val="22"/>
        </w:rPr>
        <w:t xml:space="preserve">All quiz/game question cards use a consistent two-block layout before the answer options:</w:t>
      </w:r>
    </w:p>
    <w:p>
      <w:pPr>
        <w:spacing w:after="80" w:before="0"/>
      </w:pPr>
      <w:r>
        <w:t xml:space="preserve"/>
      </w:r>
    </w:p>
    <w:p>
      <w:pPr>
        <w:pStyle w:val="Heading2"/>
        <w:spacing w:after="120" w:before="240"/>
      </w:pPr>
      <w:r>
        <w:rPr>
          <w:rFonts w:ascii="Lora" w:cs="Lora" w:eastAsia="Lora" w:hAnsi="Lora"/>
          <w:b/>
          <w:bCs/>
          <w:color w:val="1a3a5c"/>
          <w:sz w:val="28"/>
          <w:szCs w:val="28"/>
        </w:rPr>
        <w:t xml:space="preserve">Block 1 — Scenario Box</w:t>
      </w:r>
    </w:p>
    <w:p>
      <w:pPr>
        <w:pStyle w:val="ListParagraph"/>
        <w:numPr>
          <w:ilvl w:val="0"/>
          <w:numId w:val="1"/>
        </w:numPr>
        <w:spacing w:after="40" w:before="40"/>
        <w:ind w:left="360" w:hanging="200"/>
      </w:pPr>
      <w:r>
        <w:rPr>
          <w:rFonts w:ascii="Nunito" w:cs="Nunito" w:eastAsia="Nunito" w:hAnsi="Nunito"/>
          <w:color w:val="1a3a5c"/>
          <w:sz w:val="22"/>
          <w:szCs w:val="22"/>
        </w:rPr>
        <w:t xml:space="preserve">background: var(--mint-lt)  ·  border-left: 4px solid var(--navy)</w:t>
      </w:r>
    </w:p>
    <w:p>
      <w:pPr>
        <w:pStyle w:val="ListParagraph"/>
        <w:numPr>
          <w:ilvl w:val="0"/>
          <w:numId w:val="1"/>
        </w:numPr>
        <w:spacing w:after="40" w:before="40"/>
        <w:ind w:left="360" w:hanging="200"/>
      </w:pPr>
      <w:r>
        <w:rPr>
          <w:rFonts w:ascii="Nunito" w:cs="Nunito" w:eastAsia="Nunito" w:hAnsi="Nunito"/>
          <w:color w:val="1a3a5c"/>
          <w:sz w:val="22"/>
          <w:szCs w:val="22"/>
        </w:rPr>
        <w:t xml:space="preserve">border-radius: 0 12px 12px 0  ·  padding: 14px 16px  ·  margin-bottom: 14px</w:t>
      </w:r>
    </w:p>
    <w:p>
      <w:pPr>
        <w:pStyle w:val="ListParagraph"/>
        <w:numPr>
          <w:ilvl w:val="0"/>
          <w:numId w:val="1"/>
        </w:numPr>
        <w:spacing w:after="40" w:before="40"/>
        <w:ind w:left="360" w:hanging="200"/>
      </w:pPr>
      <w:r>
        <w:rPr>
          <w:rFonts w:ascii="Nunito" w:cs="Nunito" w:eastAsia="Nunito" w:hAnsi="Nunito"/>
          <w:color w:val="1a3a5c"/>
          <w:sz w:val="22"/>
          <w:szCs w:val="22"/>
        </w:rPr>
        <w:t xml:space="preserve">Label: "📖 SCENARIO" in uppercase, var(--muted), 0.75rem, 800 weight</w:t>
      </w:r>
    </w:p>
    <w:p>
      <w:pPr>
        <w:pStyle w:val="ListParagraph"/>
        <w:numPr>
          <w:ilvl w:val="0"/>
          <w:numId w:val="1"/>
        </w:numPr>
        <w:spacing w:after="40" w:before="40"/>
        <w:ind w:left="360" w:hanging="200"/>
      </w:pPr>
      <w:r>
        <w:rPr>
          <w:rFonts w:ascii="Nunito" w:cs="Nunito" w:eastAsia="Nunito" w:hAnsi="Nunito"/>
          <w:color w:val="1a3a5c"/>
          <w:sz w:val="22"/>
          <w:szCs w:val="22"/>
        </w:rPr>
        <w:t xml:space="preserve">Quote / scenario text in italic, var(--teal) colour</w:t>
      </w:r>
    </w:p>
    <w:p>
      <w:pPr>
        <w:spacing w:after="80" w:before="0"/>
      </w:pPr>
      <w:r>
        <w:t xml:space="preserve"/>
      </w:r>
    </w:p>
    <w:p>
      <w:pPr>
        <w:pStyle w:val="Heading2"/>
        <w:spacing w:after="120" w:before="240"/>
      </w:pPr>
      <w:r>
        <w:rPr>
          <w:rFonts w:ascii="Lora" w:cs="Lora" w:eastAsia="Lora" w:hAnsi="Lora"/>
          <w:b/>
          <w:bCs/>
          <w:color w:val="1a3a5c"/>
          <w:sz w:val="28"/>
          <w:szCs w:val="28"/>
        </w:rPr>
        <w:t xml:space="preserve">Block 2 — Question Banner</w:t>
      </w:r>
    </w:p>
    <w:p>
      <w:pPr>
        <w:pStyle w:val="ListParagraph"/>
        <w:numPr>
          <w:ilvl w:val="0"/>
          <w:numId w:val="1"/>
        </w:numPr>
        <w:spacing w:after="40" w:before="40"/>
        <w:ind w:left="360" w:hanging="200"/>
      </w:pPr>
      <w:r>
        <w:rPr>
          <w:rFonts w:ascii="Nunito" w:cs="Nunito" w:eastAsia="Nunito" w:hAnsi="Nunito"/>
          <w:color w:val="1a3a5c"/>
          <w:sz w:val="22"/>
          <w:szCs w:val="22"/>
        </w:rPr>
        <w:t xml:space="preserve">background: linear-gradient(135deg, var(--navy), var(--navy-lt))</w:t>
      </w:r>
    </w:p>
    <w:p>
      <w:pPr>
        <w:pStyle w:val="ListParagraph"/>
        <w:numPr>
          <w:ilvl w:val="0"/>
          <w:numId w:val="1"/>
        </w:numPr>
        <w:spacing w:after="40" w:before="40"/>
        <w:ind w:left="360" w:hanging="200"/>
      </w:pPr>
      <w:r>
        <w:rPr>
          <w:rFonts w:ascii="Nunito" w:cs="Nunito" w:eastAsia="Nunito" w:hAnsi="Nunito"/>
          <w:color w:val="1a3a5c"/>
          <w:sz w:val="22"/>
          <w:szCs w:val="22"/>
        </w:rPr>
        <w:t xml:space="preserve">border-radius: 12px  ·  padding: 12px 18px  ·  text-align: center</w:t>
      </w:r>
    </w:p>
    <w:p>
      <w:pPr>
        <w:pStyle w:val="ListParagraph"/>
        <w:numPr>
          <w:ilvl w:val="0"/>
          <w:numId w:val="1"/>
        </w:numPr>
        <w:spacing w:after="40" w:before="40"/>
        <w:ind w:left="360" w:hanging="200"/>
      </w:pPr>
      <w:r>
        <w:rPr>
          <w:rFonts w:ascii="Nunito" w:cs="Nunito" w:eastAsia="Nunito" w:hAnsi="Nunito"/>
          <w:color w:val="1a3a5c"/>
          <w:sz w:val="22"/>
          <w:szCs w:val="22"/>
        </w:rPr>
        <w:t xml:space="preserve">Question text: white, 1rem, 800 weight, Nunito</w:t>
      </w:r>
    </w:p>
    <w:p>
      <w:pPr>
        <w:spacing w:after="80" w:before="0"/>
      </w:pPr>
      <w:r>
        <w:t xml:space="preserve"/>
      </w:r>
    </w:p>
    <w:p>
      <w:pPr>
        <w:pStyle w:val="Heading2"/>
        <w:spacing w:after="120" w:before="240"/>
      </w:pPr>
      <w:r>
        <w:rPr>
          <w:rFonts w:ascii="Lora" w:cs="Lora" w:eastAsia="Lora" w:hAnsi="Lora"/>
          <w:b/>
          <w:bCs/>
          <w:color w:val="1a3a5c"/>
          <w:sz w:val="28"/>
          <w:szCs w:val="28"/>
        </w:rPr>
        <w:t xml:space="preserve">Answer Options</w:t>
      </w:r>
    </w:p>
    <w:p>
      <w:pPr>
        <w:pStyle w:val="ListParagraph"/>
        <w:numPr>
          <w:ilvl w:val="0"/>
          <w:numId w:val="1"/>
        </w:numPr>
        <w:spacing w:after="40" w:before="40"/>
        <w:ind w:left="360" w:hanging="200"/>
      </w:pPr>
      <w:r>
        <w:rPr>
          <w:rFonts w:ascii="Nunito" w:cs="Nunito" w:eastAsia="Nunito" w:hAnsi="Nunito"/>
          <w:color w:val="1a3a5c"/>
          <w:sz w:val="22"/>
          <w:szCs w:val="22"/>
        </w:rPr>
        <w:t xml:space="preserve">4 .opt buttons, each with a lettered circle (A B C D)</w:t>
      </w:r>
    </w:p>
    <w:p>
      <w:pPr>
        <w:pStyle w:val="ListParagraph"/>
        <w:numPr>
          <w:ilvl w:val="0"/>
          <w:numId w:val="1"/>
        </w:numPr>
        <w:spacing w:after="40" w:before="40"/>
        <w:ind w:left="360" w:hanging="200"/>
      </w:pPr>
      <w:r>
        <w:rPr>
          <w:rFonts w:ascii="Nunito" w:cs="Nunito" w:eastAsia="Nunito" w:hAnsi="Nunito"/>
          <w:color w:val="1a3a5c"/>
          <w:sz w:val="22"/>
          <w:szCs w:val="22"/>
        </w:rPr>
        <w:t xml:space="preserve">Teal border, white background, lift on hover</w:t>
      </w:r>
    </w:p>
    <w:p>
      <w:pPr>
        <w:pStyle w:val="ListParagraph"/>
        <w:numPr>
          <w:ilvl w:val="0"/>
          <w:numId w:val="1"/>
        </w:numPr>
        <w:spacing w:after="40" w:before="40"/>
        <w:ind w:left="360" w:hanging="200"/>
      </w:pPr>
      <w:r>
        <w:rPr>
          <w:rFonts w:ascii="Nunito" w:cs="Nunito" w:eastAsia="Nunito" w:hAnsi="Nunito"/>
          <w:color w:val="1a3a5c"/>
          <w:sz w:val="22"/>
          <w:szCs w:val="22"/>
        </w:rPr>
        <w:t xml:space="preserve">Correct/wrong states applied after selection — no retry</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11. Brand Voice &amp; Writing Tone</w:t>
      </w:r>
    </w:p>
    <w:p>
      <w:pPr>
        <w:pStyle w:val="Heading2"/>
        <w:spacing w:after="120" w:before="240"/>
      </w:pPr>
      <w:r>
        <w:rPr>
          <w:rFonts w:ascii="Lora" w:cs="Lora" w:eastAsia="Lora" w:hAnsi="Lora"/>
          <w:b/>
          <w:bCs/>
          <w:color w:val="1a3a5c"/>
          <w:sz w:val="28"/>
          <w:szCs w:val="28"/>
        </w:rPr>
        <w:t xml:space="preserve">Core Tone</w:t>
      </w:r>
    </w:p>
    <w:p>
      <w:pPr>
        <w:spacing w:after="80" w:before="60"/>
      </w:pPr>
      <w:r>
        <w:rPr>
          <w:rFonts w:ascii="Nunito" w:cs="Nunito" w:eastAsia="Nunito" w:hAnsi="Nunito"/>
          <w:b w:val="false"/>
          <w:bCs w:val="false"/>
          <w:color w:val="1a3a5c"/>
          <w:sz w:val="22"/>
          <w:szCs w:val="22"/>
        </w:rPr>
        <w:t xml:space="preserve">"Like a smart friend who happens to know a lot about money." Never patronising. Always encouraging.</w:t>
      </w:r>
    </w:p>
    <w:p>
      <w:pPr>
        <w:spacing w:after="80" w:before="0"/>
      </w:pPr>
      <w:r>
        <w:t xml:space="preserve"/>
      </w:r>
    </w:p>
    <w:p>
      <w:pPr>
        <w:pStyle w:val="Heading2"/>
        <w:spacing w:after="120" w:before="240"/>
      </w:pPr>
      <w:r>
        <w:rPr>
          <w:rFonts w:ascii="Lora" w:cs="Lora" w:eastAsia="Lora" w:hAnsi="Lora"/>
          <w:b/>
          <w:bCs/>
          <w:color w:val="1a3a5c"/>
          <w:sz w:val="28"/>
          <w:szCs w:val="28"/>
        </w:rPr>
        <w:t xml:space="preserve">Do</w:t>
      </w:r>
    </w:p>
    <w:p>
      <w:pPr>
        <w:pStyle w:val="ListParagraph"/>
        <w:numPr>
          <w:ilvl w:val="0"/>
          <w:numId w:val="1"/>
        </w:numPr>
        <w:spacing w:after="40" w:before="40"/>
        <w:ind w:left="360" w:hanging="200"/>
      </w:pPr>
      <w:r>
        <w:rPr>
          <w:rFonts w:ascii="Nunito" w:cs="Nunito" w:eastAsia="Nunito" w:hAnsi="Nunito"/>
          <w:color w:val="1a3a5c"/>
          <w:sz w:val="22"/>
          <w:szCs w:val="22"/>
        </w:rPr>
        <w:t xml:space="preserve">Use "you" and "your" — direct, personal</w:t>
      </w:r>
    </w:p>
    <w:p>
      <w:pPr>
        <w:pStyle w:val="ListParagraph"/>
        <w:numPr>
          <w:ilvl w:val="0"/>
          <w:numId w:val="1"/>
        </w:numPr>
        <w:spacing w:after="40" w:before="40"/>
        <w:ind w:left="360" w:hanging="200"/>
      </w:pPr>
      <w:r>
        <w:rPr>
          <w:rFonts w:ascii="Nunito" w:cs="Nunito" w:eastAsia="Nunito" w:hAnsi="Nunito"/>
          <w:color w:val="1a3a5c"/>
          <w:sz w:val="22"/>
          <w:szCs w:val="22"/>
        </w:rPr>
        <w:t xml:space="preserve">Short sentences. One idea per line.</w:t>
      </w:r>
    </w:p>
    <w:p>
      <w:pPr>
        <w:pStyle w:val="ListParagraph"/>
        <w:numPr>
          <w:ilvl w:val="0"/>
          <w:numId w:val="1"/>
        </w:numPr>
        <w:spacing w:after="40" w:before="40"/>
        <w:ind w:left="360" w:hanging="200"/>
      </w:pPr>
      <w:r>
        <w:rPr>
          <w:rFonts w:ascii="Nunito" w:cs="Nunito" w:eastAsia="Nunito" w:hAnsi="Nunito"/>
          <w:color w:val="1a3a5c"/>
          <w:sz w:val="22"/>
          <w:szCs w:val="22"/>
        </w:rPr>
        <w:t xml:space="preserve">Real Indian examples — ₹10,000 SIP, not $100 example</w:t>
      </w:r>
    </w:p>
    <w:p>
      <w:pPr>
        <w:pStyle w:val="ListParagraph"/>
        <w:numPr>
          <w:ilvl w:val="0"/>
          <w:numId w:val="1"/>
        </w:numPr>
        <w:spacing w:after="40" w:before="40"/>
        <w:ind w:left="360" w:hanging="200"/>
      </w:pPr>
      <w:r>
        <w:rPr>
          <w:rFonts w:ascii="Nunito" w:cs="Nunito" w:eastAsia="Nunito" w:hAnsi="Nunito"/>
          <w:color w:val="1a3a5c"/>
          <w:sz w:val="22"/>
          <w:szCs w:val="22"/>
        </w:rPr>
        <w:t xml:space="preserve">Emojis to add warmth — 1–2 per heading, not scattered through body text</w:t>
      </w:r>
    </w:p>
    <w:p>
      <w:pPr>
        <w:pStyle w:val="ListParagraph"/>
        <w:numPr>
          <w:ilvl w:val="0"/>
          <w:numId w:val="1"/>
        </w:numPr>
        <w:spacing w:after="40" w:before="40"/>
        <w:ind w:left="360" w:hanging="200"/>
      </w:pPr>
      <w:r>
        <w:rPr>
          <w:rFonts w:ascii="Nunito" w:cs="Nunito" w:eastAsia="Nunito" w:hAnsi="Nunito"/>
          <w:color w:val="1a3a5c"/>
          <w:sz w:val="22"/>
          <w:szCs w:val="22"/>
        </w:rPr>
        <w:t xml:space="preserve">Explain the "why" — not just what to do, but why it matters</w:t>
      </w:r>
    </w:p>
    <w:p>
      <w:pPr>
        <w:pStyle w:val="ListParagraph"/>
        <w:numPr>
          <w:ilvl w:val="0"/>
          <w:numId w:val="1"/>
        </w:numPr>
        <w:spacing w:after="40" w:before="40"/>
        <w:ind w:left="360" w:hanging="200"/>
      </w:pPr>
      <w:r>
        <w:rPr>
          <w:rFonts w:ascii="Nunito" w:cs="Nunito" w:eastAsia="Nunito" w:hAnsi="Nunito"/>
          <w:color w:val="1a3a5c"/>
          <w:sz w:val="22"/>
          <w:szCs w:val="22"/>
        </w:rPr>
        <w:t xml:space="preserve">Celebrate correct answers: "🎯 Brilliant!" / "🏆 Perfect!" / "🍕 You already know the secret!"</w:t>
      </w:r>
    </w:p>
    <w:p>
      <w:pPr>
        <w:spacing w:after="80" w:before="0"/>
      </w:pPr>
      <w:r>
        <w:t xml:space="preserve"/>
      </w:r>
    </w:p>
    <w:p>
      <w:pPr>
        <w:pStyle w:val="Heading2"/>
        <w:spacing w:after="120" w:before="240"/>
      </w:pPr>
      <w:r>
        <w:rPr>
          <w:rFonts w:ascii="Lora" w:cs="Lora" w:eastAsia="Lora" w:hAnsi="Lora"/>
          <w:b/>
          <w:bCs/>
          <w:color w:val="1a3a5c"/>
          <w:sz w:val="28"/>
          <w:szCs w:val="28"/>
        </w:rPr>
        <w:t xml:space="preserve">Don't</w:t>
      </w:r>
    </w:p>
    <w:p>
      <w:pPr>
        <w:pStyle w:val="ListParagraph"/>
        <w:numPr>
          <w:ilvl w:val="0"/>
          <w:numId w:val="1"/>
        </w:numPr>
        <w:spacing w:after="40" w:before="40"/>
        <w:ind w:left="360" w:hanging="200"/>
      </w:pPr>
      <w:r>
        <w:rPr>
          <w:rFonts w:ascii="Nunito" w:cs="Nunito" w:eastAsia="Nunito" w:hAnsi="Nunito"/>
          <w:color w:val="1a3a5c"/>
          <w:sz w:val="22"/>
          <w:szCs w:val="22"/>
        </w:rPr>
        <w:t xml:space="preserve">Don't use jargon without immediately explaining it</w:t>
      </w:r>
    </w:p>
    <w:p>
      <w:pPr>
        <w:pStyle w:val="ListParagraph"/>
        <w:numPr>
          <w:ilvl w:val="0"/>
          <w:numId w:val="1"/>
        </w:numPr>
        <w:spacing w:after="40" w:before="40"/>
        <w:ind w:left="360" w:hanging="200"/>
      </w:pPr>
      <w:r>
        <w:rPr>
          <w:rFonts w:ascii="Nunito" w:cs="Nunito" w:eastAsia="Nunito" w:hAnsi="Nunito"/>
          <w:color w:val="1a3a5c"/>
          <w:sz w:val="22"/>
          <w:szCs w:val="22"/>
        </w:rPr>
        <w:t xml:space="preserve">Don't guilt or pressure — "no timer", "learn at your pace"</w:t>
      </w:r>
    </w:p>
    <w:p>
      <w:pPr>
        <w:pStyle w:val="ListParagraph"/>
        <w:numPr>
          <w:ilvl w:val="0"/>
          <w:numId w:val="1"/>
        </w:numPr>
        <w:spacing w:after="40" w:before="40"/>
        <w:ind w:left="360" w:hanging="200"/>
      </w:pPr>
      <w:r>
        <w:rPr>
          <w:rFonts w:ascii="Nunito" w:cs="Nunito" w:eastAsia="Nunito" w:hAnsi="Nunito"/>
          <w:color w:val="1a3a5c"/>
          <w:sz w:val="22"/>
          <w:szCs w:val="22"/>
          <w:highlight w:val="yellow"/>
        </w:rPr>
        <w:t xml:space="preserve">Don't use pure black (#000000) — use --ink (#1a3a5c)</w:t>
      </w:r>
    </w:p>
    <w:p>
      <w:pPr>
        <w:pStyle w:val="ListParagraph"/>
        <w:numPr>
          <w:ilvl w:val="0"/>
          <w:numId w:val="1"/>
        </w:numPr>
        <w:spacing w:after="40" w:before="40"/>
        <w:ind w:left="360" w:hanging="200"/>
      </w:pPr>
      <w:r>
        <w:rPr>
          <w:rFonts w:ascii="Nunito" w:cs="Nunito" w:eastAsia="Nunito" w:hAnsi="Nunito"/>
          <w:color w:val="1a3a5c"/>
          <w:sz w:val="22"/>
          <w:szCs w:val="22"/>
        </w:rPr>
        <w:t xml:space="preserve">Don't hardcode hex values — always CSS variables</w:t>
      </w:r>
    </w:p>
    <w:p>
      <w:pPr>
        <w:pStyle w:val="ListParagraph"/>
        <w:numPr>
          <w:ilvl w:val="0"/>
          <w:numId w:val="1"/>
        </w:numPr>
        <w:spacing w:after="40" w:before="40"/>
        <w:ind w:left="360" w:hanging="200"/>
      </w:pPr>
      <w:r>
        <w:rPr>
          <w:rFonts w:ascii="Nunito" w:cs="Nunito" w:eastAsia="Nunito" w:hAnsi="Nunito"/>
          <w:color w:val="1a3a5c"/>
          <w:sz w:val="22"/>
          <w:szCs w:val="22"/>
        </w:rPr>
        <w:t xml:space="preserve">Don't use system fonts — always load Nunito + Lora from Google Fonts</w:t>
      </w:r>
    </w:p>
    <w:p>
      <w:pPr>
        <w:spacing w:after="160" w:before="0"/>
      </w:pPr>
      <w:r>
        <w:t xml:space="preserve"/>
      </w:r>
    </w:p>
    <w:p>
      <w:pPr>
        <w:pStyle w:val="Heading1"/>
        <w:pBdr>
          <w:bottom w:val="single" w:color="2a9d8f" w:sz="6" w:space="4"/>
        </w:pBdr>
        <w:spacing w:after="160" w:before="360"/>
      </w:pPr>
      <w:r>
        <w:rPr>
          <w:rFonts w:ascii="Lora" w:cs="Lora" w:eastAsia="Lora" w:hAnsi="Lora"/>
          <w:b/>
          <w:bCs/>
          <w:color w:val="1a3a5c"/>
          <w:sz w:val="36"/>
          <w:szCs w:val="36"/>
        </w:rPr>
        <w:t xml:space="preserve">12. Before You Ship — Checklist</w:t>
      </w:r>
    </w:p>
    <w:p>
      <w:pPr>
        <w:spacing w:after="80" w:before="60"/>
      </w:pPr>
      <w:r>
        <w:rPr>
          <w:rFonts w:ascii="Nunito" w:cs="Nunito" w:eastAsia="Nunito" w:hAnsi="Nunito"/>
          <w:b w:val="false"/>
          <w:bCs w:val="false"/>
          <w:color w:val="1a3a5c"/>
          <w:sz w:val="22"/>
          <w:szCs w:val="22"/>
        </w:rPr>
        <w:t xml:space="preserve">Run through this before every Vercel deploy.</w:t>
      </w:r>
    </w:p>
    <w:p>
      <w:pPr>
        <w:spacing w:after="80" w:before="0"/>
      </w:pPr>
      <w:r>
        <w:t xml:space="preserve"/>
      </w:r>
    </w:p>
    <w:p>
      <w:pPr>
        <w:pStyle w:val="Heading2"/>
        <w:spacing w:after="120" w:before="240"/>
      </w:pPr>
      <w:r>
        <w:rPr>
          <w:rFonts w:ascii="Lora" w:cs="Lora" w:eastAsia="Lora" w:hAnsi="Lora"/>
          <w:b/>
          <w:bCs/>
          <w:color w:val="1a3a5c"/>
          <w:sz w:val="28"/>
          <w:szCs w:val="28"/>
        </w:rPr>
        <w:t xml:space="preserve">Visual QA</w:t>
      </w:r>
    </w:p>
    <w:p>
      <w:pPr>
        <w:pStyle w:val="ListParagraph"/>
        <w:numPr>
          <w:ilvl w:val="0"/>
          <w:numId w:val="1"/>
        </w:numPr>
        <w:spacing w:after="40" w:before="40"/>
        <w:ind w:left="360" w:hanging="200"/>
      </w:pPr>
      <w:r>
        <w:rPr>
          <w:rFonts w:ascii="Nunito" w:cs="Nunito" w:eastAsia="Nunito" w:hAnsi="Nunito"/>
          <w:color w:val="1a3a5c"/>
          <w:sz w:val="22"/>
          <w:szCs w:val="22"/>
        </w:rPr>
        <w:t xml:space="preserve">All columns in dynamic rows align with static rows (verify pixel positions)</w:t>
      </w:r>
    </w:p>
    <w:p>
      <w:pPr>
        <w:pStyle w:val="ListParagraph"/>
        <w:numPr>
          <w:ilvl w:val="0"/>
          <w:numId w:val="1"/>
        </w:numPr>
        <w:spacing w:after="40" w:before="40"/>
        <w:ind w:left="360" w:hanging="200"/>
      </w:pPr>
      <w:r>
        <w:rPr>
          <w:rFonts w:ascii="Nunito" w:cs="Nunito" w:eastAsia="Nunito" w:hAnsi="Nunito"/>
          <w:color w:val="1a3a5c"/>
          <w:sz w:val="22"/>
          <w:szCs w:val="22"/>
        </w:rPr>
        <w:t xml:space="preserve">Input boxes show full formatted numbers — never shorthand inside the box</w:t>
      </w:r>
    </w:p>
    <w:p>
      <w:pPr>
        <w:pStyle w:val="ListParagraph"/>
        <w:numPr>
          <w:ilvl w:val="0"/>
          <w:numId w:val="1"/>
        </w:numPr>
        <w:spacing w:after="40" w:before="40"/>
        <w:ind w:left="360" w:hanging="200"/>
      </w:pPr>
      <w:r>
        <w:rPr>
          <w:rFonts w:ascii="Nunito" w:cs="Nunito" w:eastAsia="Nunito" w:hAnsi="Nunito"/>
          <w:color w:val="1a3a5c"/>
          <w:sz w:val="22"/>
          <w:szCs w:val="22"/>
        </w:rPr>
        <w:t xml:space="preserve">Shorthand badges appear in the correct position, disappear when field is empty</w:t>
      </w:r>
    </w:p>
    <w:p>
      <w:pPr>
        <w:pStyle w:val="ListParagraph"/>
        <w:numPr>
          <w:ilvl w:val="0"/>
          <w:numId w:val="1"/>
        </w:numPr>
        <w:spacing w:after="40" w:before="40"/>
        <w:ind w:left="360" w:hanging="200"/>
      </w:pPr>
      <w:r>
        <w:rPr>
          <w:rFonts w:ascii="Nunito" w:cs="Nunito" w:eastAsia="Nunito" w:hAnsi="Nunito"/>
          <w:color w:val="1a3a5c"/>
          <w:sz w:val="22"/>
          <w:szCs w:val="22"/>
        </w:rPr>
        <w:t xml:space="preserve">Buttons have explicit font-family: Nunito (never rely on inheritance)</w:t>
      </w:r>
    </w:p>
    <w:p>
      <w:pPr>
        <w:pStyle w:val="ListParagraph"/>
        <w:numPr>
          <w:ilvl w:val="0"/>
          <w:numId w:val="1"/>
        </w:numPr>
        <w:spacing w:after="40" w:before="40"/>
        <w:ind w:left="360" w:hanging="200"/>
      </w:pPr>
      <w:r>
        <w:rPr>
          <w:b w:val="0"/>
          <w:highlight w:val="yellow"/>
        </w:rPr>
        <w:t>Hero banner logo uses the .hero-logo-wide class with PRINT_LOGO_SRC — never ifm-logo-sq.png or the round watermark (see Section 18)</w:t>
      </w:r>
    </w:p>
    <w:p>
      <w:pPr>
        <w:pStyle w:val="ListParagraph"/>
        <w:numPr>
          <w:ilvl w:val="0"/>
          <w:numId w:val="1"/>
        </w:numPr>
        <w:spacing w:after="40" w:before="40"/>
        <w:ind w:left="360" w:hanging="200"/>
      </w:pPr>
      <w:r>
        <w:rPr>
          <w:rFonts w:ascii="Nunito" w:cs="Nunito" w:eastAsia="Nunito" w:hAnsi="Nunito"/>
          <w:color w:val="1a3a5c"/>
          <w:sz w:val="22"/>
          <w:szCs w:val="22"/>
        </w:rPr>
        <w:t xml:space="preserve">No hardcoded hex in inline styles — all colours via CSS variables</w:t>
      </w:r>
    </w:p>
    <w:p>
      <w:pPr>
        <w:pStyle w:val="ListParagraph"/>
        <w:numPr>
          <w:ilvl w:val="0"/>
          <w:numId w:val="1"/>
        </w:numPr>
        <w:spacing w:after="40" w:before="40"/>
        <w:ind w:left="360" w:hanging="200"/>
      </w:pPr>
      <w:r>
        <w:rPr>
          <w:rFonts w:ascii="Nunito" w:cs="Nunito" w:eastAsia="Nunito" w:hAnsi="Nunito"/>
          <w:color w:val="1a3a5c"/>
          <w:sz w:val="22"/>
          <w:szCs w:val="22"/>
        </w:rPr>
        <w:t xml:space="preserve">Mobile layout tested at 375px width</w:t>
      </w:r>
    </w:p>
    <w:p>
      <w:pPr>
        <w:spacing w:after="80" w:before="0"/>
      </w:pPr>
      <w:r>
        <w:t xml:space="preserve"/>
      </w:r>
    </w:p>
    <w:p>
      <w:pPr>
        <w:pStyle w:val="Heading2"/>
        <w:spacing w:after="120" w:before="240"/>
      </w:pPr>
      <w:r>
        <w:rPr>
          <w:rFonts w:ascii="Lora" w:cs="Lora" w:eastAsia="Lora" w:hAnsi="Lora"/>
          <w:b/>
          <w:bCs/>
          <w:color w:val="1a3a5c"/>
          <w:sz w:val="28"/>
          <w:szCs w:val="28"/>
        </w:rPr>
        <w:t xml:space="preserve">Deploy</w:t>
      </w:r>
    </w:p>
    <w:p>
      <w:pPr>
        <w:pStyle w:val="ListParagraph"/>
        <w:numPr>
          <w:ilvl w:val="0"/>
          <w:numId w:val="1"/>
        </w:numPr>
        <w:spacing w:after="40" w:before="40"/>
        <w:ind w:left="360" w:hanging="200"/>
      </w:pPr>
      <w:r>
        <w:rPr>
          <w:rFonts w:ascii="Nunito" w:cs="Nunito" w:eastAsia="Nunito" w:hAnsi="Nunito"/>
          <w:color w:val="1a3a5c"/>
          <w:sz w:val="22"/>
          <w:szCs w:val="22"/>
        </w:rPr>
        <w:t xml:space="preserve">Command: vercel deploy --prod</w:t>
      </w:r>
    </w:p>
    <w:p>
      <w:pPr>
        <w:pStyle w:val="ListParagraph"/>
        <w:numPr>
          <w:ilvl w:val="0"/>
          <w:numId w:val="1"/>
        </w:numPr>
        <w:spacing w:after="40" w:before="40"/>
        <w:ind w:left="360" w:hanging="200"/>
      </w:pPr>
      <w:r>
        <w:rPr>
          <w:rFonts w:ascii="Nunito" w:cs="Nunito" w:eastAsia="Nunito" w:hAnsi="Nunito"/>
          <w:color w:val="1a3a5c"/>
          <w:sz w:val="22"/>
          <w:szCs w:val="22"/>
        </w:rPr>
        <w:t xml:space="preserve">Run from: /Users/lollyg/Documents/investing for Mummies/CLAUDE</w:t>
      </w:r>
    </w:p>
    <w:p>
      <w:pPr>
        <w:pStyle w:val="ListParagraph"/>
        <w:numPr>
          <w:ilvl w:val="0"/>
          <w:numId w:val="1"/>
        </w:numPr>
        <w:spacing w:after="40" w:before="40"/>
        <w:ind w:left="360" w:hanging="200"/>
      </w:pPr>
      <w:r>
        <w:rPr>
          <w:rFonts w:ascii="Nunito" w:cs="Nunito" w:eastAsia="Nunito" w:hAnsi="Nunito"/>
          <w:color w:val="1a3a5c"/>
          <w:sz w:val="22"/>
          <w:szCs w:val="22"/>
        </w:rPr>
        <w:t xml:space="preserve">Vercel project: ifm-deploy under djlolly03-3458s-projects</w:t>
      </w:r>
    </w:p>
    <w:p>
      <w:pPr>
        <w:pStyle w:val="ListParagraph"/>
        <w:numPr>
          <w:ilvl w:val="0"/>
          <w:numId w:val="1"/>
        </w:numPr>
        <w:spacing w:after="40" w:before="40"/>
        <w:ind w:left="360" w:hanging="200"/>
      </w:pPr>
      <w:r>
        <w:rPr>
          <w:rFonts w:ascii="Nunito" w:cs="Nunito" w:eastAsia="Nunito" w:hAnsi="Nunito"/>
          <w:color w:val="1a3a5c"/>
          <w:sz w:val="22"/>
          <w:szCs w:val="22"/>
        </w:rPr>
        <w:t xml:space="preserve">NOT a git repo — deploy directly via Vercel CLI</w:t>
      </w:r>
    </w:p>
    <w:p>
      <w:pPr>
        <w:pStyle w:val="ListParagraph"/>
        <w:numPr>
          <w:ilvl w:val="0"/>
          <w:numId w:val="1"/>
        </w:numPr>
        <w:spacing w:after="40" w:before="40"/>
        <w:ind w:left="360" w:hanging="200"/>
      </w:pPr>
      <w:r>
        <w:rPr>
          <w:rFonts w:ascii="Nunito" w:cs="Nunito" w:eastAsia="Nunito" w:hAnsi="Nunito"/>
          <w:color w:val="1a3a5c"/>
          <w:sz w:val="22"/>
          <w:szCs w:val="22"/>
        </w:rPr>
        <w:t xml:space="preserve">Live URL: https://ifm-deploy.vercel.app</w:t>
      </w:r>
    </w:p>
    <w:p>
      <w:pPr>
        <w:spacing w:after="160" w:before="0"/>
      </w:pPr>
      <w:r>
        <w:t xml:space="preserve"/>
      </w:r>
    </w:p>
    <w:p>
      <w:r>
        <w:rPr>
          <w:b w:val="0"/>
          <w:i w:val="0"/>
        </w:rPr>
      </w:r>
    </w:p>
    <w:p>
      <w:r>
        <w:rPr>
          <w:b w:val="0"/>
          <w:i/>
        </w:rPr>
        <w:t>The sections below were merged in from the former IFM Build Reference Guide (June 2026). They are the reusable engineering standards; two one-off tool audits (SIP, SWP) are condensed into Section 22.</w:t>
      </w:r>
    </w:p>
    <w:p>
      <w:pPr>
        <w:pStyle w:val="Heading1"/>
      </w:pPr>
      <w:r>
        <w:t>13. Dynamic / Generated Rows (Column Alignment)</w:t>
      </w:r>
    </w:p>
    <w:p>
      <w:r>
        <w:rPr>
          <w:b w:val="0"/>
          <w:i w:val="0"/>
        </w:rPr>
        <w:t>For any table with generated rows (e.g. "+ Add Asset"). These rules save hours of misaligned-column debugging.</w:t>
      </w:r>
    </w:p>
    <w:p>
      <w:pPr>
        <w:pStyle w:val="ListParagraph"/>
      </w:pPr>
      <w:r>
        <w:t>Must use flex-wrap: nowrap — wrapping breaks column alignment.</w:t>
      </w:r>
    </w:p>
    <w:p>
      <w:pPr>
        <w:pStyle w:val="ListParagraph"/>
      </w:pPr>
      <w:r>
        <w:t>Column widths must EXACTLY match the static rows — hardcode the same width values.</w:t>
      </w:r>
    </w:p>
    <w:p>
      <w:pPr>
        <w:pStyle w:val="ListParagraph"/>
      </w:pPr>
      <w:r>
        <w:t>Name input must look like a label, not a field: border 1.5px solid transparent, transparent background; show the border only on :hover / :focus.</w:t>
      </w:r>
    </w:p>
    <w:p>
      <w:pPr>
        <w:pStyle w:val="ListParagraph"/>
      </w:pPr>
      <w:r>
        <w:t>Remove (✕) buttons must be position: absolute, sitting OUTSIDE the flex row — otherwise they push other columns out of alignment.</w:t>
      </w:r>
    </w:p>
    <w:p>
      <w:pPr>
        <w:pStyle w:val="ListParagraph"/>
      </w:pPr>
      <w:r>
        <w:t>Test alignment numerically: getBoundingClientRect().left for a static vs a dynamic row must be equal.</w:t>
      </w:r>
    </w:p>
    <w:p>
      <w:pPr>
        <w:pStyle w:val="Heading1"/>
      </w:pPr>
      <w:r>
        <w:t>14. Dismissible Static Rows (✕ on Presets)</w:t>
      </w:r>
    </w:p>
    <w:p>
      <w:r>
        <w:rPr>
          <w:b w:val="0"/>
          <w:i w:val="0"/>
        </w:rPr>
        <w:t>RULE: every preset row list (e.g. asset types in the Retirement Planner) must have ✕ dismiss buttons. Never lock users into your default categories. Applies to ALL future calculators/planners.</w:t>
      </w:r>
    </w:p>
    <w:p>
      <w:pPr>
        <w:pStyle w:val="ListParagraph"/>
      </w:pPr>
      <w:r>
        <w:t>Button appears only on row hover (opacity 0 → 1) — stays clean when not needed.</w:t>
      </w:r>
    </w:p>
    <w:p>
      <w:pPr>
        <w:pStyle w:val="ListParagraph"/>
      </w:pPr>
      <w:r>
        <w:t>Hiding does NOT delete the DOM node — a page refresh restores the defaults.</w:t>
      </w:r>
    </w:p>
    <w:p>
      <w:pPr>
        <w:pStyle w:val="ListParagraph"/>
      </w:pPr>
      <w:r>
        <w:t>Zero all input values before hiding (s/m/y → 0/empty, r → 0) so removed rows contribute exactly ₹0 to calculations.</w:t>
      </w:r>
    </w:p>
    <w:p>
      <w:pPr>
        <w:pStyle w:val="ListParagraph"/>
      </w:pPr>
      <w:r>
        <w:t>Parent row needs position: relative; the ✕ is the last child inside each row.</w:t>
      </w:r>
    </w:p>
    <w:p>
      <w:pPr>
        <w:pStyle w:val="ListParagraph"/>
      </w:pPr>
      <w:r>
        <w:t>In srcdoc iframes, the onclick attribute must be entity-encoded (see Section 16).</w:t>
      </w:r>
    </w:p>
    <w:p>
      <w:pPr>
        <w:pStyle w:val="Heading1"/>
      </w:pPr>
      <w:r>
        <w:t>15. Calculation Math Integrity (Dynamic Rows)</w:t>
      </w:r>
    </w:p>
    <w:p>
      <w:r>
        <w:rPr>
          <w:b w:val="0"/>
          <w:i w:val="0"/>
        </w:rPr>
        <w:t>CRITICAL: hardcoded row loops in calculate() / recalcSavings() silently ignore dynamic rows — causing wrong corpus, gap and SIP numbers.</w:t>
      </w:r>
    </w:p>
    <w:p>
      <w:r>
        <w:rPr>
          <w:b w:val="0"/>
          <w:i w:val="0"/>
        </w:rPr>
        <w:t>RULE: every calculator with BOTH static preset rows AND a dynamic "+ Add" must querySelectorAll the dynamic rows inside ALL calculation functions — not just the FV-display function. The two that must always include dynamic rows:</w:t>
      </w:r>
    </w:p>
    <w:p>
      <w:pPr>
        <w:pStyle w:val="ListParagraph"/>
      </w:pPr>
      <w:r>
        <w:t>recalcSavings() — drives the "Total Current Savings" display.</w:t>
      </w:r>
    </w:p>
    <w:p>
      <w:pPr>
        <w:pStyle w:val="ListParagraph"/>
      </w:pPr>
      <w:r>
        <w:t>calculate() — drives corpus, gap, funded %, SIP needed, lumpsum.</w:t>
      </w:r>
    </w:p>
    <w:p>
      <w:r>
        <w:rPr>
          <w:rFonts w:ascii="Consolas" w:hAnsi="Consolas"/>
          <w:sz w:val="18"/>
        </w:rPr>
        <w:t>document.querySelectorAll("#dyn_asset_rows [id^=dyn_s]")</w:t>
        <w:br/>
        <w:t xml:space="preserve">  .forEach(function(inp){ total += parseShorthand(inp.value); });</w:t>
      </w:r>
    </w:p>
    <w:p>
      <w:pPr>
        <w:pStyle w:val="Heading1"/>
      </w:pPr>
      <w:r>
        <w:t>16. srcdoc iFrames — Encoding &amp; Editing</w:t>
      </w:r>
    </w:p>
    <w:p>
      <w:pPr>
        <w:pStyle w:val="ListParagraph"/>
      </w:pPr>
      <w:r>
        <w:t>All HTML inside srcdoc="..." must be HTML-entity-encoded: &amp;lt; &amp;gt; &amp;quot; &amp;#x27; &amp;amp;.</w:t>
      </w:r>
    </w:p>
    <w:p>
      <w:pPr>
        <w:pStyle w:val="ListParagraph"/>
      </w:pPr>
      <w:r>
        <w:t>Every CSS and JS change must go into the encoded content — easy to miss.</w:t>
      </w:r>
    </w:p>
    <w:p>
      <w:pPr>
        <w:pStyle w:val="ListParagraph"/>
      </w:pPr>
      <w:r>
        <w:t>Functions are NOT shared across iframes — each planner has its own JS scope. Duplicate helpers (gv, indianFormat, parseShorthand, etc.) into each planner's own &lt;script&gt;.</w:t>
      </w:r>
    </w:p>
    <w:p>
      <w:pPr>
        <w:pStyle w:val="ListParagraph"/>
      </w:pPr>
      <w:r>
        <w:t>The Edit tool cannot reliably match entity-encoded strings — use a Python read/replace(old,new,1)/write, and assert the old string exists first.</w:t>
      </w:r>
    </w:p>
    <w:p>
      <w:pPr>
        <w:pStyle w:val="ListParagraph"/>
      </w:pPr>
      <w:r>
        <w:t>Verify iframe state with preview_eval (runs JS inside the iframe) — screenshots capture the OUTER page only.</w:t>
      </w:r>
    </w:p>
    <w:p>
      <w:pPr>
        <w:pStyle w:val="Heading1"/>
      </w:pPr>
      <w:r>
        <w:t>17. Naming Conventions</w:t>
      </w:r>
    </w:p>
    <w:p>
      <w:pPr>
        <w:pStyle w:val="ListParagraph"/>
      </w:pPr>
      <w:r>
        <w:t>JS functions get a per-game prefix: mp_ (Mix My Portfolio), rc_ (retirement calc), etc.</w:t>
      </w:r>
    </w:p>
    <w:p>
      <w:pPr>
        <w:pStyle w:val="ListParagraph"/>
      </w:pPr>
      <w:r>
        <w:t>IDs: lowercase, short, meaningful — s1, m1, y1 for savings/monthly/yearly row 1.</w:t>
      </w:r>
    </w:p>
    <w:p>
      <w:pPr>
        <w:pStyle w:val="ListParagraph"/>
      </w:pPr>
      <w:r>
        <w:t>CSS classes: kebab-case, descriptive — .sh-badge, .inp-group, .btn-rm-dyn.</w:t>
      </w:r>
    </w:p>
    <w:p>
      <w:pPr>
        <w:pStyle w:val="ListParagraph"/>
      </w:pPr>
      <w:r>
        <w:t>State variables: camelCase — currentRound, totalScore, isLocked.</w:t>
      </w:r>
    </w:p>
    <w:p>
      <w:pPr>
        <w:pStyle w:val="Heading1"/>
      </w:pPr>
      <w:r>
        <w:t>18. Logo System (Full Reference)</w:t>
      </w:r>
    </w:p>
    <w:p>
      <w:r>
        <w:rPr>
          <w:b w:val="0"/>
          <w:i w:val="0"/>
        </w:rPr>
        <w:t>Five logo files live in the CLAUDE folder. Use the right one for the right context:</w:t>
      </w:r>
    </w:p>
    <w:p>
      <w:pPr>
        <w:pStyle w:val="ListParagraph"/>
      </w:pPr>
      <w:r>
        <w:t>In-app iframe header (SIP, retirement, budget…): IFM round logo for watermark.png (LOGO_SRC) — fits the small circular header slot. This is intentional and correct.</w:t>
      </w:r>
    </w:p>
    <w:p>
      <w:pPr>
        <w:pStyle w:val="ListParagraph"/>
      </w:pPr>
      <w:r>
        <w:rPr>
          <w:highlight w:val="yellow"/>
        </w:rPr>
        <w:t>Game hero banners (.game-hero): the white rectangular logo (PRINT_LOGO_SRC), injected via the .hero-logo-wide class. (Supersedes the old ifm-logo-sq.png rule.)</w:t>
      </w:r>
    </w:p>
    <w:p>
      <w:pPr>
        <w:pStyle w:val="ListParagraph"/>
      </w:pPr>
      <w:r>
        <w:t>Print / PDF report headers (.rpt-hdr): IFM logo white background.png via window.PRINT_LOGO_SRC. .rpt-logo uses max-width:155px; max-height:68px; report header left padding ≥ 175px.</w:t>
      </w:r>
    </w:p>
    <w:p>
      <w:pPr>
        <w:pStyle w:val="ListParagraph"/>
      </w:pPr>
      <w:r>
        <w:t>Word / PDF documents: IFM logo white background.png, ~4cm wide, left-aligned.</w:t>
      </w:r>
    </w:p>
    <w:p>
      <w:pPr>
        <w:pStyle w:val="ListParagraph"/>
      </w:pPr>
      <w:r>
        <w:t>Dark slides / social posts: IFM logo black background.png.</w:t>
      </w:r>
    </w:p>
    <w:p>
      <w:pPr>
        <w:pStyle w:val="ListParagraph"/>
      </w:pPr>
      <w:r>
        <w:t>NEVER pass the round watermark (LOGO_SRC) to generateReport() — always use PRINT_LOGO_SRC.</w:t>
      </w:r>
    </w:p>
    <w:p>
      <w:r>
        <w:rPr>
          <w:b/>
          <w:i w:val="0"/>
        </w:rPr>
        <w:t>Hero-banner logo — mobile-safe sizing (.hero-logo-wide). Caps dimensions so wide logos never overflow the title on small screens:</w:t>
      </w:r>
    </w:p>
    <w:p>
      <w:r>
        <w:rPr>
          <w:rFonts w:ascii="Consolas" w:hAnsi="Consolas"/>
          <w:sz w:val="18"/>
        </w:rPr>
        <w:t>.hero-logo-wide{position:absolute;top:50%;left:12px;transform:translateY(-50%);</w:t>
        <w:br/>
        <w:t xml:space="preserve">  height:62px;width:auto;max-width:140px;object-fit:contain;border-radius:8px;z-index:2;}</w:t>
        <w:br/>
        <w:t>@media(max-width:540px){.hero-logo-wide{height:44px;max-width:96px;left:8px;}</w:t>
        <w:br/>
        <w:t xml:space="preserve">  .game-hero[data-logo]{padding-left:112px!important;}}</w:t>
      </w:r>
    </w:p>
    <w:p>
      <w:pPr>
        <w:pStyle w:val="Heading1"/>
      </w:pPr>
      <w:r>
        <w:t>19. Nav Bar — What Belongs</w:t>
      </w:r>
    </w:p>
    <w:p>
      <w:r>
        <w:rPr>
          <w:b w:val="0"/>
          <w:i w:val="0"/>
        </w:rPr>
        <w:t>The sticky nav bar must only contain items that appear as cards on the main home screen, in the SAME order as the grid. Beta-testing items must NEVER appear in the nav.</w:t>
      </w:r>
    </w:p>
    <w:p>
      <w:pPr>
        <w:pStyle w:val="ListParagraph"/>
      </w:pPr>
      <w:r>
        <w:t>Games section cards → one nav tab per game, in grid order.</w:t>
      </w:r>
    </w:p>
    <w:p>
      <w:pPr>
        <w:pStyle w:val="ListParagraph"/>
      </w:pPr>
      <w:r>
        <w:t>Resources section → a single "Resources" tab (individual resources are NOT added).</w:t>
      </w:r>
    </w:p>
    <w:p>
      <w:pPr>
        <w:pStyle w:val="ListParagraph"/>
      </w:pPr>
      <w:r>
        <w:t>Trading card → one "Trading" tab.</w:t>
      </w:r>
    </w:p>
    <w:p>
      <w:pPr>
        <w:pStyle w:val="ListParagraph"/>
      </w:pPr>
      <w:r>
        <w:t>Beta Testing cards → NO nav tab at all (and no Course items).</w:t>
      </w:r>
    </w:p>
    <w:p>
      <w:pPr>
        <w:pStyle w:val="ListParagraph"/>
      </w:pPr>
      <w:r>
        <w:t>When a game graduates from Beta to production: add its card to the Games grid AND a nav tab in the matching position.</w:t>
      </w:r>
    </w:p>
    <w:p>
      <w:pPr>
        <w:pStyle w:val="Heading1"/>
      </w:pPr>
      <w:r>
        <w:t>20. Download + WhatsApp Share Buttons (All Resources)</w:t>
      </w:r>
    </w:p>
    <w:p>
      <w:r>
        <w:rPr>
          <w:b w:val="0"/>
          <w:i w:val="0"/>
        </w:rPr>
        <w:t>Every resource/calculator must have BOTH a Download button and a Share-via-WhatsApp button, side-by-side on desktop and stacked on mobile. The WhatsApp button always comes after (right of / below) Download.</w:t>
      </w:r>
    </w:p>
    <w:p>
      <w:pPr>
        <w:pStyle w:val="ListParagraph"/>
      </w:pPr>
      <w:r>
        <w:t>Download: gold gradient linear-gradient(135deg,#c9a84c,#e6c86a), navy text — "📄 Download My Plan".</w:t>
      </w:r>
    </w:p>
    <w:p>
      <w:pPr>
        <w:pStyle w:val="ListParagraph"/>
      </w:pPr>
      <w:r>
        <w:t>WhatsApp: solid #25D366, white text — "💬 Share via WhatsApp".</w:t>
      </w:r>
    </w:p>
    <w:p>
      <w:pPr>
        <w:pStyle w:val="ListParagraph"/>
      </w:pPr>
      <w:r>
        <w:t>One global ifmShare(msg) on the OUTER page; it always appends the app URL — never hardcode the URL into the message.</w:t>
      </w:r>
    </w:p>
    <w:p>
      <w:pPr>
        <w:pStyle w:val="ListParagraph"/>
      </w:pPr>
      <w:r>
        <w:t>Use onclick="ifmShare(...)" — never &lt;a href="wa.me/..."&gt; — so the message encodes at runtime.</w:t>
      </w:r>
    </w:p>
    <w:p>
      <w:pPr>
        <w:pStyle w:val="ListParagraph"/>
      </w:pPr>
      <w:r>
        <w:t>For srcdoc resources, both buttons live on the OUTER page, never inside the iframe.</w:t>
      </w:r>
    </w:p>
    <w:p>
      <w:r>
        <w:rPr>
          <w:rFonts w:ascii="Consolas" w:hAnsi="Consolas"/>
          <w:sz w:val="18"/>
        </w:rPr>
        <w:t>function ifmShare(msg){</w:t>
        <w:br/>
        <w:t xml:space="preserve">  window.open('https://wa.me/?text='+encodeURIComponent(</w:t>
        <w:br/>
        <w:t xml:space="preserve">    msg+'\n\n👉 https://ifm-deploy.vercel.app'),'_blank');</w:t>
        <w:br/>
        <w:t>}</w:t>
      </w:r>
    </w:p>
    <w:p>
      <w:pPr>
        <w:pStyle w:val="Heading1"/>
      </w:pPr>
      <w:r>
        <w:t>21. Resource / Planner UI Standard</w:t>
      </w:r>
    </w:p>
    <w:p>
      <w:r>
        <w:rPr>
          <w:b w:val="0"/>
          <w:i w:val="0"/>
        </w:rPr>
        <w:t>Applies to the Retirement Planner, Education Planner and all future iframed planners.</w:t>
      </w:r>
    </w:p>
    <w:p>
      <w:r>
        <w:rPr>
          <w:b/>
          <w:i w:val="0"/>
        </w:rPr>
        <w:t>Asset/savings input row — fixed column widths (always these exact values):</w:t>
      </w:r>
    </w:p>
    <w:p>
      <w:pPr>
        <w:pStyle w:val="ListParagraph"/>
      </w:pPr>
      <w:r>
        <w:t>Current Value 148px · shorthand badge ~38px (immediately after the value inp-wrap) · Return % 62px · Contribution 110px · M/Y toggle 30px · Cont. Yrs 62px · FV column 90px.</w:t>
      </w:r>
    </w:p>
    <w:p>
      <w:pPr>
        <w:pStyle w:val="ListParagraph"/>
      </w:pPr>
      <w:r>
        <w:t>Header row mirrors the same widths with a hidden label and a blank inp-short spacer so every column aligns.</w:t>
      </w:r>
    </w:p>
    <w:p>
      <w:pPr>
        <w:pStyle w:val="ListParagraph"/>
      </w:pPr>
      <w:r>
        <w:t>Shorthand badge (.inp-short) MUST be the immediate next sibling after the Current Value inp-wrap — setShortBadge checks closest('.inp-wrap').nextElementSibling.</w:t>
      </w:r>
    </w:p>
    <w:p>
      <w:pPr>
        <w:pStyle w:val="ListParagraph"/>
      </w:pPr>
      <w:r>
        <w:t>M/Y toggle: .my-toggle (retirement) / .edu-toggle (education); .yearly modifier flips to teal fill. Cont. Yrs disabled until contribution &gt; 0.</w:t>
      </w:r>
    </w:p>
    <w:p>
      <w:pPr>
        <w:pStyle w:val="ListParagraph"/>
      </w:pPr>
      <w:r>
        <w:t>FV cells show "—" until valid (no horizon, or pv=0 AND contrib=0); guard yrs&lt;=0 so the current value is never shown as the FV.</w:t>
      </w:r>
    </w:p>
    <w:p>
      <w:pPr>
        <w:pStyle w:val="ListParagraph"/>
      </w:pPr>
      <w:r>
        <w:t>FV hover tooltip via [data-tip]::after (white-space:pre-line); add a touchstart handler + .tip-open class for mobile tap support.</w:t>
      </w:r>
    </w:p>
    <w:p>
      <w:pPr>
        <w:pStyle w:val="ListParagraph"/>
      </w:pPr>
      <w:r>
        <w:t>Year-by-year table uses .year-table, built via JS innerHTML: label column left-aligned bold, all number columns right-aligned, total row bold.</w:t>
      </w:r>
    </w:p>
    <w:p>
      <w:pPr>
        <w:pStyle w:val="Heading1"/>
      </w:pPr>
      <w:r>
        <w:t>22. Compliance Notes (per-tool audits)</w:t>
      </w:r>
    </w:p>
    <w:p>
      <w:r>
        <w:rPr>
          <w:b w:val="0"/>
          <w:i w:val="0"/>
        </w:rPr>
        <w:t>Condensed from the build-guide audits — the reusable lessons, not the full diffs.</w:t>
      </w:r>
    </w:p>
    <w:p>
      <w:r>
        <w:rPr>
          <w:b/>
          <w:i w:val="0"/>
        </w:rPr>
        <w:t>SIP Calculator:</w:t>
      </w:r>
    </w:p>
    <w:p>
      <w:pPr>
        <w:pStyle w:val="ListParagraph"/>
      </w:pPr>
      <w:r>
        <w:rPr>
          <w:highlight w:val="yellow"/>
        </w:rPr>
        <w:t>Fix applied 2026-07-28: rebuilt on Nunito (body/UI) + Lora (headings, amounts); all interactive elements now declare font-family: Nunito explicitly.</w:t>
      </w:r>
    </w:p>
    <w:p>
      <w:pPr>
        <w:pStyle w:val="ListParagraph"/>
      </w:pPr>
      <w:r>
        <w:rPr>
          <w:highlight w:val="yellow"/>
        </w:rPr>
        <w:t>Fix applied 2026-07-28: non-standard CSS var names (--dark-blue, --aqua, --bg, --text-muted) renamed to the standard palette (Section 3).</w:t>
      </w:r>
    </w:p>
    <w:p>
      <w:pPr>
        <w:pStyle w:val="ListParagraph"/>
      </w:pPr>
      <w:r>
        <w:rPr>
          <w:highlight w:val="yellow"/>
        </w:rPr>
        <w:t>Fix applied 2026-07-28: border-only cards at 16px changed to soft shadow at 14px (card hierarchy).</w:t>
      </w:r>
    </w:p>
    <w:p>
      <w:r>
        <w:rPr>
          <w:b/>
          <w:i w:val="0"/>
        </w:rPr>
        <w:t>SWP Calculator:</w:t>
      </w:r>
    </w:p>
    <w:p>
      <w:pPr>
        <w:pStyle w:val="ListParagraph"/>
      </w:pPr>
      <w:r>
        <w:t>Best-aligned tool out of the box (correct fonts, palette, .game-hero, 14px field cards).</w:t>
      </w:r>
    </w:p>
    <w:p>
      <w:pPr>
        <w:pStyle w:val="ListParagraph"/>
      </w:pPr>
      <w:r>
        <w:rPr>
          <w:highlight w:val="yellow"/>
        </w:rPr>
        <w:t>Fix applied: report referenced LOGO_SRC (round watermark) instead of PRINT_LOGO_SRC — any outer-page report function must use (PRINT_LOGO_SRC||LOGO_SRC).</w:t>
      </w:r>
    </w:p>
    <w:p>
      <w:pPr>
        <w:pStyle w:val="ListParagraph"/>
      </w:pPr>
      <w:r>
        <w:rPr>
          <w:highlight w:val="yellow"/>
        </w:rPr>
        <w:t>Fix applied: result section border-radius 18px → 14px (cards = 14px).</w:t>
      </w:r>
    </w:p>
    <w:p>
      <w:r>
        <w:rPr>
          <w:b w:val="0"/>
          <w:i/>
        </w:rPr>
        <w:t>General rule from both audits: any future outer-page report function must reference PRINT_LOGO_SRC, not LOGO_SRC; all cards = 14px; all interactive elements declare Nunito.</w:t>
      </w:r>
    </w:p>
    <w:p>
      <w:pPr>
        <w:pStyle w:val="Heading1"/>
      </w:pPr>
      <w:r>
        <w:t>23. Known Open Issues</w:t>
      </w:r>
    </w:p>
    <w:p>
      <w:r>
        <w:rPr>
          <w:b/>
          <w:highlight w:val="yellow"/>
        </w:rPr>
        <w:t>⭐ RULE — ASK BEFORE CONTINUING: Every time this document is referenced (read, quoted, or used as a build reference), FIRST ask whether any open issues listed below need resolving. Do not silently skip them. The highlighted passages throughout the doc point to each one.</w:t>
      </w:r>
    </w:p>
    <w:p>
      <w:r>
        <w:rPr>
          <w:b/>
        </w:rPr>
        <w:t>Already resolved (kept here for the record — no action needed):</w:t>
      </w:r>
    </w:p>
    <w:p>
      <w:r>
        <w:t xml:space="preserve">--teal colour drift (2026-07-28) — reconciled to #2a9d8f across every game; previously drifted to #1a3a5c / #0e7a6e in places.</w:t>
      </w:r>
    </w:p>
    <w:p>
      <w:r>
        <w:t xml:space="preserve">--ink undefined (2026-07-28) — added to :root as an alias for --navy (#1a3a5c); documented in the Section 3 palette table.</w:t>
      </w:r>
    </w:p>
    <w:p>
      <w:r>
        <w:t xml:space="preserve">SIP Calculator (2026-07-28) — moved to Nunito + Lora, standard CSS var names, and 14px soft-shadow cards. See Section 22.</w:t>
      </w:r>
    </w:p>
    <w:p>
      <w:pPr>
        <w:pStyle w:val="ListParagraph"/>
      </w:pPr>
      <w:r>
        <w:t>Hero-banner logo — corrected from ifm-logo-sq.png to the .hero-logo-wide class + PRINT_LOGO_SRC across §2, §8, §18 and the ship checklist.</w:t>
      </w:r>
    </w:p>
    <w:p>
      <w:pPr>
        <w:pStyle w:val="ListParagraph"/>
      </w:pPr>
      <w:r>
        <w:t>SWP Calculator — report logo source fixed (PRINT_LOGO_SRC) and result radius 18px → 14px.</w:t>
      </w:r>
    </w:p>
    <w:sectPr>
      <w:footerReference w:type="default" r:id="rId7"/>
      <w:pgSz w:w="12240" w:h="15840" w:orient="portrait"/>
      <w:pgMar w:top="1080" w:right="1080" w:bottom="1080" w:left="1080" w:header="708" w:footer="708" w:gutter="0"/>
      <w:pgNumType/>
      <w:docGrid w:linePitch="360"/>
    </w:sectPr>
    <w:p>
      <w:pPr>
        <w:pStyle w:val="Heading2"/>
      </w:pPr>
      <w:r>
        <w:t>Multiplayer game build rules (added 2026-06-19, carry forward to every new multiplayer game)</w:t>
      </w:r>
    </w:p>
    <w:p>
      <w:r>
        <w:rPr>
          <w:b/>
        </w:rPr>
        <w:t>Rule A: Hide "Chat with us" widget when the game is live.</w:t>
      </w:r>
    </w:p>
    <w:p>
      <w:r>
        <w:t>The host iframe must send window.parent.postMessage({type:"stock-rush-live"}) on every phase change into trading/events/finale, and {type:"stock-rush-idle"} when back to lobby/ended. The parent Squarespace page listens once and toggles the chat widget. Parent-page snippet (paste in homepage code injection):</w:t>
      </w:r>
    </w:p>
    <w:p>
      <w:r>
        <w:rPr>
          <w:rFonts w:ascii="Courier New" w:hAnsi="Courier New"/>
        </w:rPr>
        <w:t>window.addEventListener("message", e =&gt; { const sel = "#tidio-chat, iframe[src*=tidio], iframe[src*=chat], .chat-widget"; if (e.data?.type === "stock-rush-live") document.querySelectorAll(sel).forEach(n =&gt; n.style.display = "none"); if (e.data?.type === "stock-rush-idle") document.querySelectorAll(sel).forEach(n =&gt; n.style.display = ""); });</w:t>
      </w:r>
    </w:p>
    <w:p>
      <w:r>
        <w:t>Reasoning: teacher is in class projecting — no need for chat. Removes a distraction.</w:t>
      </w:r>
    </w:p>
    <w:p>
      <w:r>
        <w:rPr>
          <w:b/>
        </w:rPr>
        <w:t>Rule B: Hard auto-reset after 120 minutes of inactivity.</w:t>
      </w:r>
    </w:p>
    <w:p>
      <w:r>
        <w:t>Any multiplayer game must wipe back to a fresh lobby if 120 minutes pass with zero host or student action. Stops a stale game from sitting on the projector overnight if the teacher walks off. Engine pattern (host only):</w:t>
      </w:r>
    </w:p>
    <w:p>
      <w:r>
        <w:rPr>
          <w:rFonts w:ascii="Courier New" w:hAnsi="Courier New"/>
        </w:rPr>
        <w:t>const _IDLE_MS = 120 * 60 * 1000; let _lastActivity = Date.now(); function _bumpActivity() { _lastActivity = Date.now(); } // inside _tick (host only): if (state.phase !== "lobby" &amp;&amp; Date.now() - _lastActivity &gt; _IDLE_MS) { _bumpActivity(); _doReset(); return; }</w:t>
      </w:r>
    </w:p>
    <w:p>
      <w:r>
        <w:t>Bump activity on: every incoming action message in _handleAction, AND direct host-API calls (_startGame, _advanceRound, _doReset, kick, etc.). Shipped in Stock Rush and Stock Rush Pro on 2026-06-19.</w:t>
      </w:r>
    </w:p>
    <w:p>
      <w:pPr>
        <w:pStyle w:val="Heading1"/>
        <w:pBdr>
          <w:bottom w:val="single" w:color="2a9d8f" w:sz="6" w:space="4"/>
        </w:pBdr>
        <w:spacing w:after="160" w:before="360"/>
      </w:pPr>
      <w:r>
        <w:rPr>
          <w:rFonts w:ascii="Lora" w:cs="Lora" w:eastAsia="Lora" w:hAnsi="Lora"/>
          <w:b/>
          <w:bCs/>
          <w:color w:val="1a3a5c"/>
          <w:sz w:val="36"/>
          <w:szCs w:val="36"/>
        </w:rPr>
        <w:t xml:space="preserve">24. Visual Art Direction</w:t>
      </w:r>
    </w:p>
    <w:p>
      <w:pPr>
        <w:spacing w:after="80" w:before="60"/>
      </w:pPr>
      <w:r>
        <w:rPr>
          <w:rFonts w:ascii="Nunito" w:cs="Nunito" w:eastAsia="Nunito" w:hAnsi="Nunito"/>
          <w:color w:val="1a3a5c"/>
          <w:sz w:val="22"/>
          <w:szCs w:val="22"/>
        </w:rPr>
        <w:t xml:space="preserve">Sections 1–22 define how components should look — buttons, cards, radii, spacing, fonts. This section defines how the brand should feel visually, so every designer or AI tool working from this guide produces work that reads as unmistakably IFM, not just an assembly of the colour palette and component library.</w:t>
      </w:r>
    </w:p>
    <w:p>
      <w:pPr>
        <w:spacing w:after="80" w:before="60"/>
      </w:pPr>
    </w:p>
    <w:p>
      <w:pPr>
        <w:pStyle w:val="Heading2"/>
        <w:spacing w:after="120" w:before="240"/>
      </w:pPr>
      <w:r>
        <w:rPr>
          <w:rFonts w:ascii="Lora" w:cs="Lora" w:eastAsia="Lora" w:hAnsi="Lora"/>
          <w:b/>
          <w:bCs/>
          <w:color w:val="1a3a5c"/>
          <w:sz w:val="28"/>
          <w:szCs w:val="28"/>
        </w:rPr>
        <w:t xml:space="preserve">Photography Style</w:t>
      </w:r>
    </w:p>
    <w:p>
      <w:pPr>
        <w:pStyle w:val="ListParagraph"/>
        <w:numPr>
          <w:ilvl w:val="0"/>
          <w:numId w:val="1"/>
        </w:numPr>
        <w:spacing w:after="40" w:before="40"/>
        <w:ind w:left="360" w:hanging="200"/>
      </w:pPr>
      <w:r>
        <w:rPr>
          <w:rFonts w:ascii="Nunito" w:cs="Nunito" w:eastAsia="Nunito" w:hAnsi="Nunito"/>
          <w:color w:val="1a3a5c"/>
          <w:sz w:val="22"/>
          <w:szCs w:val="22"/>
        </w:rPr>
        <w:t xml:space="preserve">Real Indian women, natural light, authentic homes and classrooms — never generic corporate stock photography.</w:t>
      </w:r>
    </w:p>
    <w:p>
      <w:pPr>
        <w:pStyle w:val="Heading2"/>
        <w:spacing w:after="120" w:before="240"/>
      </w:pPr>
      <w:r>
        <w:rPr>
          <w:rFonts w:ascii="Lora" w:cs="Lora" w:eastAsia="Lora" w:hAnsi="Lora"/>
          <w:b/>
          <w:bCs/>
          <w:color w:val="1a3a5c"/>
          <w:sz w:val="28"/>
          <w:szCs w:val="28"/>
        </w:rPr>
        <w:t xml:space="preserve">Illustration Style</w:t>
      </w:r>
    </w:p>
    <w:p>
      <w:pPr>
        <w:pStyle w:val="ListParagraph"/>
        <w:numPr>
          <w:ilvl w:val="0"/>
          <w:numId w:val="1"/>
        </w:numPr>
        <w:spacing w:after="40" w:before="40"/>
        <w:ind w:left="360" w:hanging="200"/>
      </w:pPr>
      <w:r>
        <w:rPr>
          <w:rFonts w:ascii="Nunito" w:cs="Nunito" w:eastAsia="Nunito" w:hAnsi="Nunito"/>
          <w:color w:val="1a3a5c"/>
          <w:sz w:val="22"/>
          <w:szCs w:val="22"/>
        </w:rPr>
        <w:t xml:space="preserve">Soft, friendly, editorial illustrations that complement the games rather than compete with them.</w:t>
      </w:r>
    </w:p>
    <w:p>
      <w:pPr>
        <w:pStyle w:val="Heading2"/>
        <w:spacing w:after="120" w:before="240"/>
      </w:pPr>
      <w:r>
        <w:rPr>
          <w:rFonts w:ascii="Lora" w:cs="Lora" w:eastAsia="Lora" w:hAnsi="Lora"/>
          <w:b/>
          <w:bCs/>
          <w:color w:val="1a3a5c"/>
          <w:sz w:val="28"/>
          <w:szCs w:val="28"/>
        </w:rPr>
        <w:t xml:space="preserve">Iconography</w:t>
      </w:r>
    </w:p>
    <w:p>
      <w:pPr>
        <w:pStyle w:val="ListParagraph"/>
        <w:numPr>
          <w:ilvl w:val="0"/>
          <w:numId w:val="1"/>
        </w:numPr>
        <w:spacing w:after="40" w:before="40"/>
        <w:ind w:left="360" w:hanging="200"/>
      </w:pPr>
      <w:r>
        <w:rPr>
          <w:rFonts w:ascii="Nunito" w:cs="Nunito" w:eastAsia="Nunito" w:hAnsi="Nunito"/>
          <w:color w:val="1a3a5c"/>
          <w:sz w:val="22"/>
          <w:szCs w:val="22"/>
        </w:rPr>
        <w:t xml:space="preserve">Rounded outline icons with subtle brand-colour accents.</w:t>
      </w:r>
    </w:p>
    <w:p>
      <w:pPr>
        <w:pStyle w:val="Heading2"/>
        <w:spacing w:after="120" w:before="240"/>
      </w:pPr>
      <w:r>
        <w:rPr>
          <w:rFonts w:ascii="Lora" w:cs="Lora" w:eastAsia="Lora" w:hAnsi="Lora"/>
          <w:b/>
          <w:bCs/>
          <w:color w:val="1a3a5c"/>
          <w:sz w:val="28"/>
          <w:szCs w:val="28"/>
        </w:rPr>
        <w:t xml:space="preserve">Motion</w:t>
      </w:r>
    </w:p>
    <w:p>
      <w:pPr>
        <w:pStyle w:val="ListParagraph"/>
        <w:numPr>
          <w:ilvl w:val="0"/>
          <w:numId w:val="1"/>
        </w:numPr>
        <w:spacing w:after="40" w:before="40"/>
        <w:ind w:left="360" w:hanging="200"/>
      </w:pPr>
      <w:r>
        <w:rPr>
          <w:rFonts w:ascii="Nunito" w:cs="Nunito" w:eastAsia="Nunito" w:hAnsi="Nunito"/>
          <w:color w:val="1a3a5c"/>
          <w:sz w:val="22"/>
          <w:szCs w:val="22"/>
        </w:rPr>
        <w:t xml:space="preserve">Calm, reassuring micro-interactions in the 200–400ms range — never flashy or attention-grabbing animation.</w:t>
      </w:r>
    </w:p>
    <w:p>
      <w:pPr>
        <w:pStyle w:val="Heading2"/>
        <w:spacing w:after="120" w:before="240"/>
      </w:pPr>
      <w:r>
        <w:rPr>
          <w:rFonts w:ascii="Lora" w:cs="Lora" w:eastAsia="Lora" w:hAnsi="Lora"/>
          <w:b/>
          <w:bCs/>
          <w:color w:val="1a3a5c"/>
          <w:sz w:val="28"/>
          <w:szCs w:val="28"/>
        </w:rPr>
        <w:t xml:space="preserve">Emotional Keywords</w:t>
      </w:r>
    </w:p>
    <w:p>
      <w:pPr>
        <w:spacing w:after="80" w:before="60"/>
      </w:pPr>
      <w:r>
        <w:rPr>
          <w:rFonts w:ascii="Nunito" w:cs="Nunito" w:eastAsia="Nunito" w:hAnsi="Nunito"/>
          <w:color w:val="1a3a5c"/>
          <w:sz w:val="22"/>
          <w:szCs w:val="22"/>
        </w:rPr>
        <w:t xml:space="preserve">Confidence · Clarity · Curiosity · Warmth · Progress</w:t>
      </w:r>
    </w:p>
    <w:p>
      <w:pPr>
        <w:pStyle w:val="Heading2"/>
        <w:spacing w:after="120" w:before="240"/>
      </w:pPr>
      <w:r>
        <w:rPr>
          <w:rFonts w:ascii="Lora" w:cs="Lora" w:eastAsia="Lora" w:hAnsi="Lora"/>
          <w:b/>
          <w:bCs/>
          <w:color w:val="1a3a5c"/>
          <w:sz w:val="28"/>
          <w:szCs w:val="28"/>
        </w:rPr>
        <w:t xml:space="preserve">Layout Principles</w:t>
      </w:r>
    </w:p>
    <w:p>
      <w:pPr>
        <w:pStyle w:val="ListParagraph"/>
        <w:numPr>
          <w:ilvl w:val="0"/>
          <w:numId w:val="1"/>
        </w:numPr>
        <w:spacing w:after="40" w:before="40"/>
        <w:ind w:left="360" w:hanging="200"/>
      </w:pPr>
      <w:r>
        <w:rPr>
          <w:rFonts w:ascii="Nunito" w:cs="Nunito" w:eastAsia="Nunito" w:hAnsi="Nunito"/>
          <w:color w:val="1a3a5c"/>
          <w:sz w:val="22"/>
          <w:szCs w:val="22"/>
        </w:rPr>
        <w:t xml:space="preserve">Generous whitespace and an editorial rhythm to the page.</w:t>
      </w:r>
    </w:p>
    <w:p>
      <w:pPr>
        <w:pStyle w:val="ListParagraph"/>
        <w:numPr>
          <w:ilvl w:val="0"/>
          <w:numId w:val="1"/>
        </w:numPr>
        <w:spacing w:after="40" w:before="40"/>
        <w:ind w:left="360" w:hanging="200"/>
      </w:pPr>
      <w:r>
        <w:rPr>
          <w:rFonts w:ascii="Nunito" w:cs="Nunito" w:eastAsia="Nunito" w:hAnsi="Nunito"/>
          <w:color w:val="1a3a5c"/>
          <w:sz w:val="22"/>
          <w:szCs w:val="22"/>
        </w:rPr>
        <w:t xml:space="preserve">Alternating section backgrounds to separate rhythm and pace scroll.</w:t>
      </w:r>
    </w:p>
    <w:p>
      <w:pPr>
        <w:pStyle w:val="ListParagraph"/>
        <w:numPr>
          <w:ilvl w:val="0"/>
          <w:numId w:val="1"/>
        </w:numPr>
        <w:spacing w:after="40" w:before="40"/>
        <w:ind w:left="360" w:hanging="200"/>
      </w:pPr>
      <w:r>
        <w:rPr>
          <w:rFonts w:ascii="Nunito" w:cs="Nunito" w:eastAsia="Nunito" w:hAnsi="Nunito"/>
          <w:color w:val="1a3a5c"/>
          <w:sz w:val="22"/>
          <w:szCs w:val="22"/>
        </w:rPr>
        <w:t xml:space="preserve">One visual “hero moment” every 1–2 scrolls to keep the page from feeling like a spec sheet.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5a7d8a"/>
        <w:sz w:val="16"/>
        <w:szCs w:val="16"/>
      </w:rPr>
      <w:t xml:space="preserve">Investing for Mummies Brand Guidelines  ·  May 2026  ·  Page </w:t>
    </w:r>
    <w:r>
      <w:rPr>
        <w:rFonts w:ascii="Nunito" w:cs="Nunito" w:eastAsia="Nunito" w:hAnsi="Nunito"/>
        <w:color w:val="5a7d8a"/>
        <w:sz w:val="16"/>
        <w:szCs w:val="16"/>
      </w:rPr>
      <w:fldChar w:fldCharType="begin"/>
      <w:instrText xml:space="preserve">PAGE</w:instrText>
      <w:fldChar w:fldCharType="separate"/>
      <w:fldChar w:fldCharType="end"/>
    </w:r>
    <w:r>
      <w:rPr>
        <w:rFonts w:ascii="Nunito" w:cs="Nunito" w:eastAsia="Nunito" w:hAnsi="Nunito"/>
        <w:color w:val="5a7d8a"/>
        <w:sz w:val="16"/>
        <w:szCs w:val="16"/>
      </w:rPr>
      <w:t xml:space="preserve"> of </w:t>
    </w:r>
    <w:r>
      <w:rPr>
        <w:rFonts w:ascii="Nunito" w:cs="Nunito" w:eastAsia="Nunito" w:hAnsi="Nunito"/>
        <w:color w:val="5a7d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image" Target="media/fa9c271e1a8de71a99f326d727d6905b1ba713df.png"/>
  <Relationship Id="rId9"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2026-05-11T07:17:57.790Z</dcterms:created>
  <dcterms:modified xsi:type="dcterms:W3CDTF">2026-05-11T07:17:57.792Z</dcterms:modified>
</cp:coreProperties>
</file>

<file path=docProps/custom.xml><?xml version="1.0" encoding="utf-8"?>
<Properties xmlns="http://schemas.openxmlformats.org/officeDocument/2006/custom-properties" xmlns:vt="http://schemas.openxmlformats.org/officeDocument/2006/docPropsVTypes"/>
</file>