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A5C"/>
          <w:sz w:val="40"/>
        </w:rPr>
        <w:t>Dezerv — Meeting 3 run sheet</w:t>
      </w:r>
    </w:p>
    <w:p>
      <w:pPr>
        <w:spacing w:after="60"/>
      </w:pPr>
      <w:r>
        <w:rPr>
          <w:b w:val="0"/>
          <w:i/>
        </w:rPr>
        <w:t>Wed 7 Oct 2026, 17:00–17:55 · Hiral + Lolly · Goal: get Dezerv sending people to IFM (batches or a paid seminar), see the real numbers, agree how referrals work, leave with a document we can repackage for students.</w:t>
      </w:r>
    </w:p>
    <w:p>
      <w:pPr>
        <w:pStyle w:val="Heading1"/>
      </w:pPr>
      <w:r>
        <w:rPr>
          <w:color w:val="1A3A5C"/>
        </w:rPr>
        <w:t>Opening (1 min)</w:t>
      </w:r>
    </w:p>
    <w:p>
      <w:pPr>
        <w:spacing w:after="60"/>
      </w:pPr>
      <w:r>
        <w:rPr>
          <w:b w:val="0"/>
          <w:i w:val="0"/>
        </w:rPr>
        <w:t>“Third meeting. I know the platform. Today I need the operational mechanics. My business runs on trust and my clients are my students, so I need to see what actually hits their pocket. Two are already with you — Shivani and Priya — so let’s use them as the live examples.”</w:t>
      </w:r>
    </w:p>
    <w:p>
      <w:pPr>
        <w:pStyle w:val="Heading1"/>
        <w:spacing w:after="40"/>
      </w:pPr>
      <w:r>
        <w:rPr>
          <w:color w:val="1A3A5C"/>
        </w:rPr>
        <w:t>The main ask: fill batches, or a paid seminar</w:t>
      </w:r>
    </w:p>
    <w:p>
      <w:pPr>
        <w:spacing w:after="40"/>
      </w:pPr>
      <w:r>
        <w:t>“I send you clients. I want this to go both ways. Two shapes work for me, both in person: your clients fill my batches, or we run a paid IFM seminar at your locations for your clients. Which one do you want to try first?”</w:t>
      </w:r>
    </w:p>
    <w:p>
      <w:pPr>
        <w:pStyle w:val="ListBullet"/>
        <w:spacing w:after="40"/>
      </w:pPr>
      <w:r>
        <w:rPr>
          <w:b/>
        </w:rPr>
        <w:t xml:space="preserve">Batches: </w:t>
      </w:r>
      <w:r>
        <w:t>“Can you put the 16-hour course in front of your women clients and the wives and daughters of your male clients? A referral code works both ways: a seat in my batch for anyone you send.”</w:t>
      </w:r>
    </w:p>
    <w:p>
      <w:pPr>
        <w:pStyle w:val="ListBullet"/>
        <w:spacing w:after="40"/>
      </w:pPr>
      <w:r>
        <w:rPr>
          <w:b/>
        </w:rPr>
        <w:t xml:space="preserve">Seminar: </w:t>
      </w:r>
      <w:r>
        <w:t>“Would you host a paid IFM session at your office for your clients, or sponsor it as a client event? Who pays: your clients per seat, or Dezerv as a flat fee?”</w:t>
      </w:r>
    </w:p>
    <w:p>
      <w:pPr>
        <w:pStyle w:val="ListBullet"/>
        <w:spacing w:after="40"/>
      </w:pPr>
      <w:r>
        <w:t>“Which cities and how many clients could you put in a room? One pilot date before Diwali?”</w:t>
      </w:r>
    </w:p>
    <w:p>
      <w:pPr>
        <w:pStyle w:val="ListBullet"/>
        <w:spacing w:after="40"/>
      </w:pPr>
      <w:r>
        <w:t>“What do you need from me: a one-page brief, a session outline, Hiral’s bio and media kit? I can send all three shortly.”</w:t>
      </w:r>
    </w:p>
    <w:p>
      <w:pPr>
        <w:spacing w:after="40"/>
      </w:pPr>
      <w:r>
        <w:rPr>
          <w:b/>
        </w:rPr>
        <w:t xml:space="preserve">If they raise online or digital: </w:t>
      </w:r>
      <w:r>
        <w:t>“Not this quarter. Everything we do is in the room. Let’s revisit digital next quarter once the in-person pilot has run.” Dezerv already has digital content; IFM is not competing there.</w:t>
      </w:r>
    </w:p>
    <w:p>
      <w:pPr>
        <w:spacing w:after="40"/>
      </w:pPr>
      <w:r>
        <w:rPr>
          <w:b/>
        </w:rPr>
        <w:t xml:space="preserve">Hold the line: </w:t>
      </w:r>
      <w:r>
        <w:t>This is education, not a Dezerv sales event. IFM content stays IFM’s, and the room is still shown the whole shop of partners.</w:t>
      </w:r>
    </w:p>
    <w:p>
      <w:pPr>
        <w:pStyle w:val="Heading1"/>
      </w:pPr>
      <w:r>
        <w:rPr>
          <w:color w:val="1A3A5C"/>
        </w:rPr>
        <w:t>1. Walk me through a real client</w:t>
      </w:r>
    </w:p>
    <w:p>
      <w:pPr>
        <w:pStyle w:val="ListBullet"/>
        <w:spacing w:after="40"/>
      </w:pPr>
      <w:r>
        <w:t>“If Shivani comes to you today, how does it start? Do you look at her whole picture first — property, rent, gold, FDs — or only the cash she brings?”</w:t>
      </w:r>
    </w:p>
    <w:p>
      <w:pPr>
        <w:pStyle w:val="ListBullet"/>
        <w:spacing w:after="40"/>
      </w:pPr>
      <w:r>
        <w:rPr>
          <w:b/>
        </w:rPr>
        <w:t xml:space="preserve">Scenario: </w:t>
      </w:r>
      <w:r>
        <w:t>“A student of mine is leaving her distributor because everything is in regular plans. She wants to go direct, she wants someone to look at her whole asset allocation, and she refused 1% of AUM. She would pay a flat fee. Walk me through why she should come to you instead of going direct herself. Are your portfolios in direct plans? What is the flat fee, in rupees, for her?”</w:t>
      </w:r>
    </w:p>
    <w:p>
      <w:pPr>
        <w:pStyle w:val="ListBullet"/>
        <w:spacing w:after="40"/>
      </w:pPr>
      <w:r>
        <w:t>“Custom portfolio per person, or product templates off a risk quiz?”</w:t>
      </w:r>
    </w:p>
    <w:p>
      <w:pPr>
        <w:pStyle w:val="ListBullet"/>
        <w:spacing w:after="40"/>
      </w:pPr>
      <w:r>
        <w:t>“The 10.5% REIT/debt number — gross, historical or a target, and over what period? How does it fit if she already has heavy real estate?”</w:t>
      </w:r>
    </w:p>
    <w:p>
      <w:pPr>
        <w:pStyle w:val="Heading1"/>
      </w:pPr>
      <w:r>
        <w:rPr>
          <w:color w:val="1A3A5C"/>
        </w:rPr>
        <w:t>2. The woman stays central</w:t>
      </w:r>
    </w:p>
    <w:p>
      <w:pPr>
        <w:pStyle w:val="ListBullet"/>
        <w:spacing w:after="40"/>
      </w:pPr>
      <w:r>
        <w:t>“When the husband’s or family corpus comes in, how does your model keep her as the account’s focus and not an afterthought?”</w:t>
      </w:r>
    </w:p>
    <w:p>
      <w:pPr>
        <w:pStyle w:val="Heading1"/>
      </w:pPr>
      <w:r>
        <w:rPr>
          <w:color w:val="1A3A5C"/>
        </w:rPr>
        <w:t>3. Fees, in rupees</w:t>
      </w:r>
    </w:p>
    <w:p>
      <w:pPr>
        <w:pStyle w:val="ListBullet"/>
        <w:spacing w:after="40"/>
      </w:pPr>
      <w:r>
        <w:t>“Show me the math on ₹50 lakh: Fixed Plan vs Hybrid/Performance, a great year vs a flat year.”</w:t>
      </w:r>
    </w:p>
    <w:p>
      <w:pPr>
        <w:pStyle w:val="ListBullet"/>
        <w:spacing w:after="40"/>
      </w:pPr>
      <w:r>
        <w:t>“Your PMS buys mutual funds that already charge TER. Stacking your fee on top — isn’t that paying twice? Justify it.”</w:t>
      </w:r>
    </w:p>
    <w:p>
      <w:pPr>
        <w:pStyle w:val="ListBullet"/>
        <w:spacing w:after="40"/>
      </w:pPr>
      <w:r>
        <w:t>“Does the fee slide down as the corpus grows from ₹50 lakh to ₹2 crore?”</w:t>
      </w:r>
    </w:p>
    <w:p>
      <w:pPr>
        <w:pStyle w:val="ListBullet"/>
        <w:spacing w:after="40"/>
      </w:pPr>
      <w:r>
        <w:t>“Do you offer a flat fixed fee at all?”</w:t>
      </w:r>
    </w:p>
    <w:p>
      <w:pPr>
        <w:pStyle w:val="ListBullet"/>
        <w:spacing w:after="40"/>
      </w:pPr>
      <w:r>
        <w:rPr>
          <w:b/>
        </w:rPr>
        <w:t xml:space="preserve">ASK → </w:t>
      </w:r>
      <w:r>
        <w:t>Ask for this as a document, not a screen share. Frame: “three more students asked us Dezerv vs Avendus and we couldn’t answer.” Pros and cons of each fee method, something IFM can repackage. The real trust problem is fee opacity in rupee terms, not the percentage.</w:t>
      </w:r>
    </w:p>
    <w:p>
      <w:pPr>
        <w:pStyle w:val="Heading1"/>
      </w:pPr>
      <w:r>
        <w:rPr>
          <w:color w:val="1A3A5C"/>
        </w:rPr>
        <w:t>4. Net return after fees and tax (skip churn)</w:t>
      </w:r>
    </w:p>
    <w:p>
      <w:pPr>
        <w:pStyle w:val="ListBullet"/>
        <w:spacing w:after="40"/>
      </w:pPr>
      <w:r>
        <w:t>Don’t ask how often they switch. Only: “Are your historical alpha numbers after all fees and all taxes, or pre-tax?”</w:t>
      </w:r>
    </w:p>
    <w:p>
      <w:pPr>
        <w:pStyle w:val="ListBullet"/>
        <w:spacing w:after="40"/>
      </w:pPr>
      <w:r>
        <w:t>“Every rebalance in a PMS is a tax event in the client’s name. When you deduct quarterly fees, do you sell units to pay them — and does that itself trigger capital gains?”</w:t>
      </w:r>
    </w:p>
    <w:p>
      <w:pPr>
        <w:pStyle w:val="Heading1"/>
      </w:pPr>
      <w:r>
        <w:rPr>
          <w:color w:val="1A3A5C"/>
        </w:rPr>
        <w:t>5. Small clients vs large</w:t>
      </w:r>
    </w:p>
    <w:p>
      <w:pPr>
        <w:pStyle w:val="ListBullet"/>
        <w:spacing w:after="40"/>
      </w:pPr>
      <w:r>
        <w:t>“A ₹10 lakh client vs a ₹1 crore client — same human, or does the small one get a bot and a template?”</w:t>
      </w:r>
    </w:p>
    <w:p>
      <w:pPr>
        <w:pStyle w:val="ListBullet"/>
        <w:spacing w:after="40"/>
      </w:pPr>
      <w:r>
        <w:t>“Which product does a ₹10 lakh student actually land in?” (PMS is ₹50 lakh minimum by SEBI rule, so sections 3 and 5 may be two different products.)</w:t>
      </w:r>
    </w:p>
    <w:p>
      <w:pPr>
        <w:pStyle w:val="ListBullet"/>
        <w:spacing w:after="40"/>
      </w:pPr>
      <w:r>
        <w:t>“We will send ₹2–20 lakh SIP-type clients up to Shivani-size tickets. What is your ideal size, so we filter at our end and don’t waste your time?”</w:t>
      </w:r>
    </w:p>
    <w:p>
      <w:pPr>
        <w:pStyle w:val="Heading1"/>
      </w:pPr>
      <w:r>
        <w:rPr>
          <w:color w:val="1A3A5C"/>
        </w:rPr>
        <w:t>6. How IFM gets paid — decided, say it without hesitating</w:t>
      </w:r>
    </w:p>
    <w:p>
      <w:pPr>
        <w:pStyle w:val="ListBullet"/>
        <w:spacing w:after="40"/>
      </w:pPr>
      <w:r>
        <w:rPr>
          <w:b/>
        </w:rPr>
        <w:t xml:space="preserve">Position: </w:t>
      </w:r>
      <w:r>
        <w:t>Lifetime trail. They earn for life, so does the referrer. The client pays the same as going direct; Dezerv pays IFM out of its own margin. Hiral can reduce her share in three years if she wants; nothing to give away today.</w:t>
      </w:r>
    </w:p>
    <w:p>
      <w:pPr>
        <w:pStyle w:val="ListBullet"/>
        <w:spacing w:after="40"/>
      </w:pPr>
      <w:r>
        <w:t>“I don’t have a referral code yet — set one up, and map Shivani and Priya to it retroactively.”</w:t>
      </w:r>
    </w:p>
    <w:p>
      <w:pPr>
        <w:pStyle w:val="ListBullet"/>
        <w:spacing w:after="40"/>
      </w:pPr>
      <w:r>
        <w:t>“When a client I send refers her spouse, sibling or friend, how is that mapped back to my network? That is your system’s job, not mine.”</w:t>
      </w:r>
    </w:p>
    <w:p>
      <w:pPr>
        <w:pStyle w:val="ListBullet"/>
        <w:spacing w:after="40"/>
      </w:pPr>
      <w:r>
        <w:t>“At what size would you discuss something extra for my clients that they wouldn’t get going direct? 25, 30, 50 crore AUM? 50, 100 clients?” A yes with a number is enough.</w:t>
      </w:r>
    </w:p>
    <w:p>
      <w:pPr>
        <w:pStyle w:val="ListBullet"/>
        <w:spacing w:after="40"/>
      </w:pPr>
      <w:r>
        <w:rPr>
          <w:b/>
        </w:rPr>
        <w:t xml:space="preserve">Note: </w:t>
      </w:r>
      <w:r>
        <w:t>Student disclosure line to agree before the call: “I earn a referral from Dezerv, and you pay exactly what you’d pay going direct.”</w:t>
      </w:r>
    </w:p>
    <w:p>
      <w:pPr>
        <w:pStyle w:val="Heading1"/>
      </w:pPr>
      <w:r>
        <w:rPr>
          <w:color w:val="1A3A5C"/>
        </w:rPr>
        <w:t>7. The person they want us to hire</w:t>
      </w:r>
    </w:p>
    <w:p>
      <w:pPr>
        <w:spacing w:after="40"/>
      </w:pPr>
      <w:r>
        <w:rPr>
          <w:b/>
        </w:rPr>
        <w:t xml:space="preserve">Position: </w:t>
      </w:r>
      <w:r>
        <w:t>No hire until there is volume to justify one. Two clients in, a dedicated person costs ₹4 to 8 lakh a year with nothing to do. The referral code, the fee document and the RM's own time cover the first 20 to 30 clients.</w:t>
      </w:r>
    </w:p>
    <w:p>
      <w:pPr>
        <w:pStyle w:val="ListBullet"/>
        <w:spacing w:after="40"/>
      </w:pPr>
      <w:r>
        <w:t>“Who is this person, exactly? What do they do on a Tuesday? An IFM employee who sells Dezerv, or a Dezerv RM assigned to IFM clients?”</w:t>
      </w:r>
    </w:p>
    <w:p>
      <w:pPr>
        <w:pStyle w:val="ListBullet"/>
        <w:spacing w:after="40"/>
      </w:pPr>
      <w:r>
        <w:t>“What does it cost, and who carries it? If you want the person, you fund them. If I fund them, they work for me and sell the whole shop.”</w:t>
      </w:r>
    </w:p>
    <w:p>
      <w:pPr>
        <w:pStyle w:val="ListBullet"/>
        <w:spacing w:after="40"/>
      </w:pPr>
      <w:r>
        <w:t>“Why now? At what client count does this make sense? Give me the number and we revisit then.”</w:t>
      </w:r>
    </w:p>
    <w:p>
      <w:pPr>
        <w:pStyle w:val="ListBullet"/>
        <w:spacing w:after="40"/>
      </w:pPr>
      <w:r>
        <w:t>“Does this come with exclusivity? Because the answer to that is no. We have to be able to show students a shop with several offerings.”</w:t>
      </w:r>
    </w:p>
    <w:p>
      <w:pPr>
        <w:spacing w:after="40"/>
      </w:pPr>
      <w:r>
        <w:rPr>
          <w:b/>
        </w:rPr>
        <w:t xml:space="preserve">Why they ask: </w:t>
      </w:r>
      <w:r>
        <w:t>a salaried person who only onboards to Dezerv is exclusivity by another name, even if the contract never says the word. If they insist, the only acceptable shape is a Dezerv-paid RM dedicated to IFM referrals, sitting at Dezerv, with IFM free to refer elsewhere.</w:t>
      </w:r>
    </w:p>
    <w:p>
      <w:pPr>
        <w:pStyle w:val="Heading1"/>
      </w:pPr>
      <w:r>
        <w:rPr>
          <w:color w:val="1A3A5C"/>
        </w:rPr>
        <w:t>Close on</w:t>
      </w:r>
    </w:p>
    <w:p>
      <w:pPr>
        <w:pStyle w:val="ListBullet"/>
        <w:spacing w:after="40"/>
      </w:pPr>
      <w:r>
        <w:t>A yes to one of the two: their clients into IFM batches, or a paid seminar at a Dezerv location, with a city and a pilot date.</w:t>
      </w:r>
    </w:p>
    <w:p>
      <w:pPr>
        <w:pStyle w:val="ListBullet"/>
        <w:spacing w:after="40"/>
      </w:pPr>
      <w:r>
        <w:t>Fee-math document sent (not just shown) within the week.</w:t>
      </w:r>
    </w:p>
    <w:p>
      <w:pPr>
        <w:pStyle w:val="ListBullet"/>
        <w:spacing w:after="40"/>
      </w:pPr>
      <w:r>
        <w:t>Referral code live, Shivani and Priya mapped to it.</w:t>
      </w:r>
    </w:p>
    <w:p>
      <w:pPr>
        <w:pStyle w:val="ListBullet"/>
        <w:spacing w:after="40"/>
      </w:pPr>
      <w:r>
        <w:t>One named RM who takes IFM referrals — Hiral meets that person before any student is promised anything.</w:t>
      </w:r>
    </w:p>
    <w:p>
      <w:pPr>
        <w:pStyle w:val="ListBullet"/>
        <w:spacing w:after="40"/>
      </w:pPr>
      <w:r>
        <w:t>Their ideal client size, in a number.</w:t>
      </w:r>
    </w:p>
    <w:p>
      <w:pPr>
        <w:spacing w:after="60"/>
      </w:pPr>
      <w:r>
        <w:rPr>
          <w:b w:val="0"/>
          <w:i/>
        </w:rPr>
        <w:t>Facts in pocket: founded 2021 by Sahil Contractor, Sandeep Jethwani, Vaibhav Porwal (ex-IIFL Wealth) · Series C ₹350 cr, Oct 2025 (Premji Invest, Accel) · ~₹14,000 cr across PMS, AIF, distribution · MF portfolios from ₹50,000; PMS ₹50 lakh.</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