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rFonts w:ascii="Calibri" w:cs="Calibri" w:eastAsia="Calibri" w:hAnsi="Calibri"/>
          <w:b/>
          <w:bCs/>
          <w:color w:val="2a9d8f"/>
          <w:sz w:val="18"/>
          <w:szCs w:val="18"/>
        </w:rPr>
        <w:t xml:space="preserve">PRIVATE PROGRAMME — SERVICE AGREEMENT</w:t>
      </w:r>
    </w:p>
    <w:p>
      <w:pPr>
        <w:spacing w:after="0" w:before="100"/>
      </w:pPr>
      <w:r>
        <w:rPr>
          <w:rFonts w:ascii="Georgia" w:cs="Georgia" w:eastAsia="Georgia" w:hAnsi="Georgia"/>
          <w:b/>
          <w:bCs/>
          <w:color w:val="1a3a5c"/>
          <w:sz w:val="56"/>
          <w:szCs w:val="56"/>
        </w:rPr>
        <w:t xml:space="preserve">Women &amp; Wealth</w:t>
      </w:r>
    </w:p>
    <w:p>
      <w:pPr>
        <w:spacing w:after="400" w:before="0"/>
      </w:pPr>
      <w:r>
        <w:rPr>
          <w:rFonts w:ascii="Georgia" w:cs="Georgia" w:eastAsia="Georgia" w:hAnsi="Georgia"/>
          <w:i/>
          <w:iCs/>
          <w:color w:val="5a7d8a"/>
          <w:sz w:val="24"/>
          <w:szCs w:val="24"/>
        </w:rPr>
        <w:t xml:space="preserve">A financial literacy programme delivered by Investing for Mummies</w:t>
      </w:r>
    </w:p>
    <w:p>
      <w:pPr>
        <w:shd w:fill="f7faf9" w:val="clear"/>
        <w:spacing w:after="100" w:before="200"/>
      </w:pPr>
      <w:r>
        <w:rPr>
          <w:rFonts w:ascii="Georgia" w:cs="Georgia" w:eastAsia="Georgia" w:hAnsi="Georgia"/>
          <w:sz w:val="21"/>
          <w:szCs w:val="21"/>
        </w:rPr>
        <w:t xml:space="preserve">  This Agreement is made on [Effective Date], between:</w:t>
      </w:r>
    </w:p>
    <w:p>
      <w:pPr>
        <w:spacing w:after="160" w:before="0"/>
        <w:jc w:val="left"/>
      </w:pPr>
      <w:r>
        <w:rPr>
          <w:rFonts w:ascii="Georgia" w:cs="Georgia" w:eastAsia="Georgia" w:hAnsi="Georgia"/>
          <w:sz w:val="21"/>
          <w:szCs w:val="21"/>
        </w:rPr>
        <w:t xml:space="preserve">(1) Mooga Tech Solutions India Private Limited, operating as "Investing for Mummies" (“IFM”), a company incorporated under the laws of India, having GSTIN 27AAECM9012F1ZM and its registered office at [IFM registered office address]; and</w:t>
      </w:r>
    </w:p>
    <w:p>
      <w:pPr>
        <w:spacing w:after="160" w:before="0"/>
        <w:jc w:val="left"/>
      </w:pPr>
      <w:r>
        <w:rPr>
          <w:rFonts w:ascii="Georgia" w:cs="Georgia" w:eastAsia="Georgia" w:hAnsi="Georgia"/>
          <w:sz w:val="21"/>
          <w:szCs w:val="21"/>
        </w:rPr>
        <w:t xml:space="preserve">(2) [Client legal entity name], a company/organisation incorporated under the laws of India, having its registered office at [client registered address] (“Client”),</w:t>
      </w:r>
    </w:p>
    <w:p>
      <w:pPr>
        <w:spacing w:after="300" w:before="0"/>
        <w:jc w:val="left"/>
      </w:pPr>
      <w:r>
        <w:rPr>
          <w:rFonts w:ascii="Georgia" w:cs="Georgia" w:eastAsia="Georgia" w:hAnsi="Georgia"/>
          <w:sz w:val="21"/>
          <w:szCs w:val="21"/>
        </w:rPr>
        <w:t xml:space="preserve">each a “Party” and together the “Parties”.</w:t>
      </w:r>
    </w:p>
    <w:p>
      <w:pPr>
        <w:pBdr>
          <w:top w:val="single" w:color="c9a84c" w:sz="6" w:space="8"/>
          <w:bottom w:val="single" w:color="c9a84c" w:sz="6" w:space="8"/>
          <w:left w:val="single" w:color="c9a84c" w:sz="6" w:space="8"/>
          <w:right w:val="single" w:color="c9a84c" w:sz="6" w:space="8"/>
        </w:pBdr>
        <w:shd w:fill="f5f0e0" w:val="clear"/>
        <w:spacing w:after="0" w:before="200"/>
      </w:pPr>
      <w:r>
        <w:rPr>
          <w:rFonts w:ascii="Calibri" w:cs="Calibri" w:eastAsia="Calibri" w:hAnsi="Calibri"/>
          <w:i/>
          <w:iCs/>
          <w:color w:val="1a3a5c"/>
          <w:sz w:val="19"/>
          <w:szCs w:val="19"/>
        </w:rPr>
        <w:t xml:space="preserve">  DRAFT TEMPLATE — this document was prepared to match the “Women &amp; Wealth” proposal dated 20 August 2026 and to reflect terms discussed internally. It has not been reviewed by a lawyer. Have qualified legal counsel review it — particularly the cancellation/refund tiers, GST and TDS mechanics, force majeure, and dispute resolution clauses — before it is signed with any client. Fields in [brackets] must be completed for each client.  </w:t>
      </w:r>
    </w:p>
    <w:p>
      <w:r>
        <w:br w:type="page"/>
      </w:r>
    </w:p>
    <w:p>
      <w:pPr>
        <w:pStyle w:val="Heading1"/>
        <w:spacing w:after="140" w:before="320"/>
      </w:pPr>
      <w:r>
        <w:rPr>
          <w:rFonts w:ascii="Georgia" w:cs="Georgia" w:eastAsia="Georgia" w:hAnsi="Georgia"/>
          <w:b/>
          <w:bCs/>
          <w:color w:val="1a3a5c"/>
          <w:sz w:val="24"/>
          <w:szCs w:val="24"/>
        </w:rPr>
        <w:t xml:space="preserve">1. </w:t>
      </w:r>
      <w:r>
        <w:rPr>
          <w:rFonts w:ascii="Georgia" w:cs="Georgia" w:eastAsia="Georgia" w:hAnsi="Georgia"/>
          <w:b/>
          <w:bCs/>
          <w:color w:val="1a3a5c"/>
          <w:sz w:val="24"/>
          <w:szCs w:val="24"/>
        </w:rPr>
        <w:t xml:space="preserve">Background</w:t>
      </w:r>
    </w:p>
    <w:p>
      <w:pPr>
        <w:spacing w:after="120" w:before="0"/>
        <w:jc w:val="left"/>
      </w:pPr>
      <w:r>
        <w:rPr>
          <w:rFonts w:ascii="Georgia" w:cs="Georgia" w:eastAsia="Georgia" w:hAnsi="Georgia"/>
          <w:sz w:val="21"/>
          <w:szCs w:val="21"/>
        </w:rPr>
        <w:t xml:space="preserve">IFM is a financial literacy initiative that designs and delivers workshop-based programmes to help participants understand, evaluate and make informed decisions about their personal finances. IFM does not sell, recommend or distribute financial products, and is not a SEBI-registered Investment Adviser or Research Analyst.</w:t>
      </w:r>
    </w:p>
    <w:p>
      <w:pPr>
        <w:spacing w:after="120" w:before="0"/>
        <w:jc w:val="left"/>
      </w:pPr>
      <w:r>
        <w:rPr>
          <w:rFonts w:ascii="Georgia" w:cs="Georgia" w:eastAsia="Georgia" w:hAnsi="Georgia"/>
          <w:sz w:val="21"/>
          <w:szCs w:val="21"/>
        </w:rPr>
        <w:t xml:space="preserve">The Client wishes to engage IFM to deliver the “Women &amp; Wealth” programme, an eight-session financial literacy course, to participants nominated by the Client, on the terms set out in this Agreement.</w:t>
      </w:r>
    </w:p>
    <w:p>
      <w:pPr>
        <w:spacing w:after="120" w:before="0"/>
        <w:jc w:val="left"/>
      </w:pPr>
      <w:r>
        <w:rPr>
          <w:rFonts w:ascii="Georgia" w:cs="Georgia" w:eastAsia="Georgia" w:hAnsi="Georgia"/>
          <w:sz w:val="21"/>
          <w:szCs w:val="21"/>
        </w:rPr>
        <w:t xml:space="preserve">This Agreement is entered into on the basis of the proposal titled “Women &amp; Wealth” dated 20 August 2026 (the “Proposal”). The Proposal is indicative only; where any term of the Proposal conflicts with this Agreement, this Agreement prevails (see Clause 18).</w:t>
      </w:r>
    </w:p>
    <w:p>
      <w:pPr>
        <w:pStyle w:val="Heading1"/>
        <w:spacing w:after="140" w:before="320"/>
      </w:pPr>
      <w:r>
        <w:rPr>
          <w:rFonts w:ascii="Georgia" w:cs="Georgia" w:eastAsia="Georgia" w:hAnsi="Georgia"/>
          <w:b/>
          <w:bCs/>
          <w:color w:val="1a3a5c"/>
          <w:sz w:val="24"/>
          <w:szCs w:val="24"/>
        </w:rPr>
        <w:t xml:space="preserve">2. </w:t>
      </w:r>
      <w:r>
        <w:rPr>
          <w:rFonts w:ascii="Georgia" w:cs="Georgia" w:eastAsia="Georgia" w:hAnsi="Georgia"/>
          <w:b/>
          <w:bCs/>
          <w:color w:val="1a3a5c"/>
          <w:sz w:val="24"/>
          <w:szCs w:val="24"/>
        </w:rPr>
        <w:t xml:space="preserve">Definitions</w:t>
      </w:r>
    </w:p>
    <w:p>
      <w:pPr>
        <w:pStyle w:val="ListParagraph"/>
        <w:numPr>
          <w:ilvl w:val="0"/>
          <w:numId w:val="2"/>
        </w:numPr>
        <w:spacing w:after="80"/>
      </w:pPr>
      <w:r>
        <w:rPr>
          <w:rFonts w:ascii="Georgia" w:cs="Georgia" w:eastAsia="Georgia" w:hAnsi="Georgia"/>
          <w:sz w:val="21"/>
          <w:szCs w:val="21"/>
        </w:rPr>
        <w:t xml:space="preserve">“Programme” means the eight-session “Women &amp; Wealth” course described in Schedule A.</w:t>
      </w:r>
    </w:p>
    <w:p>
      <w:pPr>
        <w:pStyle w:val="ListParagraph"/>
        <w:numPr>
          <w:ilvl w:val="0"/>
          <w:numId w:val="2"/>
        </w:numPr>
        <w:spacing w:after="80"/>
      </w:pPr>
      <w:r>
        <w:rPr>
          <w:rFonts w:ascii="Georgia" w:cs="Georgia" w:eastAsia="Georgia" w:hAnsi="Georgia"/>
          <w:sz w:val="21"/>
          <w:szCs w:val="21"/>
        </w:rPr>
        <w:t xml:space="preserve">“Session” means one of the eight approximately two-hour instructional sessions comprising the Programme.</w:t>
      </w:r>
    </w:p>
    <w:p>
      <w:pPr>
        <w:pStyle w:val="ListParagraph"/>
        <w:numPr>
          <w:ilvl w:val="0"/>
          <w:numId w:val="2"/>
        </w:numPr>
        <w:spacing w:after="80"/>
      </w:pPr>
      <w:r>
        <w:rPr>
          <w:rFonts w:ascii="Georgia" w:cs="Georgia" w:eastAsia="Georgia" w:hAnsi="Georgia"/>
          <w:sz w:val="21"/>
          <w:szCs w:val="21"/>
        </w:rPr>
        <w:t xml:space="preserve">“Participant” means an individual nominated by the Client and registered to attend the Programme, subject to Clause 8.</w:t>
      </w:r>
    </w:p>
    <w:p>
      <w:pPr>
        <w:pStyle w:val="ListParagraph"/>
        <w:numPr>
          <w:ilvl w:val="0"/>
          <w:numId w:val="2"/>
        </w:numPr>
        <w:spacing w:after="80"/>
      </w:pPr>
      <w:r>
        <w:rPr>
          <w:rFonts w:ascii="Georgia" w:cs="Georgia" w:eastAsia="Georgia" w:hAnsi="Georgia"/>
          <w:sz w:val="21"/>
          <w:szCs w:val="21"/>
        </w:rPr>
        <w:t xml:space="preserve">“Confirmation Date” means the date on which both (a) payment under Clause 4 and (b) registration forms for all Participants have been received by IFM.</w:t>
      </w:r>
    </w:p>
    <w:p>
      <w:pPr>
        <w:pStyle w:val="ListParagraph"/>
        <w:numPr>
          <w:ilvl w:val="0"/>
          <w:numId w:val="2"/>
        </w:numPr>
        <w:spacing w:after="80"/>
      </w:pPr>
      <w:r>
        <w:rPr>
          <w:rFonts w:ascii="Georgia" w:cs="Georgia" w:eastAsia="Georgia" w:hAnsi="Georgia"/>
          <w:sz w:val="21"/>
          <w:szCs w:val="21"/>
        </w:rPr>
        <w:t xml:space="preserve">“Facilitator” means Hiral Goel or any substitute facilitator engaged by IFM under Clause 6.3.</w:t>
      </w:r>
    </w:p>
    <w:p>
      <w:pPr>
        <w:pStyle w:val="ListParagraph"/>
        <w:numPr>
          <w:ilvl w:val="0"/>
          <w:numId w:val="2"/>
        </w:numPr>
        <w:spacing w:after="80"/>
      </w:pPr>
      <w:r>
        <w:rPr>
          <w:rFonts w:ascii="Georgia" w:cs="Georgia" w:eastAsia="Georgia" w:hAnsi="Georgia"/>
          <w:sz w:val="21"/>
          <w:szCs w:val="21"/>
        </w:rPr>
        <w:t xml:space="preserve">“Business Day” means a day other than a Saturday, Sunday or public holiday in Mumbai, India.</w:t>
      </w:r>
    </w:p>
    <w:p>
      <w:pPr>
        <w:pStyle w:val="ListParagraph"/>
        <w:numPr>
          <w:ilvl w:val="0"/>
          <w:numId w:val="2"/>
        </w:numPr>
        <w:spacing w:after="80"/>
      </w:pPr>
      <w:r>
        <w:rPr>
          <w:rFonts w:ascii="Georgia" w:cs="Georgia" w:eastAsia="Georgia" w:hAnsi="Georgia"/>
          <w:sz w:val="21"/>
          <w:szCs w:val="21"/>
        </w:rPr>
        <w:t xml:space="preserve">“Commercial Terms” means the format, fee, schedule and group size set out in Schedule B.</w:t>
      </w:r>
    </w:p>
    <w:p>
      <w:pPr>
        <w:pStyle w:val="Heading1"/>
        <w:spacing w:after="140" w:before="320"/>
      </w:pPr>
      <w:r>
        <w:rPr>
          <w:rFonts w:ascii="Georgia" w:cs="Georgia" w:eastAsia="Georgia" w:hAnsi="Georgia"/>
          <w:b/>
          <w:bCs/>
          <w:color w:val="1a3a5c"/>
          <w:sz w:val="24"/>
          <w:szCs w:val="24"/>
        </w:rPr>
        <w:t xml:space="preserve">3. </w:t>
      </w:r>
      <w:r>
        <w:rPr>
          <w:rFonts w:ascii="Georgia" w:cs="Georgia" w:eastAsia="Georgia" w:hAnsi="Georgia"/>
          <w:b/>
          <w:bCs/>
          <w:color w:val="1a3a5c"/>
          <w:sz w:val="24"/>
          <w:szCs w:val="24"/>
        </w:rPr>
        <w:t xml:space="preserve">Scope of services</w:t>
      </w:r>
    </w:p>
    <w:p>
      <w:pPr>
        <w:spacing w:after="120" w:before="0"/>
        <w:jc w:val="left"/>
      </w:pPr>
      <w:r>
        <w:rPr>
          <w:rFonts w:ascii="Georgia" w:cs="Georgia" w:eastAsia="Georgia" w:hAnsi="Georgia"/>
          <w:sz w:val="21"/>
          <w:szCs w:val="21"/>
        </w:rPr>
        <w:t xml:space="preserve">IFM shall deliver the Programme to the Client's Participants in accordance with the curriculum at Schedule A and the format, schedule and fee at Schedule B.</w:t>
      </w:r>
    </w:p>
    <w:p>
      <w:pPr>
        <w:spacing w:after="120" w:before="0"/>
        <w:jc w:val="left"/>
      </w:pPr>
      <w:r>
        <w:rPr>
          <w:rFonts w:ascii="Georgia" w:cs="Georgia" w:eastAsia="Georgia" w:hAnsi="Georgia"/>
          <w:sz w:val="21"/>
          <w:szCs w:val="21"/>
        </w:rPr>
        <w:t xml:space="preserve">The Programme uses interactive games, simple calculators and real-life, India-specific examples. Session content and running order may be adapted by IFM to suit the pace of a given group, provided all eight topics in Schedule A are covered.</w:t>
      </w:r>
    </w:p>
    <w:p>
      <w:pPr>
        <w:spacing w:after="120" w:before="0"/>
        <w:jc w:val="left"/>
      </w:pPr>
      <w:r>
        <w:rPr>
          <w:rFonts w:ascii="Georgia" w:cs="Georgia" w:eastAsia="Georgia" w:hAnsi="Georgia"/>
          <w:sz w:val="21"/>
          <w:szCs w:val="21"/>
        </w:rPr>
        <w:t xml:space="preserve">For delivery “at your location,” the Client is responsible for arranging a suitable room, seating, projector/screen and Wi-Fi, and for the safety and security of the venue and all persons in it. IFM is responsible for the Facilitator, session materials and printed handbooks. For online delivery, IFM hosts the video link; printed handbooks (one per registered Participant, up to the group size at Schedule B) are couriered together to a single Client-nominated address before Session 1, at IFM's cost.</w:t>
      </w:r>
    </w:p>
    <w:p>
      <w:pPr>
        <w:pStyle w:val="Heading1"/>
        <w:spacing w:after="140" w:before="320"/>
      </w:pPr>
      <w:r>
        <w:rPr>
          <w:rFonts w:ascii="Georgia" w:cs="Georgia" w:eastAsia="Georgia" w:hAnsi="Georgia"/>
          <w:b/>
          <w:bCs/>
          <w:color w:val="1a3a5c"/>
          <w:sz w:val="24"/>
          <w:szCs w:val="24"/>
        </w:rPr>
        <w:t xml:space="preserve">4. </w:t>
      </w:r>
      <w:r>
        <w:rPr>
          <w:rFonts w:ascii="Georgia" w:cs="Georgia" w:eastAsia="Georgia" w:hAnsi="Georgia"/>
          <w:b/>
          <w:bCs/>
          <w:color w:val="1a3a5c"/>
          <w:sz w:val="24"/>
          <w:szCs w:val="24"/>
        </w:rPr>
        <w:t xml:space="preserve">Fees, GST and payment</w:t>
      </w:r>
    </w:p>
    <w:p>
      <w:pPr>
        <w:spacing w:after="120" w:before="0"/>
        <w:jc w:val="left"/>
      </w:pPr>
      <w:r>
        <w:rPr>
          <w:rFonts w:ascii="Georgia" w:cs="Georgia" w:eastAsia="Georgia" w:hAnsi="Georgia"/>
          <w:sz w:val="21"/>
          <w:szCs w:val="21"/>
        </w:rPr>
        <w:t xml:space="preserve">The fee for the Programme is set out in Schedule B and is quoted for the full group described there, not per Participant.</w:t>
      </w:r>
    </w:p>
    <w:p>
      <w:pPr>
        <w:spacing w:after="120" w:before="0"/>
        <w:jc w:val="left"/>
      </w:pPr>
      <w:r>
        <w:rPr>
          <w:rFonts w:ascii="Georgia" w:cs="Georgia" w:eastAsia="Georgia" w:hAnsi="Georgia"/>
          <w:sz w:val="21"/>
          <w:szCs w:val="21"/>
        </w:rPr>
        <w:t xml:space="preserve">The Programme is confirmed only once (a) 100% of the fee has been received by IFM and (b) registration forms for all Participants have been received. A GST tax invoice bearing IFM's GSTIN is issued on payment; the fee is eligible for input tax credit in the Client's hands, where applicable.</w:t>
      </w:r>
    </w:p>
    <w:p>
      <w:pPr>
        <w:spacing w:after="120" w:before="0"/>
        <w:jc w:val="left"/>
      </w:pPr>
      <w:r>
        <w:rPr>
          <w:rFonts w:ascii="Georgia" w:cs="Georgia" w:eastAsia="Georgia" w:hAnsi="Georgia"/>
          <w:sz w:val="21"/>
          <w:szCs w:val="21"/>
        </w:rPr>
        <w:t xml:space="preserve">The fee is quoted gross of tax deducted at source (“TDS”). Where the Client is required to deduct TDS under Section 194J of the Income-tax Act, 1961, the Client shall deduct TDS at the applicable rate, remit the balance to IFM, and furnish Form 16A to IFM within the statutory timeline.</w:t>
      </w:r>
    </w:p>
    <w:p>
      <w:pPr>
        <w:spacing w:after="120" w:before="0"/>
        <w:jc w:val="left"/>
      </w:pPr>
      <w:r>
        <w:rPr>
          <w:rFonts w:ascii="Georgia" w:cs="Georgia" w:eastAsia="Georgia" w:hAnsi="Georgia"/>
          <w:sz w:val="21"/>
          <w:szCs w:val="21"/>
        </w:rPr>
        <w:t xml:space="preserve">Fees paid are non-transferable once the Programme is confirmed, except as expressly set out in Clause 5 (Client cancellation and refunds).</w:t>
      </w:r>
    </w:p>
    <w:p>
      <w:pPr>
        <w:pStyle w:val="Heading1"/>
        <w:spacing w:after="140" w:before="320"/>
      </w:pPr>
      <w:r>
        <w:rPr>
          <w:rFonts w:ascii="Georgia" w:cs="Georgia" w:eastAsia="Georgia" w:hAnsi="Georgia"/>
          <w:b/>
          <w:bCs/>
          <w:color w:val="1a3a5c"/>
          <w:sz w:val="24"/>
          <w:szCs w:val="24"/>
        </w:rPr>
        <w:t xml:space="preserve">5. </w:t>
      </w:r>
      <w:r>
        <w:rPr>
          <w:rFonts w:ascii="Georgia" w:cs="Georgia" w:eastAsia="Georgia" w:hAnsi="Georgia"/>
          <w:b/>
          <w:bCs/>
          <w:color w:val="1a3a5c"/>
          <w:sz w:val="24"/>
          <w:szCs w:val="24"/>
        </w:rPr>
        <w:t xml:space="preserve">Client cancellation and refunds</w:t>
      </w:r>
    </w:p>
    <w:p>
      <w:pPr>
        <w:spacing w:after="120" w:before="0"/>
        <w:jc w:val="left"/>
      </w:pPr>
      <w:r>
        <w:rPr>
          <w:rFonts w:ascii="Georgia" w:cs="Georgia" w:eastAsia="Georgia" w:hAnsi="Georgia"/>
          <w:sz w:val="21"/>
          <w:szCs w:val="21"/>
        </w:rPr>
        <w:t xml:space="preserve">If the Client cancels the Programme before Session 1, IFM shall refund the advance on the following sliding scale, based on notice given in writing to IFM's programme contact: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rPr>
          <w:tblHeader/>
        </w:trPr>
        <w:tc>
          <w:tcPr>
            <w:tcW w:type="dxa" w:w="5800"/>
            <w:shd w:fill="eef2f5" w:val="clear"/>
            <w:tcMar>
              <w:top w:type="dxa" w:w="80"/>
              <w:left w:type="dxa" w:w="120"/>
              <w:bottom w:type="dxa" w:w="80"/>
              <w:right w:type="dxa" w:w="120"/>
            </w:tcMar>
            <w:vAlign w:val="center"/>
          </w:tcPr>
          <w:p>
            <w:pPr>
              <w:jc w:val="left"/>
            </w:pPr>
            <w:r>
              <w:rPr>
                <w:rFonts w:ascii="Georgia" w:cs="Georgia" w:eastAsia="Georgia" w:hAnsi="Georgia"/>
                <w:b/>
                <w:bCs/>
                <w:sz w:val="20"/>
                <w:szCs w:val="20"/>
              </w:rPr>
              <w:t xml:space="preserve">Notice given before Session 1</w:t>
            </w:r>
          </w:p>
        </w:tc>
        <w:tc>
          <w:tcPr>
            <w:tcW w:type="dxa" w:w="3200"/>
            <w:shd w:fill="eef2f5" w:val="clear"/>
            <w:tcMar>
              <w:top w:type="dxa" w:w="80"/>
              <w:left w:type="dxa" w:w="120"/>
              <w:bottom w:type="dxa" w:w="80"/>
              <w:right w:type="dxa" w:w="120"/>
            </w:tcMar>
            <w:vAlign w:val="center"/>
          </w:tcPr>
          <w:p>
            <w:pPr>
              <w:jc w:val="center"/>
            </w:pPr>
            <w:r>
              <w:rPr>
                <w:rFonts w:ascii="Georgia" w:cs="Georgia" w:eastAsia="Georgia" w:hAnsi="Georgia"/>
                <w:b/>
                <w:bCs/>
                <w:sz w:val="20"/>
                <w:szCs w:val="20"/>
              </w:rPr>
              <w:t xml:space="preserve">Refund of advance paid</w:t>
            </w:r>
          </w:p>
        </w:tc>
      </w:tr>
      <w:tr>
        <w:tc>
          <w:tcPr>
            <w:tcW w:type="dxa" w:w="58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14 days or more</w:t>
            </w:r>
          </w:p>
        </w:tc>
        <w:tc>
          <w:tcPr>
            <w:tcW w:type="dxa" w:w="32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75%</w:t>
            </w:r>
          </w:p>
        </w:tc>
      </w:tr>
      <w:tr>
        <w:tc>
          <w:tcPr>
            <w:tcW w:type="dxa" w:w="58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7–13 days</w:t>
            </w:r>
          </w:p>
        </w:tc>
        <w:tc>
          <w:tcPr>
            <w:tcW w:type="dxa" w:w="32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50%</w:t>
            </w:r>
          </w:p>
        </w:tc>
      </w:tr>
      <w:tr>
        <w:tc>
          <w:tcPr>
            <w:tcW w:type="dxa" w:w="58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3–6 days</w:t>
            </w:r>
          </w:p>
        </w:tc>
        <w:tc>
          <w:tcPr>
            <w:tcW w:type="dxa" w:w="32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25%</w:t>
            </w:r>
          </w:p>
        </w:tc>
      </w:tr>
      <w:tr>
        <w:tc>
          <w:tcPr>
            <w:tcW w:type="dxa" w:w="58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Under 72 hours, or no-show</w:t>
            </w:r>
          </w:p>
        </w:tc>
        <w:tc>
          <w:tcPr>
            <w:tcW w:type="dxa" w:w="32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0% — a Credit Note valid 6 months toward a future IFM programme is issued instead</w:t>
            </w:r>
          </w:p>
        </w:tc>
      </w:tr>
    </w:tbl>
    <w:p>
      <w:pPr>
        <w:spacing w:after="120" w:before="160"/>
        <w:jc w:val="left"/>
      </w:pPr>
      <w:r>
        <w:rPr>
          <w:rFonts w:ascii="Georgia" w:cs="Georgia" w:eastAsia="Georgia" w:hAnsi="Georgia"/>
          <w:sz w:val="21"/>
          <w:szCs w:val="21"/>
        </w:rPr>
        <w:t xml:space="preserve">If the Client discontinues the Programme after Session 1 has begun, fees for Sessions already delivered are non-refundable. For Sessions not yet delivered, the Client may elect either to (a) complete the remaining Sessions within 60 days of the originally scheduled final Session date, or (b) discontinue and receive a Credit Note for 50% of the value of the undelivered Sessions, valid for 6 months from the date of discontinuation.</w:t>
      </w:r>
    </w:p>
    <w:p>
      <w:pPr>
        <w:spacing w:after="120" w:before="0"/>
        <w:jc w:val="left"/>
      </w:pPr>
      <w:r>
        <w:rPr>
          <w:rFonts w:ascii="Georgia" w:cs="Georgia" w:eastAsia="Georgia" w:hAnsi="Georgia"/>
          <w:sz w:val="21"/>
          <w:szCs w:val="21"/>
        </w:rPr>
        <w:t xml:space="preserve">If IFM cancels two or more Sessions for reasons other than the single reschedule permitted under Clause 6.1 or an event of Force Majeure under Clause 7, the Client may terminate this Agreement and receive a full refund for any undelivered Sessions.</w:t>
      </w:r>
    </w:p>
    <w:p>
      <w:pPr>
        <w:spacing w:after="120" w:before="0"/>
        <w:jc w:val="left"/>
      </w:pPr>
      <w:r>
        <w:rPr>
          <w:rFonts w:ascii="Georgia" w:cs="Georgia" w:eastAsia="Georgia" w:hAnsi="Georgia"/>
          <w:i/>
          <w:iCs/>
          <w:color w:val="5a7d8a"/>
          <w:sz w:val="21"/>
          <w:szCs w:val="21"/>
        </w:rPr>
        <w:t xml:space="preserve">Refunds and Credit Notes under this Clause 5 are the Client's sole and exclusive remedy for cancellation or discontinuation of the Programme.</w:t>
      </w:r>
    </w:p>
    <w:p>
      <w:pPr>
        <w:pStyle w:val="Heading1"/>
        <w:spacing w:after="140" w:before="320"/>
      </w:pPr>
      <w:r>
        <w:rPr>
          <w:rFonts w:ascii="Georgia" w:cs="Georgia" w:eastAsia="Georgia" w:hAnsi="Georgia"/>
          <w:b/>
          <w:bCs/>
          <w:color w:val="1a3a5c"/>
          <w:sz w:val="24"/>
          <w:szCs w:val="24"/>
        </w:rPr>
        <w:t xml:space="preserve">6. </w:t>
      </w:r>
      <w:r>
        <w:rPr>
          <w:rFonts w:ascii="Georgia" w:cs="Georgia" w:eastAsia="Georgia" w:hAnsi="Georgia"/>
          <w:b/>
          <w:bCs/>
          <w:color w:val="1a3a5c"/>
          <w:sz w:val="24"/>
          <w:szCs w:val="24"/>
        </w:rPr>
        <w:t xml:space="preserve">Rescheduling, IFM cancellation and facilitator substitution</w:t>
      </w:r>
    </w:p>
    <w:p>
      <w:pPr>
        <w:spacing w:after="120" w:before="0"/>
        <w:jc w:val="left"/>
      </w:pPr>
      <w:r>
        <w:rPr>
          <w:rFonts w:ascii="Georgia" w:cs="Georgia" w:eastAsia="Georgia" w:hAnsi="Georgia"/>
          <w:b/>
          <w:bCs/>
          <w:sz w:val="21"/>
          <w:szCs w:val="21"/>
        </w:rPr>
        <w:t xml:space="preserve">6.1  </w:t>
      </w:r>
      <w:r>
        <w:rPr>
          <w:rFonts w:ascii="Georgia" w:cs="Georgia" w:eastAsia="Georgia" w:hAnsi="Georgia"/>
          <w:sz w:val="21"/>
          <w:szCs w:val="21"/>
        </w:rPr>
        <w:t xml:space="preserve">One Session may be moved by the Client with at least 72 hours' written notice, to be made up within the Programme window at Schedule B. This is the only Session-level reschedule available to the Client; further changes are at IFM's discretion and may be declined.</w:t>
      </w:r>
    </w:p>
    <w:p>
      <w:pPr>
        <w:spacing w:after="120" w:before="0"/>
        <w:jc w:val="left"/>
      </w:pPr>
      <w:r>
        <w:rPr>
          <w:rFonts w:ascii="Georgia" w:cs="Georgia" w:eastAsia="Georgia" w:hAnsi="Georgia"/>
          <w:b/>
          <w:bCs/>
          <w:sz w:val="21"/>
          <w:szCs w:val="21"/>
        </w:rPr>
        <w:t xml:space="preserve">6.2  </w:t>
      </w:r>
      <w:r>
        <w:rPr>
          <w:rFonts w:ascii="Georgia" w:cs="Georgia" w:eastAsia="Georgia" w:hAnsi="Georgia"/>
          <w:sz w:val="21"/>
          <w:szCs w:val="21"/>
        </w:rPr>
        <w:t xml:space="preserve">If IFM must move a Session for any reason (including Facilitator illness), IFM shall notify the Client as soon as reasonably possible and a free make-up Session is guaranteed within the Programme window or as soon as practicable thereafter.</w:t>
      </w:r>
    </w:p>
    <w:p>
      <w:pPr>
        <w:spacing w:after="120" w:before="0"/>
        <w:jc w:val="left"/>
      </w:pPr>
      <w:r>
        <w:rPr>
          <w:rFonts w:ascii="Georgia" w:cs="Georgia" w:eastAsia="Georgia" w:hAnsi="Georgia"/>
          <w:b/>
          <w:bCs/>
          <w:sz w:val="21"/>
          <w:szCs w:val="21"/>
        </w:rPr>
        <w:t xml:space="preserve">6.3  </w:t>
      </w:r>
      <w:r>
        <w:rPr>
          <w:rFonts w:ascii="Georgia" w:cs="Georgia" w:eastAsia="Georgia" w:hAnsi="Georgia"/>
          <w:sz w:val="21"/>
          <w:szCs w:val="21"/>
        </w:rPr>
        <w:t xml:space="preserve">IFM may substitute the Facilitator with another suitably briefed and qualified trainer where the named Facilitator is unavailable, giving the Client as much notice as is reasonably possible in the circumstances. IFM remains responsible for the quality and content of the Programme regardless of who delivers it.</w:t>
      </w:r>
    </w:p>
    <w:p>
      <w:pPr>
        <w:pStyle w:val="Heading1"/>
        <w:spacing w:after="140" w:before="320"/>
      </w:pPr>
      <w:r>
        <w:rPr>
          <w:rFonts w:ascii="Georgia" w:cs="Georgia" w:eastAsia="Georgia" w:hAnsi="Georgia"/>
          <w:b/>
          <w:bCs/>
          <w:color w:val="1a3a5c"/>
          <w:sz w:val="24"/>
          <w:szCs w:val="24"/>
        </w:rPr>
        <w:t xml:space="preserve">7. </w:t>
      </w:r>
      <w:r>
        <w:rPr>
          <w:rFonts w:ascii="Georgia" w:cs="Georgia" w:eastAsia="Georgia" w:hAnsi="Georgia"/>
          <w:b/>
          <w:bCs/>
          <w:color w:val="1a3a5c"/>
          <w:sz w:val="24"/>
          <w:szCs w:val="24"/>
        </w:rPr>
        <w:t xml:space="preserve">Force majeure</w:t>
      </w:r>
    </w:p>
    <w:p>
      <w:pPr>
        <w:spacing w:after="120" w:before="0"/>
        <w:jc w:val="left"/>
      </w:pPr>
      <w:r>
        <w:rPr>
          <w:rFonts w:ascii="Georgia" w:cs="Georgia" w:eastAsia="Georgia" w:hAnsi="Georgia"/>
          <w:sz w:val="21"/>
          <w:szCs w:val="21"/>
        </w:rPr>
        <w:t xml:space="preserve">Neither Party is liable for any failure or delay in performance caused by circumstances beyond its reasonable control, including natural disaster, pandemic, government action, civil unrest, or failure of public infrastructure or utilities. The affected Party shall notify the other as soon as reasonably possible, and the Parties shall agree a revised schedule for any affected Sessions in good faith.</w:t>
      </w:r>
    </w:p>
    <w:p>
      <w:pPr>
        <w:pStyle w:val="Heading1"/>
        <w:spacing w:after="140" w:before="320"/>
      </w:pPr>
      <w:r>
        <w:rPr>
          <w:rFonts w:ascii="Georgia" w:cs="Georgia" w:eastAsia="Georgia" w:hAnsi="Georgia"/>
          <w:b/>
          <w:bCs/>
          <w:color w:val="1a3a5c"/>
          <w:sz w:val="24"/>
          <w:szCs w:val="24"/>
        </w:rPr>
        <w:t xml:space="preserve">8. </w:t>
      </w:r>
      <w:r>
        <w:rPr>
          <w:rFonts w:ascii="Georgia" w:cs="Georgia" w:eastAsia="Georgia" w:hAnsi="Georgia"/>
          <w:b/>
          <w:bCs/>
          <w:color w:val="1a3a5c"/>
          <w:sz w:val="24"/>
          <w:szCs w:val="24"/>
        </w:rPr>
        <w:t xml:space="preserve">Group size, registration and substitutions</w:t>
      </w:r>
    </w:p>
    <w:p>
      <w:pPr>
        <w:spacing w:after="120" w:before="0"/>
        <w:jc w:val="left"/>
      </w:pPr>
      <w:r>
        <w:rPr>
          <w:rFonts w:ascii="Georgia" w:cs="Georgia" w:eastAsia="Georgia" w:hAnsi="Georgia"/>
          <w:sz w:val="21"/>
          <w:szCs w:val="21"/>
        </w:rPr>
        <w:t xml:space="preserve">This is a private, closed-group programme for up to 10 Participants, as set out in Schedule B.</w:t>
      </w:r>
    </w:p>
    <w:p>
      <w:pPr>
        <w:spacing w:after="120" w:before="0"/>
        <w:jc w:val="left"/>
      </w:pPr>
      <w:r>
        <w:rPr>
          <w:rFonts w:ascii="Georgia" w:cs="Georgia" w:eastAsia="Georgia" w:hAnsi="Georgia"/>
          <w:sz w:val="21"/>
          <w:szCs w:val="21"/>
        </w:rPr>
        <w:t xml:space="preserve">The Participant list is fixed as at the Confirmation Date. Substitutions of named Participants are permitted up to the start of Session 1, on notice to IFM. Registration is mandatory for every Participant.</w:t>
      </w:r>
    </w:p>
    <w:p>
      <w:pPr>
        <w:spacing w:after="120" w:before="0"/>
        <w:jc w:val="left"/>
      </w:pPr>
      <w:r>
        <w:rPr>
          <w:rFonts w:ascii="Georgia" w:cs="Georgia" w:eastAsia="Georgia" w:hAnsi="Georgia"/>
          <w:sz w:val="21"/>
          <w:szCs w:val="21"/>
        </w:rPr>
        <w:t xml:space="preserve">A Participant who misses a Session receives that Session's notes, slides and worksheets by email; no catch-up session is owed for an individual absence.</w:t>
      </w:r>
    </w:p>
    <w:p>
      <w:pPr>
        <w:pStyle w:val="Heading1"/>
        <w:spacing w:after="140" w:before="320"/>
      </w:pPr>
      <w:r>
        <w:rPr>
          <w:rFonts w:ascii="Georgia" w:cs="Georgia" w:eastAsia="Georgia" w:hAnsi="Georgia"/>
          <w:b/>
          <w:bCs/>
          <w:color w:val="1a3a5c"/>
          <w:sz w:val="24"/>
          <w:szCs w:val="24"/>
        </w:rPr>
        <w:t xml:space="preserve">9. </w:t>
      </w:r>
      <w:r>
        <w:rPr>
          <w:rFonts w:ascii="Georgia" w:cs="Georgia" w:eastAsia="Georgia" w:hAnsi="Georgia"/>
          <w:b/>
          <w:bCs/>
          <w:color w:val="1a3a5c"/>
          <w:sz w:val="24"/>
          <w:szCs w:val="24"/>
        </w:rPr>
        <w:t xml:space="preserve">Certificate of Completion</w:t>
      </w:r>
    </w:p>
    <w:p>
      <w:pPr>
        <w:spacing w:after="120" w:before="0"/>
        <w:jc w:val="left"/>
      </w:pPr>
      <w:r>
        <w:rPr>
          <w:rFonts w:ascii="Georgia" w:cs="Georgia" w:eastAsia="Georgia" w:hAnsi="Georgia"/>
          <w:sz w:val="21"/>
          <w:szCs w:val="21"/>
        </w:rPr>
        <w:t xml:space="preserve">IFM issues a Certificate of Completion to Participants who attend at least 6 of the 8 Sessions. This Certificate is issued by IFM in its own capacity and is not a SEBI-recognised, government, or university accreditation, and does not constitute a professional or regulatory qualification. Neither Party shall represent it as such.</w:t>
      </w:r>
    </w:p>
    <w:p>
      <w:pPr>
        <w:pStyle w:val="Heading1"/>
        <w:spacing w:after="140" w:before="320"/>
      </w:pPr>
      <w:r>
        <w:rPr>
          <w:rFonts w:ascii="Georgia" w:cs="Georgia" w:eastAsia="Georgia" w:hAnsi="Georgia"/>
          <w:b/>
          <w:bCs/>
          <w:color w:val="1a3a5c"/>
          <w:sz w:val="24"/>
          <w:szCs w:val="24"/>
        </w:rPr>
        <w:t xml:space="preserve">10. </w:t>
      </w:r>
      <w:r>
        <w:rPr>
          <w:rFonts w:ascii="Georgia" w:cs="Georgia" w:eastAsia="Georgia" w:hAnsi="Georgia"/>
          <w:b/>
          <w:bCs/>
          <w:color w:val="1a3a5c"/>
          <w:sz w:val="24"/>
          <w:szCs w:val="24"/>
        </w:rPr>
        <w:t xml:space="preserve">No financial advice; limitation of liability</w:t>
      </w:r>
    </w:p>
    <w:p>
      <w:pPr>
        <w:spacing w:after="120" w:before="0"/>
        <w:jc w:val="left"/>
      </w:pPr>
      <w:r>
        <w:rPr>
          <w:rFonts w:ascii="Georgia" w:cs="Georgia" w:eastAsia="Georgia" w:hAnsi="Georgia"/>
          <w:sz w:val="21"/>
          <w:szCs w:val="21"/>
        </w:rPr>
        <w:t xml:space="preserve">The Programme is educational only and does not constitute investment, tax or legal advice. IFM is not a SEBI-registered Investment Adviser or Research Analyst, gives no personalised recommendations, does not name specific securities or schemes to buy or sell, and receives no commission or referral fee from any financial product or provider.</w:t>
      </w:r>
    </w:p>
    <w:p>
      <w:pPr>
        <w:spacing w:after="120" w:before="0"/>
        <w:jc w:val="left"/>
      </w:pPr>
      <w:r>
        <w:rPr>
          <w:rFonts w:ascii="Georgia" w:cs="Georgia" w:eastAsia="Georgia" w:hAnsi="Georgia"/>
          <w:sz w:val="21"/>
          <w:szCs w:val="21"/>
        </w:rPr>
        <w:t xml:space="preserve">Each Participant's financial and investment decisions are their own. To the maximum extent permitted by law, IFM accepts no liability for any investment outcome, financial loss, or decision made by a Participant in reliance on Programme content.</w:t>
      </w:r>
    </w:p>
    <w:p>
      <w:pPr>
        <w:spacing w:after="120" w:before="0"/>
        <w:jc w:val="left"/>
      </w:pPr>
      <w:r>
        <w:rPr>
          <w:rFonts w:ascii="Georgia" w:cs="Georgia" w:eastAsia="Georgia" w:hAnsi="Georgia"/>
          <w:sz w:val="21"/>
          <w:szCs w:val="21"/>
        </w:rPr>
        <w:t xml:space="preserve">Subject to applicable law, IFM's total aggregate liability to the Client arising out of or in connection with this Agreement, whether in contract, tort or otherwise, shall not exceed the total fees paid by the Client under Schedule B. Neither Party is liable to the other for indirect, incidental or consequential loss.</w:t>
      </w:r>
    </w:p>
    <w:p>
      <w:pPr>
        <w:pStyle w:val="Heading1"/>
        <w:spacing w:after="140" w:before="320"/>
      </w:pPr>
      <w:r>
        <w:rPr>
          <w:rFonts w:ascii="Georgia" w:cs="Georgia" w:eastAsia="Georgia" w:hAnsi="Georgia"/>
          <w:b/>
          <w:bCs/>
          <w:color w:val="1a3a5c"/>
          <w:sz w:val="24"/>
          <w:szCs w:val="24"/>
        </w:rPr>
        <w:t xml:space="preserve">11. </w:t>
      </w:r>
      <w:r>
        <w:rPr>
          <w:rFonts w:ascii="Georgia" w:cs="Georgia" w:eastAsia="Georgia" w:hAnsi="Georgia"/>
          <w:b/>
          <w:bCs/>
          <w:color w:val="1a3a5c"/>
          <w:sz w:val="24"/>
          <w:szCs w:val="24"/>
        </w:rPr>
        <w:t xml:space="preserve">Intellectual property</w:t>
      </w:r>
    </w:p>
    <w:p>
      <w:pPr>
        <w:spacing w:after="120" w:before="0"/>
        <w:jc w:val="left"/>
      </w:pPr>
      <w:r>
        <w:rPr>
          <w:rFonts w:ascii="Georgia" w:cs="Georgia" w:eastAsia="Georgia" w:hAnsi="Georgia"/>
          <w:sz w:val="21"/>
          <w:szCs w:val="21"/>
        </w:rPr>
        <w:t xml:space="preserve">All curriculum content, handbooks, slides, calculators, games and other materials used or provided in the Programme are and remain the intellectual property of IFM (or its licensors). The Client and Participants receive a limited, non-exclusive, non-transferable licence to use the printed handbook for personal, non-commercial reference only.</w:t>
      </w:r>
    </w:p>
    <w:p>
      <w:pPr>
        <w:spacing w:after="120" w:before="0"/>
        <w:jc w:val="left"/>
      </w:pPr>
      <w:r>
        <w:rPr>
          <w:rFonts w:ascii="Georgia" w:cs="Georgia" w:eastAsia="Georgia" w:hAnsi="Georgia"/>
          <w:sz w:val="21"/>
          <w:szCs w:val="21"/>
        </w:rPr>
        <w:t xml:space="preserve">Materials may not be copied, redistributed, recorded, or used to create derivative training content without IFM's prior written consent. Sessions may not be recorded by the Client or any Participant, whether delivered online or in person.</w:t>
      </w:r>
    </w:p>
    <w:p>
      <w:pPr>
        <w:pStyle w:val="Heading1"/>
        <w:spacing w:after="140" w:before="320"/>
      </w:pPr>
      <w:r>
        <w:rPr>
          <w:rFonts w:ascii="Georgia" w:cs="Georgia" w:eastAsia="Georgia" w:hAnsi="Georgia"/>
          <w:b/>
          <w:bCs/>
          <w:color w:val="1a3a5c"/>
          <w:sz w:val="24"/>
          <w:szCs w:val="24"/>
        </w:rPr>
        <w:t xml:space="preserve">12. </w:t>
      </w:r>
      <w:r>
        <w:rPr>
          <w:rFonts w:ascii="Georgia" w:cs="Georgia" w:eastAsia="Georgia" w:hAnsi="Georgia"/>
          <w:b/>
          <w:bCs/>
          <w:color w:val="1a3a5c"/>
          <w:sz w:val="24"/>
          <w:szCs w:val="24"/>
        </w:rPr>
        <w:t xml:space="preserve">Confidentiality and data protection</w:t>
      </w:r>
    </w:p>
    <w:p>
      <w:pPr>
        <w:spacing w:after="120" w:before="0"/>
        <w:jc w:val="left"/>
      </w:pPr>
      <w:r>
        <w:rPr>
          <w:rFonts w:ascii="Georgia" w:cs="Georgia" w:eastAsia="Georgia" w:hAnsi="Georgia"/>
          <w:sz w:val="21"/>
          <w:szCs w:val="21"/>
        </w:rPr>
        <w:t xml:space="preserve">Each Party shall keep confidential any non-public information disclosed by the other in connection with this Agreement, and use it solely to perform its obligations under this Agreement.</w:t>
      </w:r>
    </w:p>
    <w:p>
      <w:pPr>
        <w:spacing w:after="120" w:before="0"/>
        <w:jc w:val="left"/>
      </w:pPr>
      <w:r>
        <w:rPr>
          <w:rFonts w:ascii="Georgia" w:cs="Georgia" w:eastAsia="Georgia" w:hAnsi="Georgia"/>
          <w:sz w:val="21"/>
          <w:szCs w:val="21"/>
        </w:rPr>
        <w:t xml:space="preserve">Participant registration data (name, contact details, and any other information collected at registration) is collected and used by IFM solely to plan, deliver and report on the Programme — including the pre/post survey, attendance report and close-out note described in Schedule A — and is not shared with third parties or used for any other purpose, in accordance with the Digital Personal Data Protection Act, 2023.</w:t>
      </w:r>
    </w:p>
    <w:p>
      <w:pPr>
        <w:pStyle w:val="Heading1"/>
        <w:spacing w:after="140" w:before="320"/>
      </w:pPr>
      <w:r>
        <w:rPr>
          <w:rFonts w:ascii="Georgia" w:cs="Georgia" w:eastAsia="Georgia" w:hAnsi="Georgia"/>
          <w:b/>
          <w:bCs/>
          <w:color w:val="1a3a5c"/>
          <w:sz w:val="24"/>
          <w:szCs w:val="24"/>
        </w:rPr>
        <w:t xml:space="preserve">13. </w:t>
      </w:r>
      <w:r>
        <w:rPr>
          <w:rFonts w:ascii="Georgia" w:cs="Georgia" w:eastAsia="Georgia" w:hAnsi="Georgia"/>
          <w:b/>
          <w:bCs/>
          <w:color w:val="1a3a5c"/>
          <w:sz w:val="24"/>
          <w:szCs w:val="24"/>
        </w:rPr>
        <w:t xml:space="preserve">Marketing, testimonials and photography consent</w:t>
      </w:r>
    </w:p>
    <w:p>
      <w:pPr>
        <w:spacing w:after="120" w:before="0"/>
        <w:jc w:val="left"/>
      </w:pPr>
      <w:r>
        <w:rPr>
          <w:rFonts w:ascii="Georgia" w:cs="Georgia" w:eastAsia="Georgia" w:hAnsi="Georgia"/>
          <w:sz w:val="21"/>
          <w:szCs w:val="21"/>
        </w:rPr>
        <w:t xml:space="preserve">IFM may photograph or film Programme sessions and use such material, together with Participant testimonials, in its marketing and sales collateral (including but not limited to proposals, its website, and social media), but only where the individual Participant has given prior written, opt-in consent via the registration form or by separate written confirmation.</w:t>
      </w:r>
    </w:p>
    <w:p>
      <w:pPr>
        <w:spacing w:after="120" w:before="0"/>
        <w:jc w:val="left"/>
      </w:pPr>
      <w:r>
        <w:rPr>
          <w:rFonts w:ascii="Georgia" w:cs="Georgia" w:eastAsia="Georgia" w:hAnsi="Georgia"/>
          <w:sz w:val="21"/>
          <w:szCs w:val="21"/>
        </w:rPr>
        <w:t xml:space="preserve">For the avoidance of doubt, the Parties confirm that written consent has been obtained from the Participants named as testimonials in the Proposal (Priyanka Karnavat, Shirin Malkani, Shivani Sheth, Priti Jajodia and Saudamini Agarwal) to use their name, quote and likeness in IFM's external sales and marketing collateral generally, and not solely on IFM's Instagram account.</w:t>
      </w:r>
    </w:p>
    <w:p>
      <w:pPr>
        <w:spacing w:after="120" w:before="0"/>
        <w:jc w:val="left"/>
      </w:pPr>
      <w:r>
        <w:rPr>
          <w:rFonts w:ascii="Georgia" w:cs="Georgia" w:eastAsia="Georgia" w:hAnsi="Georgia"/>
          <w:sz w:val="21"/>
          <w:szCs w:val="21"/>
        </w:rPr>
        <w:t xml:space="preserve">A Participant who does not wish to be photographed, filmed, or featured may inform IFM at or before registration, and shall be excluded from such use.</w:t>
      </w:r>
    </w:p>
    <w:p>
      <w:pPr>
        <w:pStyle w:val="Heading1"/>
        <w:spacing w:after="140" w:before="320"/>
      </w:pPr>
      <w:r>
        <w:rPr>
          <w:rFonts w:ascii="Georgia" w:cs="Georgia" w:eastAsia="Georgia" w:hAnsi="Georgia"/>
          <w:b/>
          <w:bCs/>
          <w:color w:val="1a3a5c"/>
          <w:sz w:val="24"/>
          <w:szCs w:val="24"/>
        </w:rPr>
        <w:t xml:space="preserve">14. </w:t>
      </w:r>
      <w:r>
        <w:rPr>
          <w:rFonts w:ascii="Georgia" w:cs="Georgia" w:eastAsia="Georgia" w:hAnsi="Georgia"/>
          <w:b/>
          <w:bCs/>
          <w:color w:val="1a3a5c"/>
          <w:sz w:val="24"/>
          <w:szCs w:val="24"/>
        </w:rPr>
        <w:t xml:space="preserve">Relationship of the parties</w:t>
      </w:r>
    </w:p>
    <w:p>
      <w:pPr>
        <w:spacing w:after="120" w:before="0"/>
        <w:jc w:val="left"/>
      </w:pPr>
      <w:r>
        <w:rPr>
          <w:rFonts w:ascii="Georgia" w:cs="Georgia" w:eastAsia="Georgia" w:hAnsi="Georgia"/>
          <w:sz w:val="21"/>
          <w:szCs w:val="21"/>
        </w:rPr>
        <w:t xml:space="preserve">IFM is an independent contractor. Nothing in this Agreement creates a partnership, joint venture, agency or employment relationship between the Parties, or between IFM (or the Facilitator) and the Client.</w:t>
      </w:r>
    </w:p>
    <w:p>
      <w:pPr>
        <w:pStyle w:val="Heading1"/>
        <w:spacing w:after="140" w:before="320"/>
      </w:pPr>
      <w:r>
        <w:rPr>
          <w:rFonts w:ascii="Georgia" w:cs="Georgia" w:eastAsia="Georgia" w:hAnsi="Georgia"/>
          <w:b/>
          <w:bCs/>
          <w:color w:val="1a3a5c"/>
          <w:sz w:val="24"/>
          <w:szCs w:val="24"/>
        </w:rPr>
        <w:t xml:space="preserve">15. </w:t>
      </w:r>
      <w:r>
        <w:rPr>
          <w:rFonts w:ascii="Georgia" w:cs="Georgia" w:eastAsia="Georgia" w:hAnsi="Georgia"/>
          <w:b/>
          <w:bCs/>
          <w:color w:val="1a3a5c"/>
          <w:sz w:val="24"/>
          <w:szCs w:val="24"/>
        </w:rPr>
        <w:t xml:space="preserve">Term and termination</w:t>
      </w:r>
    </w:p>
    <w:p>
      <w:pPr>
        <w:spacing w:after="120" w:before="0"/>
        <w:jc w:val="left"/>
      </w:pPr>
      <w:r>
        <w:rPr>
          <w:rFonts w:ascii="Georgia" w:cs="Georgia" w:eastAsia="Georgia" w:hAnsi="Georgia"/>
          <w:sz w:val="21"/>
          <w:szCs w:val="21"/>
        </w:rPr>
        <w:t xml:space="preserve">This Agreement commences on the Effective Date and continues until the Programme is completed or the Agreement is terminated earlier under Clause 5 (Client cancellation and refunds) or this Clause 15.</w:t>
      </w:r>
    </w:p>
    <w:p>
      <w:pPr>
        <w:spacing w:after="120" w:before="0"/>
        <w:jc w:val="left"/>
      </w:pPr>
      <w:r>
        <w:rPr>
          <w:rFonts w:ascii="Georgia" w:cs="Georgia" w:eastAsia="Georgia" w:hAnsi="Georgia"/>
          <w:sz w:val="21"/>
          <w:szCs w:val="21"/>
        </w:rPr>
        <w:t xml:space="preserve">Either Party may terminate this Agreement immediately on written notice if the other Party commits a material breach that is not remedied within 14 days of being notified in writing, or becomes insolvent.</w:t>
      </w:r>
    </w:p>
    <w:p>
      <w:pPr>
        <w:spacing w:after="120" w:before="0"/>
        <w:jc w:val="left"/>
      </w:pPr>
      <w:r>
        <w:rPr>
          <w:rFonts w:ascii="Georgia" w:cs="Georgia" w:eastAsia="Georgia" w:hAnsi="Georgia"/>
          <w:sz w:val="21"/>
          <w:szCs w:val="21"/>
        </w:rPr>
        <w:t xml:space="preserve">Clauses 5, 10, 11, 12, 13 and 17 survive termination or expiry of this Agreement.</w:t>
      </w:r>
    </w:p>
    <w:p>
      <w:pPr>
        <w:pStyle w:val="Heading1"/>
        <w:spacing w:after="140" w:before="320"/>
      </w:pPr>
      <w:r>
        <w:rPr>
          <w:rFonts w:ascii="Georgia" w:cs="Georgia" w:eastAsia="Georgia" w:hAnsi="Georgia"/>
          <w:b/>
          <w:bCs/>
          <w:color w:val="1a3a5c"/>
          <w:sz w:val="24"/>
          <w:szCs w:val="24"/>
        </w:rPr>
        <w:t xml:space="preserve">16. </w:t>
      </w:r>
      <w:r>
        <w:rPr>
          <w:rFonts w:ascii="Georgia" w:cs="Georgia" w:eastAsia="Georgia" w:hAnsi="Georgia"/>
          <w:b/>
          <w:bCs/>
          <w:color w:val="1a3a5c"/>
          <w:sz w:val="24"/>
          <w:szCs w:val="24"/>
        </w:rPr>
        <w:t xml:space="preserve">Notices</w:t>
      </w:r>
    </w:p>
    <w:p>
      <w:pPr>
        <w:spacing w:after="120" w:before="0"/>
        <w:jc w:val="left"/>
      </w:pPr>
      <w:r>
        <w:rPr>
          <w:rFonts w:ascii="Georgia" w:cs="Georgia" w:eastAsia="Georgia" w:hAnsi="Georgia"/>
          <w:sz w:val="21"/>
          <w:szCs w:val="21"/>
        </w:rPr>
        <w:t xml:space="preserve">Notices under this Agreement shall be in writing and sent by email to the addresses below (or such other address as either Party notifies in writing), and are deemed received the next Business Day.</w:t>
      </w:r>
    </w:p>
    <w:p>
      <w:pPr>
        <w:spacing w:after="60" w:before="0"/>
        <w:jc w:val="left"/>
      </w:pPr>
      <w:r>
        <w:rPr>
          <w:rFonts w:ascii="Georgia" w:cs="Georgia" w:eastAsia="Georgia" w:hAnsi="Georgia"/>
          <w:sz w:val="21"/>
          <w:szCs w:val="21"/>
        </w:rPr>
        <w:t xml:space="preserve">For IFM: Hiral Goel, Founder — hiral@investingformummies.com. Programme coordination: Asba — +91 88987 03415.</w:t>
      </w:r>
    </w:p>
    <w:p>
      <w:pPr>
        <w:spacing w:after="120" w:before="0"/>
        <w:jc w:val="left"/>
      </w:pPr>
      <w:r>
        <w:rPr>
          <w:rFonts w:ascii="Georgia" w:cs="Georgia" w:eastAsia="Georgia" w:hAnsi="Georgia"/>
          <w:sz w:val="21"/>
          <w:szCs w:val="21"/>
        </w:rPr>
        <w:t xml:space="preserve">For the Client: [Client contact name, title and email].</w:t>
      </w:r>
    </w:p>
    <w:p>
      <w:pPr>
        <w:pStyle w:val="Heading1"/>
        <w:spacing w:after="140" w:before="320"/>
      </w:pPr>
      <w:r>
        <w:rPr>
          <w:rFonts w:ascii="Georgia" w:cs="Georgia" w:eastAsia="Georgia" w:hAnsi="Georgia"/>
          <w:b/>
          <w:bCs/>
          <w:color w:val="1a3a5c"/>
          <w:sz w:val="24"/>
          <w:szCs w:val="24"/>
        </w:rPr>
        <w:t xml:space="preserve">17. </w:t>
      </w:r>
      <w:r>
        <w:rPr>
          <w:rFonts w:ascii="Georgia" w:cs="Georgia" w:eastAsia="Georgia" w:hAnsi="Georgia"/>
          <w:b/>
          <w:bCs/>
          <w:color w:val="1a3a5c"/>
          <w:sz w:val="24"/>
          <w:szCs w:val="24"/>
        </w:rPr>
        <w:t xml:space="preserve">Governing law and dispute resolution</w:t>
      </w:r>
    </w:p>
    <w:p>
      <w:pPr>
        <w:spacing w:after="120" w:before="0"/>
        <w:jc w:val="left"/>
      </w:pPr>
      <w:r>
        <w:rPr>
          <w:rFonts w:ascii="Georgia" w:cs="Georgia" w:eastAsia="Georgia" w:hAnsi="Georgia"/>
          <w:sz w:val="21"/>
          <w:szCs w:val="21"/>
        </w:rPr>
        <w:t xml:space="preserve">This Agreement is governed by the laws of India. The Parties shall first attempt to resolve any dispute by good-faith discussion between the Founder (or her nominee) and the Client's programme contact.</w:t>
      </w:r>
    </w:p>
    <w:p>
      <w:pPr>
        <w:spacing w:after="120" w:before="0"/>
        <w:jc w:val="left"/>
      </w:pPr>
      <w:r>
        <w:rPr>
          <w:rFonts w:ascii="Georgia" w:cs="Georgia" w:eastAsia="Georgia" w:hAnsi="Georgia"/>
          <w:sz w:val="21"/>
          <w:szCs w:val="21"/>
        </w:rPr>
        <w:t xml:space="preserve">Any dispute not resolved within 30 days of being raised shall be subject to the exclusive jurisdiction of the courts at Mumbai, Maharashtra. [Alternative: the Parties may instead agree to refer the dispute to arbitration by a sole arbitrator in Mumbai under the Arbitration and Conciliation Act, 1996 — confirm which mechanism before use.]</w:t>
      </w:r>
    </w:p>
    <w:p>
      <w:pPr>
        <w:pStyle w:val="Heading1"/>
        <w:spacing w:after="140" w:before="320"/>
      </w:pPr>
      <w:r>
        <w:rPr>
          <w:rFonts w:ascii="Georgia" w:cs="Georgia" w:eastAsia="Georgia" w:hAnsi="Georgia"/>
          <w:b/>
          <w:bCs/>
          <w:color w:val="1a3a5c"/>
          <w:sz w:val="24"/>
          <w:szCs w:val="24"/>
        </w:rPr>
        <w:t xml:space="preserve">18. </w:t>
      </w:r>
      <w:r>
        <w:rPr>
          <w:rFonts w:ascii="Georgia" w:cs="Georgia" w:eastAsia="Georgia" w:hAnsi="Georgia"/>
          <w:b/>
          <w:bCs/>
          <w:color w:val="1a3a5c"/>
          <w:sz w:val="24"/>
          <w:szCs w:val="24"/>
        </w:rPr>
        <w:t xml:space="preserve">Entire agreement; precedence</w:t>
      </w:r>
    </w:p>
    <w:p>
      <w:pPr>
        <w:spacing w:after="120" w:before="0"/>
        <w:jc w:val="left"/>
      </w:pPr>
      <w:r>
        <w:rPr>
          <w:rFonts w:ascii="Georgia" w:cs="Georgia" w:eastAsia="Georgia" w:hAnsi="Georgia"/>
          <w:sz w:val="21"/>
          <w:szCs w:val="21"/>
        </w:rPr>
        <w:t xml:space="preserve">This Agreement, together with its Schedules, constitutes the entire agreement between the Parties regarding the Programme and supersedes the Proposal and all prior discussions, in each case as amended by any written change order signed by both Parties. Where this Agreement conflicts with the Proposal, this Agreement prevails.</w:t>
      </w:r>
    </w:p>
    <w:p>
      <w:pPr>
        <w:pStyle w:val="Heading1"/>
        <w:spacing w:after="140" w:before="320"/>
      </w:pPr>
      <w:r>
        <w:rPr>
          <w:rFonts w:ascii="Georgia" w:cs="Georgia" w:eastAsia="Georgia" w:hAnsi="Georgia"/>
          <w:b/>
          <w:bCs/>
          <w:color w:val="1a3a5c"/>
          <w:sz w:val="24"/>
          <w:szCs w:val="24"/>
        </w:rPr>
        <w:t xml:space="preserve">19. </w:t>
      </w:r>
      <w:r>
        <w:rPr>
          <w:rFonts w:ascii="Georgia" w:cs="Georgia" w:eastAsia="Georgia" w:hAnsi="Georgia"/>
          <w:b/>
          <w:bCs/>
          <w:color w:val="1a3a5c"/>
          <w:sz w:val="24"/>
          <w:szCs w:val="24"/>
        </w:rPr>
        <w:t xml:space="preserve">Miscellaneous</w:t>
      </w:r>
    </w:p>
    <w:p>
      <w:pPr>
        <w:spacing w:after="120" w:before="0"/>
        <w:jc w:val="left"/>
      </w:pPr>
      <w:r>
        <w:rPr>
          <w:rFonts w:ascii="Georgia" w:cs="Georgia" w:eastAsia="Georgia" w:hAnsi="Georgia"/>
          <w:sz w:val="21"/>
          <w:szCs w:val="21"/>
        </w:rPr>
        <w:t xml:space="preserve">If any provision of this Agreement is found unenforceable, the remaining provisions continue in full force.</w:t>
      </w:r>
    </w:p>
    <w:p>
      <w:pPr>
        <w:spacing w:after="120" w:before="0"/>
        <w:jc w:val="left"/>
      </w:pPr>
      <w:r>
        <w:rPr>
          <w:rFonts w:ascii="Georgia" w:cs="Georgia" w:eastAsia="Georgia" w:hAnsi="Georgia"/>
          <w:sz w:val="21"/>
          <w:szCs w:val="21"/>
        </w:rPr>
        <w:t xml:space="preserve">Neither Party may assign this Agreement without the other's prior written consent.</w:t>
      </w:r>
    </w:p>
    <w:p>
      <w:pPr>
        <w:spacing w:after="120" w:before="0"/>
        <w:jc w:val="left"/>
      </w:pPr>
      <w:r>
        <w:rPr>
          <w:rFonts w:ascii="Georgia" w:cs="Georgia" w:eastAsia="Georgia" w:hAnsi="Georgia"/>
          <w:sz w:val="21"/>
          <w:szCs w:val="21"/>
        </w:rPr>
        <w:t xml:space="preserve">This Agreement may be amended only by a written document signed by both Parties, and may be executed in counterparts (including by electronic signature), each of which is deemed an original.</w:t>
      </w:r>
    </w:p>
    <w:p>
      <w:r>
        <w:br w:type="page"/>
      </w:r>
    </w:p>
    <w:p>
      <w:pPr>
        <w:pStyle w:val="Heading1"/>
        <w:spacing w:after="200" w:before="200"/>
      </w:pPr>
      <w:r>
        <w:rPr>
          <w:rFonts w:ascii="Georgia" w:cs="Georgia" w:eastAsia="Georgia" w:hAnsi="Georgia"/>
          <w:b/>
          <w:bCs/>
          <w:color w:val="1a3a5c"/>
          <w:sz w:val="24"/>
          <w:szCs w:val="24"/>
        </w:rPr>
        <w:t xml:space="preserve">Signatures</w:t>
      </w:r>
    </w:p>
    <w:p>
      <w:pPr>
        <w:spacing w:after="120" w:before="0"/>
        <w:jc w:val="left"/>
      </w:pPr>
      <w:r>
        <w:rPr>
          <w:rFonts w:ascii="Georgia" w:cs="Georgia" w:eastAsia="Georgia" w:hAnsi="Georgia"/>
          <w:sz w:val="21"/>
          <w:szCs w:val="21"/>
        </w:rPr>
        <w:t xml:space="preserve">In witness whereof, the Parties have executed this Agreement as of the Effective Date.</w:t>
      </w:r>
    </w:p>
    <w:p>
      <w:pPr>
        <w:spacing w:after="200" w:before="300"/>
        <w:jc w:val="left"/>
      </w:pPr>
      <w:r>
        <w:rPr>
          <w:rFonts w:ascii="Georgia" w:cs="Georgia" w:eastAsia="Georgia" w:hAnsi="Georgia"/>
          <w:b/>
          <w:bCs/>
          <w:sz w:val="21"/>
          <w:szCs w:val="21"/>
        </w:rPr>
        <w:t xml:space="preserve">For and on behalf of Mooga Tech Solutions India Private Limited (Investing for Mummies)</w:t>
      </w:r>
    </w:p>
    <w:p>
      <w:pPr>
        <w:spacing w:after="200" w:before="0"/>
        <w:jc w:val="left"/>
      </w:pPr>
      <w:r>
        <w:rPr>
          <w:rFonts w:ascii="Georgia" w:cs="Georgia" w:eastAsia="Georgia" w:hAnsi="Georgia"/>
          <w:sz w:val="21"/>
          <w:szCs w:val="21"/>
        </w:rPr>
        <w:t xml:space="preserve">Signature: </w:t>
      </w:r>
      <w:r>
        <w:rPr>
          <w:rFonts w:ascii="Georgia" w:cs="Georgia" w:eastAsia="Georgia" w:hAnsi="Georgia"/>
          <w:sz w:val="21"/>
          <w:szCs w:val="21"/>
        </w:rPr>
        <w:t xml:space="preserve">_______________________________</w:t>
      </w:r>
    </w:p>
    <w:p>
      <w:pPr>
        <w:spacing w:after="120" w:before="0"/>
        <w:jc w:val="left"/>
      </w:pPr>
      <w:r>
        <w:rPr>
          <w:rFonts w:ascii="Georgia" w:cs="Georgia" w:eastAsia="Georgia" w:hAnsi="Georgia"/>
          <w:sz w:val="21"/>
          <w:szCs w:val="21"/>
        </w:rPr>
        <w:t xml:space="preserve">Name: </w:t>
      </w:r>
      <w:r>
        <w:rPr>
          <w:rFonts w:ascii="Georgia" w:cs="Georgia" w:eastAsia="Georgia" w:hAnsi="Georgia"/>
          <w:sz w:val="21"/>
          <w:szCs w:val="21"/>
        </w:rPr>
        <w:t xml:space="preserve">Hiral Goel</w:t>
      </w:r>
    </w:p>
    <w:p>
      <w:pPr>
        <w:spacing w:after="120" w:before="0"/>
        <w:jc w:val="left"/>
      </w:pPr>
      <w:r>
        <w:rPr>
          <w:rFonts w:ascii="Georgia" w:cs="Georgia" w:eastAsia="Georgia" w:hAnsi="Georgia"/>
          <w:sz w:val="21"/>
          <w:szCs w:val="21"/>
        </w:rPr>
        <w:t xml:space="preserve">Title: </w:t>
      </w:r>
      <w:r>
        <w:rPr>
          <w:rFonts w:ascii="Georgia" w:cs="Georgia" w:eastAsia="Georgia" w:hAnsi="Georgia"/>
          <w:sz w:val="21"/>
          <w:szCs w:val="21"/>
        </w:rPr>
        <w:t xml:space="preserve">_______________________________</w:t>
      </w:r>
    </w:p>
    <w:p>
      <w:pPr>
        <w:spacing w:after="120" w:before="0"/>
        <w:jc w:val="left"/>
      </w:pPr>
      <w:r>
        <w:rPr>
          <w:rFonts w:ascii="Georgia" w:cs="Georgia" w:eastAsia="Georgia" w:hAnsi="Georgia"/>
          <w:sz w:val="21"/>
          <w:szCs w:val="21"/>
        </w:rPr>
        <w:t xml:space="preserve">Date: </w:t>
      </w:r>
      <w:r>
        <w:rPr>
          <w:rFonts w:ascii="Georgia" w:cs="Georgia" w:eastAsia="Georgia" w:hAnsi="Georgia"/>
          <w:sz w:val="21"/>
          <w:szCs w:val="21"/>
        </w:rPr>
        <w:t xml:space="preserve">_______________________________</w:t>
      </w:r>
    </w:p>
    <w:p>
      <w:pPr>
        <w:spacing w:after="200" w:before="300"/>
        <w:jc w:val="left"/>
      </w:pPr>
      <w:r>
        <w:rPr>
          <w:rFonts w:ascii="Georgia" w:cs="Georgia" w:eastAsia="Georgia" w:hAnsi="Georgia"/>
          <w:b/>
          <w:bCs/>
          <w:sz w:val="21"/>
          <w:szCs w:val="21"/>
        </w:rPr>
        <w:t xml:space="preserve">For and on behalf of [Client legal entity name]</w:t>
      </w:r>
    </w:p>
    <w:p>
      <w:pPr>
        <w:spacing w:after="200" w:before="0"/>
        <w:jc w:val="left"/>
      </w:pPr>
      <w:r>
        <w:rPr>
          <w:rFonts w:ascii="Georgia" w:cs="Georgia" w:eastAsia="Georgia" w:hAnsi="Georgia"/>
          <w:sz w:val="21"/>
          <w:szCs w:val="21"/>
        </w:rPr>
        <w:t xml:space="preserve">Signature: </w:t>
      </w:r>
      <w:r>
        <w:rPr>
          <w:rFonts w:ascii="Georgia" w:cs="Georgia" w:eastAsia="Georgia" w:hAnsi="Georgia"/>
          <w:sz w:val="21"/>
          <w:szCs w:val="21"/>
        </w:rPr>
        <w:t xml:space="preserve">_______________________________</w:t>
      </w:r>
    </w:p>
    <w:p>
      <w:pPr>
        <w:spacing w:after="120" w:before="0"/>
        <w:jc w:val="left"/>
      </w:pPr>
      <w:r>
        <w:rPr>
          <w:rFonts w:ascii="Georgia" w:cs="Georgia" w:eastAsia="Georgia" w:hAnsi="Georgia"/>
          <w:sz w:val="21"/>
          <w:szCs w:val="21"/>
        </w:rPr>
        <w:t xml:space="preserve">Name: </w:t>
      </w:r>
      <w:r>
        <w:rPr>
          <w:rFonts w:ascii="Georgia" w:cs="Georgia" w:eastAsia="Georgia" w:hAnsi="Georgia"/>
          <w:sz w:val="21"/>
          <w:szCs w:val="21"/>
        </w:rPr>
        <w:t xml:space="preserve">[Client signatory name]</w:t>
      </w:r>
    </w:p>
    <w:p>
      <w:pPr>
        <w:spacing w:after="120" w:before="0"/>
        <w:jc w:val="left"/>
      </w:pPr>
      <w:r>
        <w:rPr>
          <w:rFonts w:ascii="Georgia" w:cs="Georgia" w:eastAsia="Georgia" w:hAnsi="Georgia"/>
          <w:sz w:val="21"/>
          <w:szCs w:val="21"/>
        </w:rPr>
        <w:t xml:space="preserve">Title: </w:t>
      </w:r>
      <w:r>
        <w:rPr>
          <w:rFonts w:ascii="Georgia" w:cs="Georgia" w:eastAsia="Georgia" w:hAnsi="Georgia"/>
          <w:sz w:val="21"/>
          <w:szCs w:val="21"/>
        </w:rPr>
        <w:t xml:space="preserve">_______________________________</w:t>
      </w:r>
    </w:p>
    <w:p>
      <w:pPr>
        <w:spacing w:after="120" w:before="0"/>
        <w:jc w:val="left"/>
      </w:pPr>
      <w:r>
        <w:rPr>
          <w:rFonts w:ascii="Georgia" w:cs="Georgia" w:eastAsia="Georgia" w:hAnsi="Georgia"/>
          <w:sz w:val="21"/>
          <w:szCs w:val="21"/>
        </w:rPr>
        <w:t xml:space="preserve">Date: </w:t>
      </w:r>
      <w:r>
        <w:rPr>
          <w:rFonts w:ascii="Georgia" w:cs="Georgia" w:eastAsia="Georgia" w:hAnsi="Georgia"/>
          <w:sz w:val="21"/>
          <w:szCs w:val="21"/>
        </w:rPr>
        <w:t xml:space="preserve">_______________________________</w:t>
      </w:r>
    </w:p>
    <w:p>
      <w:r>
        <w:br w:type="page"/>
      </w:r>
    </w:p>
    <w:p>
      <w:pPr>
        <w:pStyle w:val="Heading1"/>
        <w:spacing w:after="100" w:before="200"/>
      </w:pPr>
      <w:r>
        <w:rPr>
          <w:rFonts w:ascii="Georgia" w:cs="Georgia" w:eastAsia="Georgia" w:hAnsi="Georgia"/>
          <w:b/>
          <w:bCs/>
          <w:color w:val="1a3a5c"/>
          <w:sz w:val="24"/>
          <w:szCs w:val="24"/>
        </w:rPr>
        <w:t xml:space="preserve">Schedule A — Curriculum</w:t>
      </w:r>
    </w:p>
    <w:p>
      <w:pPr>
        <w:spacing w:after="200" w:before="0"/>
        <w:jc w:val="left"/>
      </w:pPr>
      <w:r>
        <w:rPr>
          <w:rFonts w:ascii="Georgia" w:cs="Georgia" w:eastAsia="Georgia" w:hAnsi="Georgia"/>
          <w:i/>
          <w:iCs/>
          <w:color w:val="5a7d8a"/>
          <w:sz w:val="21"/>
          <w:szCs w:val="21"/>
        </w:rPr>
        <w:t xml:space="preserve">Eight sessions, approximately two hours each. Most sessions include an interactive game or simulation; participants keep a printed IFM handbook.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5700"/>
      </w:tblGrid>
      <w:tr>
        <w:trPr>
          <w:tblHeader/>
        </w:trPr>
        <w:tc>
          <w:tcPr>
            <w:tcW w:type="dxa" w:w="500"/>
            <w:shd w:fill="eef2f5" w:val="clear"/>
            <w:tcMar>
              <w:top w:type="dxa" w:w="80"/>
              <w:left w:type="dxa" w:w="120"/>
              <w:bottom w:type="dxa" w:w="80"/>
              <w:right w:type="dxa" w:w="120"/>
            </w:tcMar>
            <w:vAlign w:val="center"/>
          </w:tcPr>
          <w:p>
            <w:pPr>
              <w:jc w:val="center"/>
            </w:pPr>
            <w:r>
              <w:rPr>
                <w:rFonts w:ascii="Georgia" w:cs="Georgia" w:eastAsia="Georgia" w:hAnsi="Georgia"/>
                <w:b/>
                <w:bCs/>
                <w:sz w:val="20"/>
                <w:szCs w:val="20"/>
              </w:rPr>
              <w:t xml:space="preserve">#</w:t>
            </w:r>
          </w:p>
        </w:tc>
        <w:tc>
          <w:tcPr>
            <w:tcW w:type="dxa" w:w="2800"/>
            <w:shd w:fill="eef2f5" w:val="clear"/>
            <w:tcMar>
              <w:top w:type="dxa" w:w="80"/>
              <w:left w:type="dxa" w:w="120"/>
              <w:bottom w:type="dxa" w:w="80"/>
              <w:right w:type="dxa" w:w="120"/>
            </w:tcMar>
            <w:vAlign w:val="center"/>
          </w:tcPr>
          <w:p>
            <w:pPr>
              <w:jc w:val="left"/>
            </w:pPr>
            <w:r>
              <w:rPr>
                <w:rFonts w:ascii="Georgia" w:cs="Georgia" w:eastAsia="Georgia" w:hAnsi="Georgia"/>
                <w:b/>
                <w:bCs/>
                <w:sz w:val="20"/>
                <w:szCs w:val="20"/>
              </w:rPr>
              <w:t xml:space="preserve">Session</w:t>
            </w:r>
          </w:p>
        </w:tc>
        <w:tc>
          <w:tcPr>
            <w:tcW w:type="dxa" w:w="5700"/>
            <w:shd w:fill="eef2f5" w:val="clear"/>
            <w:tcMar>
              <w:top w:type="dxa" w:w="80"/>
              <w:left w:type="dxa" w:w="120"/>
              <w:bottom w:type="dxa" w:w="80"/>
              <w:right w:type="dxa" w:w="120"/>
            </w:tcMar>
            <w:vAlign w:val="center"/>
          </w:tcPr>
          <w:p>
            <w:pPr>
              <w:jc w:val="left"/>
            </w:pPr>
            <w:r>
              <w:rPr>
                <w:rFonts w:ascii="Georgia" w:cs="Georgia" w:eastAsia="Georgia" w:hAnsi="Georgia"/>
                <w:b/>
                <w:bCs/>
                <w:sz w:val="20"/>
                <w:szCs w:val="20"/>
              </w:rPr>
              <w:t xml:space="preserve">Topics covered</w:t>
            </w:r>
          </w:p>
        </w:tc>
      </w:tr>
      <w:tr>
        <w:tc>
          <w:tcPr>
            <w:tcW w:type="dxa" w:w="5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01</w:t>
            </w:r>
          </w:p>
        </w:tc>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Principles of Smart Investing</w:t>
            </w:r>
          </w:p>
        </w:tc>
        <w:tc>
          <w:tcPr>
            <w:tcW w:type="dxa" w:w="57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Investor mindset · the three buckets · Rule of 72 · compounding</w:t>
            </w:r>
          </w:p>
        </w:tc>
      </w:tr>
      <w:tr>
        <w:tc>
          <w:tcPr>
            <w:tcW w:type="dxa" w:w="5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02</w:t>
            </w:r>
          </w:p>
        </w:tc>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Protect Before You Grow</w:t>
            </w:r>
          </w:p>
        </w:tc>
        <w:tc>
          <w:tcPr>
            <w:tcW w:type="dxa" w:w="57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Term &amp; health cover · corporate insurance · ULIPs &amp; endowment plans</w:t>
            </w:r>
          </w:p>
        </w:tc>
      </w:tr>
      <w:tr>
        <w:tc>
          <w:tcPr>
            <w:tcW w:type="dxa" w:w="5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03</w:t>
            </w:r>
          </w:p>
        </w:tc>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Understanding Asset Classes</w:t>
            </w:r>
          </w:p>
        </w:tc>
        <w:tc>
          <w:tcPr>
            <w:tcW w:type="dxa" w:w="57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Asset allocation · real estate · REITs · gold &amp; silver</w:t>
            </w:r>
          </w:p>
        </w:tc>
      </w:tr>
      <w:tr>
        <w:tc>
          <w:tcPr>
            <w:tcW w:type="dxa" w:w="5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04</w:t>
            </w:r>
          </w:p>
        </w:tc>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Mutual Funds, Part One</w:t>
            </w:r>
          </w:p>
        </w:tc>
        <w:tc>
          <w:tcPr>
            <w:tcW w:type="dxa" w:w="57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NAV · expense ratio · active vs passive · SIPs, STPs, SWPs</w:t>
            </w:r>
          </w:p>
        </w:tc>
      </w:tr>
      <w:tr>
        <w:tc>
          <w:tcPr>
            <w:tcW w:type="dxa" w:w="5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05</w:t>
            </w:r>
          </w:p>
        </w:tc>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Mutual Funds, Part Two &amp; More</w:t>
            </w:r>
          </w:p>
        </w:tc>
        <w:tc>
          <w:tcPr>
            <w:tcW w:type="dxa" w:w="57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ETFs · PMS · AIFs · intro to stocks and the IPO journey</w:t>
            </w:r>
          </w:p>
        </w:tc>
      </w:tr>
      <w:tr>
        <w:tc>
          <w:tcPr>
            <w:tcW w:type="dxa" w:w="5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06</w:t>
            </w:r>
          </w:p>
        </w:tc>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How the Stock Market Works</w:t>
            </w:r>
          </w:p>
        </w:tc>
        <w:tc>
          <w:tcPr>
            <w:tcW w:type="dxa" w:w="57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Market participants · order types · valuation · price drivers</w:t>
            </w:r>
          </w:p>
        </w:tc>
      </w:tr>
      <w:tr>
        <w:tc>
          <w:tcPr>
            <w:tcW w:type="dxa" w:w="5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07</w:t>
            </w:r>
          </w:p>
        </w:tc>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Stocks, Part Two</w:t>
            </w:r>
          </w:p>
        </w:tc>
        <w:tc>
          <w:tcPr>
            <w:tcW w:type="dxa" w:w="57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Reading price movement · volatility · indices — going deeper into stocks</w:t>
            </w:r>
          </w:p>
        </w:tc>
      </w:tr>
      <w:tr>
        <w:tc>
          <w:tcPr>
            <w:tcW w:type="dxa" w:w="500"/>
            <w:tcMar>
              <w:top w:type="dxa" w:w="80"/>
              <w:left w:type="dxa" w:w="120"/>
              <w:bottom w:type="dxa" w:w="80"/>
              <w:right w:type="dxa" w:w="120"/>
            </w:tcMar>
            <w:vAlign w:val="center"/>
          </w:tcPr>
          <w:p>
            <w:pPr>
              <w:jc w:val="center"/>
            </w:pPr>
            <w:r>
              <w:rPr>
                <w:rFonts w:ascii="Georgia" w:cs="Georgia" w:eastAsia="Georgia" w:hAnsi="Georgia"/>
                <w:b w:val="false"/>
                <w:bCs w:val="false"/>
                <w:sz w:val="20"/>
                <w:szCs w:val="20"/>
              </w:rPr>
              <w:t xml:space="preserve">08</w:t>
            </w:r>
          </w:p>
        </w:tc>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Evaluating Investments &amp; Planning for Goals</w:t>
            </w:r>
          </w:p>
        </w:tc>
        <w:tc>
          <w:tcPr>
            <w:tcW w:type="dxa" w:w="57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CAGR, IRR, XIRR, TWRR · retirement &amp; education planning · course recap</w:t>
            </w:r>
          </w:p>
        </w:tc>
      </w:tr>
    </w:tbl>
    <w:p>
      <w:pPr>
        <w:spacing w:after="120" w:before="200"/>
        <w:jc w:val="left"/>
      </w:pPr>
      <w:r>
        <w:rPr>
          <w:rFonts w:ascii="Georgia" w:cs="Georgia" w:eastAsia="Georgia" w:hAnsi="Georgia"/>
          <w:sz w:val="21"/>
          <w:szCs w:val="21"/>
        </w:rPr>
        <w:t xml:space="preserve">A pre-programme and post-programme confidence self-assessment, session-wise attendance report, anonymised participant feedback summary, and a one-page close-out note are shared with the Client's programme contact after Session 8.</w:t>
      </w:r>
    </w:p>
    <w:p>
      <w:r>
        <w:br w:type="page"/>
      </w:r>
    </w:p>
    <w:p>
      <w:pPr>
        <w:pStyle w:val="Heading1"/>
        <w:spacing w:after="100" w:before="200"/>
      </w:pPr>
      <w:r>
        <w:rPr>
          <w:rFonts w:ascii="Georgia" w:cs="Georgia" w:eastAsia="Georgia" w:hAnsi="Georgia"/>
          <w:b/>
          <w:bCs/>
          <w:color w:val="1a3a5c"/>
          <w:sz w:val="24"/>
          <w:szCs w:val="24"/>
        </w:rPr>
        <w:t xml:space="preserve">Schedule B — Commercial terms</w:t>
      </w:r>
    </w:p>
    <w:p>
      <w:pPr>
        <w:spacing w:after="200" w:before="0"/>
        <w:jc w:val="left"/>
      </w:pPr>
      <w:r>
        <w:rPr>
          <w:rFonts w:ascii="Georgia" w:cs="Georgia" w:eastAsia="Georgia" w:hAnsi="Georgia"/>
          <w:i/>
          <w:iCs/>
          <w:color w:val="5a7d8a"/>
          <w:sz w:val="21"/>
          <w:szCs w:val="21"/>
        </w:rPr>
        <w:t xml:space="preserve">Complete the bracketed fields for this Client before signature.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eef2f5" w:val="clear"/>
            <w:tcMar>
              <w:top w:type="dxa" w:w="80"/>
              <w:left w:type="dxa" w:w="120"/>
              <w:bottom w:type="dxa" w:w="80"/>
              <w:right w:type="dxa" w:w="120"/>
            </w:tcMar>
            <w:vAlign w:val="center"/>
          </w:tcPr>
          <w:p>
            <w:pPr>
              <w:jc w:val="left"/>
            </w:pPr>
            <w:r>
              <w:rPr>
                <w:rFonts w:ascii="Georgia" w:cs="Georgia" w:eastAsia="Georgia" w:hAnsi="Georgia"/>
                <w:b/>
                <w:bCs/>
                <w:sz w:val="20"/>
                <w:szCs w:val="20"/>
              </w:rPr>
              <w:t xml:space="preserve">Term</w:t>
            </w:r>
          </w:p>
        </w:tc>
        <w:tc>
          <w:tcPr>
            <w:tcW w:type="dxa" w:w="6200"/>
            <w:shd w:fill="eef2f5" w:val="clear"/>
            <w:tcMar>
              <w:top w:type="dxa" w:w="80"/>
              <w:left w:type="dxa" w:w="120"/>
              <w:bottom w:type="dxa" w:w="80"/>
              <w:right w:type="dxa" w:w="120"/>
            </w:tcMar>
            <w:vAlign w:val="center"/>
          </w:tcPr>
          <w:p>
            <w:pPr>
              <w:jc w:val="left"/>
            </w:pPr>
            <w:r>
              <w:rPr>
                <w:rFonts w:ascii="Georgia" w:cs="Georgia" w:eastAsia="Georgia" w:hAnsi="Georgia"/>
                <w:b/>
                <w:bCs/>
                <w:sz w:val="20"/>
                <w:szCs w:val="20"/>
              </w:rPr>
              <w:t xml:space="preserve">Detail</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Format</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[Online / At IFM, Nariman Point / At Client location — select one]</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Fee</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[₹1,80,000 / ₹2,10,000 / ₹2,75,000], inclusive of GST, gross of TDS</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Group size</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Up to 10 Participants</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Duration</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8 Sessions · approx. 2 hours each</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Timing</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One 2-hour slot, 3:00–6:00 PM, on the days below</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Schedule</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[Option A: Mon–Thu, 31 Aug–3 Sep &amp; 7–10 Sep 2026 / Option B: Mon/Wed/Fri, 31 Aug, 2, 4, 7, 9, 11, 15 &amp; 16 Sep 2026]</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Registration deadline</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25 August 2026</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Venue (if at Client location)</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[Client to specify]</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Programme contact (Client)</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[Name, title, email, phone]</w:t>
            </w:r>
          </w:p>
        </w:tc>
      </w:tr>
      <w:tr>
        <w:tc>
          <w:tcPr>
            <w:tcW w:type="dxa" w:w="2800"/>
            <w:tcMar>
              <w:top w:type="dxa" w:w="80"/>
              <w:left w:type="dxa" w:w="120"/>
              <w:bottom w:type="dxa" w:w="80"/>
              <w:right w:type="dxa" w:w="120"/>
            </w:tcMar>
            <w:vAlign w:val="center"/>
          </w:tcPr>
          <w:p>
            <w:pPr>
              <w:jc w:val="left"/>
            </w:pPr>
            <w:r>
              <w:rPr>
                <w:rFonts w:ascii="Georgia" w:cs="Georgia" w:eastAsia="Georgia" w:hAnsi="Georgia"/>
                <w:b/>
                <w:bCs/>
                <w:sz w:val="20"/>
                <w:szCs w:val="20"/>
              </w:rPr>
              <w:t xml:space="preserve">Programme contact (IFM)</w:t>
            </w:r>
          </w:p>
        </w:tc>
        <w:tc>
          <w:tcPr>
            <w:tcW w:type="dxa" w:w="6200"/>
            <w:tcMar>
              <w:top w:type="dxa" w:w="80"/>
              <w:left w:type="dxa" w:w="120"/>
              <w:bottom w:type="dxa" w:w="80"/>
              <w:right w:type="dxa" w:w="120"/>
            </w:tcMar>
            <w:vAlign w:val="center"/>
          </w:tcPr>
          <w:p>
            <w:pPr>
              <w:jc w:val="left"/>
            </w:pPr>
            <w:r>
              <w:rPr>
                <w:rFonts w:ascii="Georgia" w:cs="Georgia" w:eastAsia="Georgia" w:hAnsi="Georgia"/>
                <w:b w:val="false"/>
                <w:bCs w:val="false"/>
                <w:sz w:val="20"/>
                <w:szCs w:val="20"/>
              </w:rPr>
              <w:t xml:space="preserve">Asba · +91 88987 03415</w:t>
            </w:r>
          </w:p>
        </w:tc>
      </w:tr>
    </w:tbl>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7d8a"/>
        <w:sz w:val="16"/>
        <w:szCs w:val="16"/>
      </w:rPr>
      <w:t xml:space="preserve">Page </w:t>
    </w:r>
    <w:r>
      <w:rPr>
        <w:rFonts w:ascii="Calibri" w:cs="Calibri" w:eastAsia="Calibri" w:hAnsi="Calibri"/>
        <w:color w:val="5a7d8a"/>
        <w:sz w:val="16"/>
        <w:szCs w:val="16"/>
      </w:rPr>
      <w:fldChar w:fldCharType="begin"/>
      <w:instrText xml:space="preserve">PAGE</w:instrText>
      <w:fldChar w:fldCharType="separate"/>
      <w:fldChar w:fldCharType="end"/>
    </w:r>
    <w:r>
      <w:rPr>
        <w:rFonts w:ascii="Calibri" w:cs="Calibri" w:eastAsia="Calibri" w:hAnsi="Calibri"/>
        <w:color w:val="5a7d8a"/>
        <w:sz w:val="16"/>
        <w:szCs w:val="16"/>
      </w:rPr>
      <w:t xml:space="preserve"> of </w:t>
    </w:r>
    <w:r>
      <w:rPr>
        <w:rFonts w:ascii="Calibri" w:cs="Calibri" w:eastAsia="Calibri" w:hAnsi="Calibri"/>
        <w:color w:val="5a7d8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7d8a"/>
        <w:sz w:val="16"/>
        <w:szCs w:val="16"/>
      </w:rPr>
      <w:t xml:space="preserve">Women &amp; Wealth — Service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2026-08-20T08:31:54.144Z</dcterms:created>
  <dcterms:modified xsi:type="dcterms:W3CDTF">2026-08-20T08:31:54.146Z</dcterms:modified>
</cp:coreProperties>
</file>

<file path=docProps/custom.xml><?xml version="1.0" encoding="utf-8"?>
<Properties xmlns="http://schemas.openxmlformats.org/officeDocument/2006/custom-properties" xmlns:vt="http://schemas.openxmlformats.org/officeDocument/2006/docPropsVTypes"/>
</file>