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DEA8F" w14:textId="77777777" w:rsidR="00EA1E21" w:rsidRPr="00EA1E21" w:rsidRDefault="00EA1E21" w:rsidP="00EA1E21">
      <w:pPr>
        <w:spacing w:before="360" w:after="80"/>
        <w:outlineLvl w:val="1"/>
        <w:rPr>
          <w:rFonts w:ascii="Times New Roman" w:eastAsia="Times New Roman" w:hAnsi="Times New Roman" w:cs="Times New Roman"/>
          <w:b/>
          <w:bCs/>
          <w:color w:val="000000"/>
          <w:sz w:val="36"/>
          <w:szCs w:val="36"/>
          <w:lang w:eastAsia="en-GB"/>
        </w:rPr>
      </w:pPr>
      <w:r w:rsidRPr="00EA1E21">
        <w:rPr>
          <w:rFonts w:ascii="Calibri" w:eastAsia="Times New Roman" w:hAnsi="Calibri" w:cs="Calibri"/>
          <w:b/>
          <w:bCs/>
          <w:color w:val="000000"/>
          <w:sz w:val="34"/>
          <w:szCs w:val="34"/>
          <w:lang w:eastAsia="en-GB"/>
        </w:rPr>
        <w:t>Part 3: Detailed Solutions</w:t>
      </w:r>
    </w:p>
    <w:p w14:paraId="649C5181" w14:textId="77777777" w:rsidR="00EA1E21" w:rsidRPr="00EA1E21" w:rsidRDefault="00EA1E21" w:rsidP="00EA1E21">
      <w:pPr>
        <w:spacing w:before="240" w:after="240"/>
        <w:outlineLvl w:val="2"/>
        <w:rPr>
          <w:rFonts w:ascii="Times New Roman" w:eastAsia="Times New Roman" w:hAnsi="Times New Roman" w:cs="Times New Roman"/>
          <w:b/>
          <w:bCs/>
          <w:color w:val="000000"/>
          <w:sz w:val="27"/>
          <w:szCs w:val="27"/>
          <w:lang w:eastAsia="en-GB"/>
        </w:rPr>
      </w:pPr>
      <w:r w:rsidRPr="00EA1E21">
        <w:rPr>
          <w:rFonts w:ascii="Calibri" w:eastAsia="Times New Roman" w:hAnsi="Calibri" w:cs="Calibri"/>
          <w:b/>
          <w:bCs/>
          <w:color w:val="000000"/>
          <w:sz w:val="26"/>
          <w:szCs w:val="26"/>
          <w:lang w:eastAsia="en-GB"/>
        </w:rPr>
        <w:t>Here are the solutions to the assignment, designed to reinforce the concepts.</w:t>
      </w:r>
    </w:p>
    <w:p w14:paraId="5BEFAEBC" w14:textId="77777777" w:rsidR="00EA1E21" w:rsidRPr="00EA1E21" w:rsidRDefault="00EA1E21" w:rsidP="00EA1E21">
      <w:pPr>
        <w:spacing w:before="280" w:after="80"/>
        <w:outlineLvl w:val="2"/>
        <w:rPr>
          <w:rFonts w:ascii="Times New Roman" w:eastAsia="Times New Roman" w:hAnsi="Times New Roman" w:cs="Times New Roman"/>
          <w:b/>
          <w:bCs/>
          <w:color w:val="000000"/>
          <w:sz w:val="27"/>
          <w:szCs w:val="27"/>
          <w:lang w:eastAsia="en-GB"/>
        </w:rPr>
      </w:pPr>
      <w:r w:rsidRPr="00EA1E21">
        <w:rPr>
          <w:rFonts w:ascii="Calibri" w:eastAsia="Times New Roman" w:hAnsi="Calibri" w:cs="Calibri"/>
          <w:b/>
          <w:bCs/>
          <w:color w:val="000000"/>
          <w:sz w:val="26"/>
          <w:szCs w:val="26"/>
          <w:lang w:eastAsia="en-GB"/>
        </w:rPr>
        <w:t>Section 1: Solutions</w:t>
      </w:r>
    </w:p>
    <w:p w14:paraId="150F3937" w14:textId="77777777" w:rsidR="00EA1E21" w:rsidRPr="00EA1E21" w:rsidRDefault="00EA1E21" w:rsidP="00EA1E21">
      <w:pPr>
        <w:spacing w:before="240" w:after="240"/>
        <w:outlineLvl w:val="2"/>
        <w:rPr>
          <w:rFonts w:ascii="Times New Roman" w:eastAsia="Times New Roman" w:hAnsi="Times New Roman" w:cs="Times New Roman"/>
          <w:b/>
          <w:bCs/>
          <w:color w:val="000000"/>
          <w:sz w:val="27"/>
          <w:szCs w:val="27"/>
          <w:lang w:eastAsia="en-GB"/>
        </w:rPr>
      </w:pPr>
      <w:r w:rsidRPr="00EA1E21">
        <w:rPr>
          <w:rFonts w:ascii="Calibri" w:eastAsia="Times New Roman" w:hAnsi="Calibri" w:cs="Calibri"/>
          <w:b/>
          <w:bCs/>
          <w:color w:val="000000"/>
          <w:sz w:val="26"/>
          <w:szCs w:val="26"/>
          <w:lang w:eastAsia="en-GB"/>
        </w:rPr>
        <w:t>A1. Calculating NAV</w:t>
      </w:r>
    </w:p>
    <w:p w14:paraId="0412C16F" w14:textId="77777777" w:rsidR="00EA1E21" w:rsidRPr="00EA1E21" w:rsidRDefault="00EA1E21" w:rsidP="00EA1E21">
      <w:pPr>
        <w:numPr>
          <w:ilvl w:val="0"/>
          <w:numId w:val="1"/>
        </w:numPr>
        <w:spacing w:before="240"/>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Formula: NAV = (Total Assets - Total Liabilities) / Total Number of Outstanding Units</w:t>
      </w:r>
    </w:p>
    <w:p w14:paraId="5E93799E" w14:textId="77777777" w:rsidR="00EA1E21" w:rsidRPr="00EA1E21" w:rsidRDefault="00EA1E21" w:rsidP="00EA1E21">
      <w:pPr>
        <w:numPr>
          <w:ilvl w:val="0"/>
          <w:numId w:val="1"/>
        </w:numPr>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Total Assets Calculation: Equity Market Value + Debt Market Value + Cash</w:t>
      </w:r>
    </w:p>
    <w:p w14:paraId="5AAD8860" w14:textId="77777777" w:rsidR="00EA1E21" w:rsidRPr="00EA1E21" w:rsidRDefault="00EA1E21" w:rsidP="00EA1E21">
      <w:pPr>
        <w:numPr>
          <w:ilvl w:val="1"/>
          <w:numId w:val="1"/>
        </w:numPr>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Total Assets = ₹850 Cr + ₹50 Cr + ₹20 Cr = ₹920 Crores</w:t>
      </w:r>
    </w:p>
    <w:p w14:paraId="4E55ACE1" w14:textId="77777777" w:rsidR="00EA1E21" w:rsidRPr="00EA1E21" w:rsidRDefault="00EA1E21" w:rsidP="00EA1E21">
      <w:pPr>
        <w:numPr>
          <w:ilvl w:val="0"/>
          <w:numId w:val="1"/>
        </w:numPr>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Total Liabilities: ₹15 Crores</w:t>
      </w:r>
    </w:p>
    <w:p w14:paraId="47D6240E" w14:textId="77777777" w:rsidR="00EA1E21" w:rsidRPr="00EA1E21" w:rsidRDefault="00EA1E21" w:rsidP="00EA1E21">
      <w:pPr>
        <w:numPr>
          <w:ilvl w:val="0"/>
          <w:numId w:val="1"/>
        </w:numPr>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Net Assets: ₹920 Cr - ₹15 Cr = ₹905 Crores</w:t>
      </w:r>
    </w:p>
    <w:p w14:paraId="7D3211A3" w14:textId="77777777" w:rsidR="00EA1E21" w:rsidRPr="00EA1E21" w:rsidRDefault="00EA1E21" w:rsidP="00EA1E21">
      <w:pPr>
        <w:numPr>
          <w:ilvl w:val="0"/>
          <w:numId w:val="1"/>
        </w:numPr>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Outstanding Units: 40 Crores</w:t>
      </w:r>
    </w:p>
    <w:p w14:paraId="04DB9148" w14:textId="77777777" w:rsidR="00EA1E21" w:rsidRPr="00EA1E21" w:rsidRDefault="00EA1E21" w:rsidP="00EA1E21">
      <w:pPr>
        <w:numPr>
          <w:ilvl w:val="0"/>
          <w:numId w:val="1"/>
        </w:numPr>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NAV Calculation: ₹905 Crores / 40 Crores = ₹22.625</w:t>
      </w:r>
    </w:p>
    <w:p w14:paraId="76611C65" w14:textId="77777777" w:rsidR="00EA1E21" w:rsidRPr="00EA1E21" w:rsidRDefault="00EA1E21" w:rsidP="00EA1E21">
      <w:pPr>
        <w:numPr>
          <w:ilvl w:val="0"/>
          <w:numId w:val="1"/>
        </w:numPr>
        <w:spacing w:after="240"/>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i/>
          <w:iCs/>
          <w:color w:val="000000"/>
          <w:sz w:val="26"/>
          <w:szCs w:val="26"/>
          <w:lang w:eastAsia="en-GB"/>
        </w:rPr>
        <w:t>Answer:</w:t>
      </w:r>
      <w:r w:rsidRPr="00EA1E21">
        <w:rPr>
          <w:rFonts w:ascii="Calibri" w:eastAsia="Times New Roman" w:hAnsi="Calibri" w:cs="Calibri"/>
          <w:b/>
          <w:bCs/>
          <w:color w:val="000000"/>
          <w:sz w:val="26"/>
          <w:szCs w:val="26"/>
          <w:lang w:eastAsia="en-GB"/>
        </w:rPr>
        <w:t xml:space="preserve"> The NAV per unit of the Ganga </w:t>
      </w:r>
      <w:proofErr w:type="spellStart"/>
      <w:r w:rsidRPr="00EA1E21">
        <w:rPr>
          <w:rFonts w:ascii="Calibri" w:eastAsia="Times New Roman" w:hAnsi="Calibri" w:cs="Calibri"/>
          <w:b/>
          <w:bCs/>
          <w:color w:val="000000"/>
          <w:sz w:val="26"/>
          <w:szCs w:val="26"/>
          <w:lang w:eastAsia="en-GB"/>
        </w:rPr>
        <w:t>Bluechip</w:t>
      </w:r>
      <w:proofErr w:type="spellEnd"/>
      <w:r w:rsidRPr="00EA1E21">
        <w:rPr>
          <w:rFonts w:ascii="Calibri" w:eastAsia="Times New Roman" w:hAnsi="Calibri" w:cs="Calibri"/>
          <w:b/>
          <w:bCs/>
          <w:color w:val="000000"/>
          <w:sz w:val="26"/>
          <w:szCs w:val="26"/>
          <w:lang w:eastAsia="en-GB"/>
        </w:rPr>
        <w:t xml:space="preserve"> Fund is ₹22.63 (rounded).</w:t>
      </w:r>
    </w:p>
    <w:p w14:paraId="068B3319" w14:textId="77777777" w:rsidR="00EA1E21" w:rsidRPr="00EA1E21" w:rsidRDefault="00EA1E21" w:rsidP="00EA1E21">
      <w:pPr>
        <w:spacing w:before="240" w:after="240"/>
        <w:outlineLvl w:val="2"/>
        <w:rPr>
          <w:rFonts w:ascii="Times New Roman" w:eastAsia="Times New Roman" w:hAnsi="Times New Roman" w:cs="Times New Roman"/>
          <w:b/>
          <w:bCs/>
          <w:color w:val="000000"/>
          <w:sz w:val="27"/>
          <w:szCs w:val="27"/>
          <w:lang w:eastAsia="en-GB"/>
        </w:rPr>
      </w:pPr>
      <w:r w:rsidRPr="00EA1E21">
        <w:rPr>
          <w:rFonts w:ascii="Calibri" w:eastAsia="Times New Roman" w:hAnsi="Calibri" w:cs="Calibri"/>
          <w:b/>
          <w:bCs/>
          <w:color w:val="000000"/>
          <w:sz w:val="26"/>
          <w:szCs w:val="26"/>
          <w:lang w:eastAsia="en-GB"/>
        </w:rPr>
        <w:t>A2. Understanding AUM</w:t>
      </w:r>
    </w:p>
    <w:p w14:paraId="253408D8" w14:textId="77777777" w:rsidR="00EA1E21" w:rsidRPr="00EA1E21" w:rsidRDefault="00EA1E21" w:rsidP="00EA1E21">
      <w:pPr>
        <w:numPr>
          <w:ilvl w:val="0"/>
          <w:numId w:val="2"/>
        </w:numPr>
        <w:spacing w:before="240"/>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Definition: AUM is the total market value of the investments managed by the fund on behalf of investors. It is essentially the sum of the market value of all assets held by the scheme before subtracting liabilities.</w:t>
      </w:r>
    </w:p>
    <w:p w14:paraId="58441A3D" w14:textId="77777777" w:rsidR="00EA1E21" w:rsidRPr="00EA1E21" w:rsidRDefault="00EA1E21" w:rsidP="00EA1E21">
      <w:pPr>
        <w:numPr>
          <w:ilvl w:val="0"/>
          <w:numId w:val="2"/>
        </w:numPr>
        <w:spacing w:after="240"/>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i/>
          <w:iCs/>
          <w:color w:val="000000"/>
          <w:sz w:val="26"/>
          <w:szCs w:val="26"/>
          <w:lang w:eastAsia="en-GB"/>
        </w:rPr>
        <w:t>Answer:</w:t>
      </w:r>
      <w:r w:rsidRPr="00EA1E21">
        <w:rPr>
          <w:rFonts w:ascii="Calibri" w:eastAsia="Times New Roman" w:hAnsi="Calibri" w:cs="Calibri"/>
          <w:b/>
          <w:bCs/>
          <w:color w:val="000000"/>
          <w:sz w:val="26"/>
          <w:szCs w:val="26"/>
          <w:lang w:eastAsia="en-GB"/>
        </w:rPr>
        <w:t xml:space="preserve"> Based on the calculation above, the Total AUM is ₹920 Crores.</w:t>
      </w:r>
    </w:p>
    <w:p w14:paraId="47AF72D9" w14:textId="77777777" w:rsidR="00EA1E21" w:rsidRPr="00EA1E21" w:rsidRDefault="00EA1E21" w:rsidP="00EA1E21">
      <w:pPr>
        <w:rPr>
          <w:rFonts w:ascii="Times New Roman" w:eastAsia="Times New Roman" w:hAnsi="Times New Roman" w:cs="Times New Roman"/>
          <w:color w:val="000000"/>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1197"/>
        <w:gridCol w:w="1674"/>
        <w:gridCol w:w="779"/>
        <w:gridCol w:w="4245"/>
      </w:tblGrid>
      <w:tr w:rsidR="00EA1E21" w:rsidRPr="00EA1E21" w14:paraId="70349372"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D5BCC2"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Month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2B734B9"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SIP Amount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96E534F"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NAV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7EB6B8"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Units Purchased (Amount / NAV)</w:t>
            </w:r>
          </w:p>
        </w:tc>
      </w:tr>
      <w:tr w:rsidR="00EA1E21" w:rsidRPr="00EA1E21" w14:paraId="1FD3D847"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097E1E"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Month 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380890"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₹10,000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AD309E"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₹200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2EC8A2"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50.00</w:t>
            </w:r>
          </w:p>
        </w:tc>
      </w:tr>
      <w:tr w:rsidR="00EA1E21" w:rsidRPr="00EA1E21" w14:paraId="08331969"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1CE513"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Month 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8CD61A"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₹10,000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FE993B"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₹180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495AF4"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55.56</w:t>
            </w:r>
          </w:p>
        </w:tc>
      </w:tr>
      <w:tr w:rsidR="00EA1E21" w:rsidRPr="00EA1E21" w14:paraId="7BD3CF94"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6291A9"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Month 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7AC2ED"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₹10,000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39509B1"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₹220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7A18E10"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45.45</w:t>
            </w:r>
          </w:p>
        </w:tc>
      </w:tr>
      <w:tr w:rsidR="00EA1E21" w:rsidRPr="00EA1E21" w14:paraId="4AD28964"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CF63D2"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lastRenderedPageBreak/>
              <w:t>Month 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3516ED"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₹10,000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BD5F50"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₹240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FE3209"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41.67</w:t>
            </w:r>
          </w:p>
        </w:tc>
      </w:tr>
      <w:tr w:rsidR="00EA1E21" w:rsidRPr="00EA1E21" w14:paraId="34DDBC3E" w14:textId="77777777">
        <w:trPr>
          <w:trHeight w:val="53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EDA091"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Total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3588FA"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₹40,000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D4E8C4" w14:textId="77777777" w:rsidR="00EA1E21" w:rsidRPr="00EA1E21" w:rsidRDefault="00EA1E21" w:rsidP="00EA1E21">
            <w:pPr>
              <w:rPr>
                <w:rFonts w:ascii="Times New Roman" w:eastAsia="Times New Roman" w:hAnsi="Times New Roman" w:cs="Times New Roman"/>
                <w:lang w:eastAsia="en-GB"/>
              </w:rPr>
            </w:pP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F26A1C" w14:textId="77777777" w:rsidR="00EA1E21" w:rsidRPr="00EA1E21" w:rsidRDefault="00EA1E21" w:rsidP="00EA1E21">
            <w:pPr>
              <w:spacing w:after="480"/>
              <w:outlineLvl w:val="2"/>
              <w:rPr>
                <w:rFonts w:ascii="Times New Roman" w:eastAsia="Times New Roman" w:hAnsi="Times New Roman" w:cs="Times New Roman"/>
                <w:b/>
                <w:bCs/>
                <w:sz w:val="27"/>
                <w:szCs w:val="27"/>
                <w:lang w:eastAsia="en-GB"/>
              </w:rPr>
            </w:pPr>
            <w:r w:rsidRPr="00EA1E21">
              <w:rPr>
                <w:rFonts w:ascii="Arial" w:eastAsia="Times New Roman" w:hAnsi="Arial" w:cs="Arial"/>
                <w:b/>
                <w:bCs/>
                <w:color w:val="000000"/>
                <w:sz w:val="26"/>
                <w:szCs w:val="26"/>
                <w:lang w:eastAsia="en-GB"/>
              </w:rPr>
              <w:t>Total Units: 192.68</w:t>
            </w:r>
          </w:p>
        </w:tc>
      </w:tr>
    </w:tbl>
    <w:p w14:paraId="398B6AF8" w14:textId="77777777" w:rsidR="00EA1E21" w:rsidRPr="00EA1E21" w:rsidRDefault="00EA1E21" w:rsidP="00EA1E21">
      <w:pPr>
        <w:numPr>
          <w:ilvl w:val="0"/>
          <w:numId w:val="3"/>
        </w:numPr>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Average Cost Per Unit Formula: Total Amount Invested / Total Units Purchased</w:t>
      </w:r>
    </w:p>
    <w:p w14:paraId="34937AC5" w14:textId="77777777" w:rsidR="00EA1E21" w:rsidRPr="00EA1E21" w:rsidRDefault="00EA1E21" w:rsidP="00EA1E21">
      <w:pPr>
        <w:numPr>
          <w:ilvl w:val="0"/>
          <w:numId w:val="3"/>
        </w:numPr>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Calculation: ₹40,000 / 192.68 units = ₹207.60 per unit</w:t>
      </w:r>
    </w:p>
    <w:p w14:paraId="18D9A6C5" w14:textId="77777777" w:rsidR="00EA1E21" w:rsidRPr="00EA1E21" w:rsidRDefault="00EA1E21" w:rsidP="00EA1E21">
      <w:pPr>
        <w:numPr>
          <w:ilvl w:val="0"/>
          <w:numId w:val="3"/>
        </w:numPr>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i/>
          <w:iCs/>
          <w:color w:val="000000"/>
          <w:sz w:val="26"/>
          <w:szCs w:val="26"/>
          <w:lang w:eastAsia="en-GB"/>
        </w:rPr>
        <w:t>Bonus Answer:</w:t>
      </w:r>
    </w:p>
    <w:p w14:paraId="70DF86D1" w14:textId="77777777" w:rsidR="00EA1E21" w:rsidRPr="00EA1E21" w:rsidRDefault="00EA1E21" w:rsidP="00EA1E21">
      <w:pPr>
        <w:numPr>
          <w:ilvl w:val="1"/>
          <w:numId w:val="3"/>
        </w:numPr>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Average NAV = (200+180+220+240) / 4 = ₹210.</w:t>
      </w:r>
    </w:p>
    <w:p w14:paraId="4A43E30E" w14:textId="77777777" w:rsidR="00EA1E21" w:rsidRPr="00EA1E21" w:rsidRDefault="00EA1E21" w:rsidP="00EA1E21">
      <w:pPr>
        <w:numPr>
          <w:ilvl w:val="1"/>
          <w:numId w:val="3"/>
        </w:numPr>
        <w:spacing w:after="240"/>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Vikram's Average cost of purchase (₹207.60) is lower than the Average NAV (₹210). This demonstrates the benefit of Rupee Cost Averaging—buying more units when prices are low lowers the overall acquisition cost.</w:t>
      </w:r>
    </w:p>
    <w:p w14:paraId="296A75EA" w14:textId="77777777" w:rsidR="00EA1E21" w:rsidRPr="00EA1E21" w:rsidRDefault="00EA1E21" w:rsidP="00EA1E21">
      <w:pPr>
        <w:spacing w:before="280" w:after="80"/>
        <w:outlineLvl w:val="2"/>
        <w:rPr>
          <w:rFonts w:ascii="Times New Roman" w:eastAsia="Times New Roman" w:hAnsi="Times New Roman" w:cs="Times New Roman"/>
          <w:b/>
          <w:bCs/>
          <w:color w:val="000000"/>
          <w:sz w:val="27"/>
          <w:szCs w:val="27"/>
          <w:lang w:eastAsia="en-GB"/>
        </w:rPr>
      </w:pPr>
      <w:r w:rsidRPr="00EA1E21">
        <w:rPr>
          <w:rFonts w:ascii="Calibri" w:eastAsia="Times New Roman" w:hAnsi="Calibri" w:cs="Calibri"/>
          <w:b/>
          <w:bCs/>
          <w:color w:val="000000"/>
          <w:sz w:val="26"/>
          <w:szCs w:val="26"/>
          <w:lang w:eastAsia="en-GB"/>
        </w:rPr>
        <w:t>Section 2: Solutions</w:t>
      </w:r>
    </w:p>
    <w:p w14:paraId="743A6613" w14:textId="77777777" w:rsidR="00EA1E21" w:rsidRPr="00EA1E21" w:rsidRDefault="00EA1E21" w:rsidP="00EA1E21">
      <w:pPr>
        <w:spacing w:before="240" w:after="240"/>
        <w:outlineLvl w:val="2"/>
        <w:rPr>
          <w:rFonts w:ascii="Times New Roman" w:eastAsia="Times New Roman" w:hAnsi="Times New Roman" w:cs="Times New Roman"/>
          <w:b/>
          <w:bCs/>
          <w:color w:val="000000"/>
          <w:sz w:val="27"/>
          <w:szCs w:val="27"/>
          <w:lang w:eastAsia="en-GB"/>
        </w:rPr>
      </w:pPr>
      <w:r w:rsidRPr="00EA1E21">
        <w:rPr>
          <w:rFonts w:ascii="Calibri" w:eastAsia="Times New Roman" w:hAnsi="Calibri" w:cs="Calibri"/>
          <w:b/>
          <w:bCs/>
          <w:color w:val="000000"/>
          <w:sz w:val="26"/>
          <w:szCs w:val="26"/>
          <w:lang w:eastAsia="en-GB"/>
        </w:rPr>
        <w:t>A4. Open-ended vs. Close-ended</w:t>
      </w:r>
    </w:p>
    <w:p w14:paraId="7F6ADF75" w14:textId="77777777" w:rsidR="00EA1E21" w:rsidRPr="00EA1E21" w:rsidRDefault="00EA1E21" w:rsidP="00EA1E21">
      <w:pPr>
        <w:numPr>
          <w:ilvl w:val="0"/>
          <w:numId w:val="4"/>
        </w:numPr>
        <w:spacing w:before="240"/>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Bank RM's Fund ("Himalaya Capital Protection"): This is a Close-ended Fund.</w:t>
      </w:r>
    </w:p>
    <w:p w14:paraId="420B95BF" w14:textId="77777777" w:rsidR="00EA1E21" w:rsidRPr="00EA1E21" w:rsidRDefault="00EA1E21" w:rsidP="00EA1E21">
      <w:pPr>
        <w:numPr>
          <w:ilvl w:val="1"/>
          <w:numId w:val="4"/>
        </w:numPr>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i/>
          <w:iCs/>
          <w:color w:val="000000"/>
          <w:sz w:val="26"/>
          <w:szCs w:val="26"/>
          <w:lang w:eastAsia="en-GB"/>
        </w:rPr>
        <w:t>Justification:</w:t>
      </w:r>
      <w:r w:rsidRPr="00EA1E21">
        <w:rPr>
          <w:rFonts w:ascii="Calibri" w:eastAsia="Times New Roman" w:hAnsi="Calibri" w:cs="Calibri"/>
          <w:b/>
          <w:bCs/>
          <w:color w:val="000000"/>
          <w:sz w:val="26"/>
          <w:szCs w:val="26"/>
          <w:lang w:eastAsia="en-GB"/>
        </w:rPr>
        <w:t xml:space="preserve"> The RM mentions it is a "limited-time offer" (NFO period), and once invested, the money is "locked in for 3 years." Close-ended funds have a fixed maturity period and investors cannot redeem units directly with the AMC until maturity (though they may trade on the exchange, liquidity is low).</w:t>
      </w:r>
    </w:p>
    <w:p w14:paraId="517C9F2C" w14:textId="77777777" w:rsidR="00EA1E21" w:rsidRPr="00EA1E21" w:rsidRDefault="00EA1E21" w:rsidP="00EA1E21">
      <w:pPr>
        <w:numPr>
          <w:ilvl w:val="0"/>
          <w:numId w:val="4"/>
        </w:numPr>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Arif's Fund (Index Fund): This is an Open-ended Fund.</w:t>
      </w:r>
    </w:p>
    <w:p w14:paraId="34F32C35" w14:textId="77777777" w:rsidR="00EA1E21" w:rsidRPr="00EA1E21" w:rsidRDefault="00EA1E21" w:rsidP="00EA1E21">
      <w:pPr>
        <w:numPr>
          <w:ilvl w:val="1"/>
          <w:numId w:val="4"/>
        </w:numPr>
        <w:spacing w:after="240"/>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i/>
          <w:iCs/>
          <w:color w:val="000000"/>
          <w:sz w:val="26"/>
          <w:szCs w:val="26"/>
          <w:lang w:eastAsia="en-GB"/>
        </w:rPr>
        <w:t>Justification:</w:t>
      </w:r>
      <w:r w:rsidRPr="00EA1E21">
        <w:rPr>
          <w:rFonts w:ascii="Calibri" w:eastAsia="Times New Roman" w:hAnsi="Calibri" w:cs="Calibri"/>
          <w:b/>
          <w:bCs/>
          <w:color w:val="000000"/>
          <w:sz w:val="26"/>
          <w:szCs w:val="26"/>
          <w:lang w:eastAsia="en-GB"/>
        </w:rPr>
        <w:t xml:space="preserve"> Index funds for SIPs are open-ended. Investors can enter (buy) and exit (redeem) at the prevailing NAV on any business day. There is no mandatory lock-in period (unless it's specifically an ELSS index fund, which isn't mentioned here).</w:t>
      </w:r>
    </w:p>
    <w:p w14:paraId="6FF3C332" w14:textId="77777777" w:rsidR="00EA1E21" w:rsidRPr="00EA1E21" w:rsidRDefault="00EA1E21" w:rsidP="00EA1E21">
      <w:pPr>
        <w:spacing w:before="240" w:after="240"/>
        <w:outlineLvl w:val="2"/>
        <w:rPr>
          <w:rFonts w:ascii="Times New Roman" w:eastAsia="Times New Roman" w:hAnsi="Times New Roman" w:cs="Times New Roman"/>
          <w:b/>
          <w:bCs/>
          <w:color w:val="000000"/>
          <w:sz w:val="27"/>
          <w:szCs w:val="27"/>
          <w:lang w:eastAsia="en-GB"/>
        </w:rPr>
      </w:pPr>
      <w:r w:rsidRPr="00EA1E21">
        <w:rPr>
          <w:rFonts w:ascii="Calibri" w:eastAsia="Times New Roman" w:hAnsi="Calibri" w:cs="Calibri"/>
          <w:b/>
          <w:bCs/>
          <w:color w:val="000000"/>
          <w:sz w:val="26"/>
          <w:szCs w:val="26"/>
          <w:lang w:eastAsia="en-GB"/>
        </w:rPr>
        <w:t>A5. Regular vs. Direct Plans</w:t>
      </w:r>
    </w:p>
    <w:p w14:paraId="75943C1D" w14:textId="77777777" w:rsidR="00EA1E21" w:rsidRPr="00EA1E21" w:rsidRDefault="00EA1E21" w:rsidP="00EA1E21">
      <w:pPr>
        <w:numPr>
          <w:ilvl w:val="0"/>
          <w:numId w:val="5"/>
        </w:numPr>
        <w:spacing w:before="240"/>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a) Primary Difference: The Expense Ratio. Direct Plans have a lower expense ratio compared to Regular Plans because Direct Plans do not involve distributor commissions. Regular plans include a commission paid to the intermediary (like the Bank RM) out of your investment value.</w:t>
      </w:r>
    </w:p>
    <w:p w14:paraId="52D3148D" w14:textId="77777777" w:rsidR="00EA1E21" w:rsidRPr="00EA1E21" w:rsidRDefault="00EA1E21" w:rsidP="00EA1E21">
      <w:pPr>
        <w:numPr>
          <w:ilvl w:val="0"/>
          <w:numId w:val="5"/>
        </w:numPr>
        <w:spacing w:after="240"/>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b) Bank RM's Motivation: The Bank RM prefers selling the Regular plan because the bank earns an upfront and/or trail commission for as long as Vikram stays invested in that fund.</w:t>
      </w:r>
    </w:p>
    <w:p w14:paraId="06C85458" w14:textId="77777777" w:rsidR="00EA1E21" w:rsidRPr="00EA1E21" w:rsidRDefault="00EA1E21" w:rsidP="00EA1E21">
      <w:pPr>
        <w:spacing w:before="240" w:after="240"/>
        <w:outlineLvl w:val="2"/>
        <w:rPr>
          <w:rFonts w:ascii="Times New Roman" w:eastAsia="Times New Roman" w:hAnsi="Times New Roman" w:cs="Times New Roman"/>
          <w:b/>
          <w:bCs/>
          <w:color w:val="000000"/>
          <w:sz w:val="27"/>
          <w:szCs w:val="27"/>
          <w:lang w:eastAsia="en-GB"/>
        </w:rPr>
      </w:pPr>
      <w:r w:rsidRPr="00EA1E21">
        <w:rPr>
          <w:rFonts w:ascii="Calibri" w:eastAsia="Times New Roman" w:hAnsi="Calibri" w:cs="Calibri"/>
          <w:b/>
          <w:bCs/>
          <w:color w:val="000000"/>
          <w:sz w:val="26"/>
          <w:szCs w:val="26"/>
          <w:lang w:eastAsia="en-GB"/>
        </w:rPr>
        <w:lastRenderedPageBreak/>
        <w:t>A6. Growth vs. IDCW Options</w:t>
      </w:r>
    </w:p>
    <w:p w14:paraId="4E5875C1" w14:textId="77777777" w:rsidR="00EA1E21" w:rsidRPr="00EA1E21" w:rsidRDefault="00EA1E21" w:rsidP="00EA1E21">
      <w:pPr>
        <w:numPr>
          <w:ilvl w:val="0"/>
          <w:numId w:val="6"/>
        </w:numPr>
        <w:spacing w:before="240"/>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Vikram should choose the Growth Option.</w:t>
      </w:r>
    </w:p>
    <w:p w14:paraId="32AA5963" w14:textId="77777777" w:rsidR="00EA1E21" w:rsidRPr="00EA1E21" w:rsidRDefault="00EA1E21" w:rsidP="00EA1E21">
      <w:pPr>
        <w:numPr>
          <w:ilvl w:val="0"/>
          <w:numId w:val="6"/>
        </w:numPr>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i/>
          <w:iCs/>
          <w:color w:val="000000"/>
          <w:sz w:val="26"/>
          <w:szCs w:val="26"/>
          <w:lang w:eastAsia="en-GB"/>
        </w:rPr>
        <w:t>Explanation:</w:t>
      </w:r>
      <w:r w:rsidRPr="00EA1E21">
        <w:rPr>
          <w:rFonts w:ascii="Calibri" w:eastAsia="Times New Roman" w:hAnsi="Calibri" w:cs="Calibri"/>
          <w:b/>
          <w:bCs/>
          <w:color w:val="000000"/>
          <w:sz w:val="26"/>
          <w:szCs w:val="26"/>
          <w:lang w:eastAsia="en-GB"/>
        </w:rPr>
        <w:t xml:space="preserve"> In the Growth option, profits made by the fund are reinvested back into the scheme, increasing the NAV. This allows for the power of compounding to work over the long term (15-25 years for his goals).</w:t>
      </w:r>
    </w:p>
    <w:p w14:paraId="4C33F07F" w14:textId="77777777" w:rsidR="00EA1E21" w:rsidRPr="00EA1E21" w:rsidRDefault="00EA1E21" w:rsidP="00EA1E21">
      <w:pPr>
        <w:numPr>
          <w:ilvl w:val="0"/>
          <w:numId w:val="6"/>
        </w:numPr>
        <w:spacing w:after="240"/>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In the IDCW option, the fund pays out some of the surplus cash to investors periodically. Since Vikram has a steady salary and doesn't need this immediate "pocket money" from his investments, taking payouts would interrupt the compounding process and potentially create tax liabilities on the payouts.</w:t>
      </w:r>
    </w:p>
    <w:p w14:paraId="7F9E278D" w14:textId="77777777" w:rsidR="00EA1E21" w:rsidRPr="00EA1E21" w:rsidRDefault="00EA1E21" w:rsidP="00EA1E21">
      <w:pPr>
        <w:spacing w:before="280" w:after="80"/>
        <w:outlineLvl w:val="2"/>
        <w:rPr>
          <w:rFonts w:ascii="Times New Roman" w:eastAsia="Times New Roman" w:hAnsi="Times New Roman" w:cs="Times New Roman"/>
          <w:b/>
          <w:bCs/>
          <w:color w:val="000000"/>
          <w:sz w:val="27"/>
          <w:szCs w:val="27"/>
          <w:lang w:eastAsia="en-GB"/>
        </w:rPr>
      </w:pPr>
      <w:r w:rsidRPr="00EA1E21">
        <w:rPr>
          <w:rFonts w:ascii="Calibri" w:eastAsia="Times New Roman" w:hAnsi="Calibri" w:cs="Calibri"/>
          <w:b/>
          <w:bCs/>
          <w:color w:val="000000"/>
          <w:sz w:val="26"/>
          <w:szCs w:val="26"/>
          <w:lang w:eastAsia="en-GB"/>
        </w:rPr>
        <w:t>Section 3: Solutions</w:t>
      </w:r>
    </w:p>
    <w:p w14:paraId="7160503E" w14:textId="77777777" w:rsidR="00EA1E21" w:rsidRPr="00EA1E21" w:rsidRDefault="00EA1E21" w:rsidP="00EA1E21">
      <w:pPr>
        <w:spacing w:before="240" w:after="240"/>
        <w:outlineLvl w:val="2"/>
        <w:rPr>
          <w:rFonts w:ascii="Times New Roman" w:eastAsia="Times New Roman" w:hAnsi="Times New Roman" w:cs="Times New Roman"/>
          <w:b/>
          <w:bCs/>
          <w:color w:val="000000"/>
          <w:sz w:val="27"/>
          <w:szCs w:val="27"/>
          <w:lang w:eastAsia="en-GB"/>
        </w:rPr>
      </w:pPr>
      <w:r w:rsidRPr="00EA1E21">
        <w:rPr>
          <w:rFonts w:ascii="Calibri" w:eastAsia="Times New Roman" w:hAnsi="Calibri" w:cs="Calibri"/>
          <w:b/>
          <w:bCs/>
          <w:color w:val="000000"/>
          <w:sz w:val="26"/>
          <w:szCs w:val="26"/>
          <w:lang w:eastAsia="en-GB"/>
        </w:rPr>
        <w:t>A7. Active vs. Passive Management</w:t>
      </w:r>
    </w:p>
    <w:p w14:paraId="16F35CD4" w14:textId="77777777" w:rsidR="00EA1E21" w:rsidRPr="00EA1E21" w:rsidRDefault="00EA1E21" w:rsidP="00EA1E21">
      <w:pPr>
        <w:numPr>
          <w:ilvl w:val="0"/>
          <w:numId w:val="7"/>
        </w:numPr>
        <w:spacing w:before="240"/>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A Nifty 50 Index Fund is a Passively Managed Fund.</w:t>
      </w:r>
    </w:p>
    <w:p w14:paraId="113CDFB3" w14:textId="77777777" w:rsidR="00EA1E21" w:rsidRPr="00EA1E21" w:rsidRDefault="00EA1E21" w:rsidP="00EA1E21">
      <w:pPr>
        <w:numPr>
          <w:ilvl w:val="0"/>
          <w:numId w:val="7"/>
        </w:numPr>
        <w:spacing w:after="240"/>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i/>
          <w:iCs/>
          <w:color w:val="000000"/>
          <w:sz w:val="26"/>
          <w:szCs w:val="26"/>
          <w:lang w:eastAsia="en-GB"/>
        </w:rPr>
        <w:t>Role of Fund Manager:</w:t>
      </w:r>
      <w:r w:rsidRPr="00EA1E21">
        <w:rPr>
          <w:rFonts w:ascii="Calibri" w:eastAsia="Times New Roman" w:hAnsi="Calibri" w:cs="Calibri"/>
          <w:b/>
          <w:bCs/>
          <w:color w:val="000000"/>
          <w:sz w:val="26"/>
          <w:szCs w:val="26"/>
          <w:lang w:eastAsia="en-GB"/>
        </w:rPr>
        <w:t xml:space="preserve"> In a passive fund, the manager does not use their discretion to pick stocks to beat the market. Their role is simply to replicate the benchmark index (Nifty 50) by buying the same 50 stocks in the exact same weightage as the index and minimizing tracking error.</w:t>
      </w:r>
    </w:p>
    <w:p w14:paraId="675E8FB8" w14:textId="77777777" w:rsidR="00EA1E21" w:rsidRPr="00EA1E21" w:rsidRDefault="00EA1E21" w:rsidP="00EA1E21">
      <w:pPr>
        <w:spacing w:before="240" w:after="240"/>
        <w:outlineLvl w:val="2"/>
        <w:rPr>
          <w:rFonts w:ascii="Times New Roman" w:eastAsia="Times New Roman" w:hAnsi="Times New Roman" w:cs="Times New Roman"/>
          <w:b/>
          <w:bCs/>
          <w:color w:val="000000"/>
          <w:sz w:val="27"/>
          <w:szCs w:val="27"/>
          <w:lang w:eastAsia="en-GB"/>
        </w:rPr>
      </w:pPr>
      <w:r w:rsidRPr="00EA1E21">
        <w:rPr>
          <w:rFonts w:ascii="Calibri" w:eastAsia="Times New Roman" w:hAnsi="Calibri" w:cs="Calibri"/>
          <w:b/>
          <w:bCs/>
          <w:color w:val="000000"/>
          <w:sz w:val="26"/>
          <w:szCs w:val="26"/>
          <w:lang w:eastAsia="en-GB"/>
        </w:rPr>
        <w:t>A8. Matching Goals to Fund Types</w:t>
      </w:r>
    </w:p>
    <w:p w14:paraId="31BC80CD" w14:textId="77777777" w:rsidR="00EA1E21" w:rsidRPr="00EA1E21" w:rsidRDefault="00EA1E21" w:rsidP="00EA1E21">
      <w:pPr>
        <w:numPr>
          <w:ilvl w:val="0"/>
          <w:numId w:val="8"/>
        </w:numPr>
        <w:spacing w:before="240"/>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a) For Tax Saving (80C): Vikram needs an ELSS (Equity Linked Savings Scheme). This is the only category of mutual funds qualified for tax deduction under Section 80C, with a mandatory 3-year lock-in.</w:t>
      </w:r>
    </w:p>
    <w:p w14:paraId="27A61516" w14:textId="77777777" w:rsidR="00EA1E21" w:rsidRPr="00EA1E21" w:rsidRDefault="00EA1E21" w:rsidP="00EA1E21">
      <w:pPr>
        <w:numPr>
          <w:ilvl w:val="0"/>
          <w:numId w:val="8"/>
        </w:numPr>
        <w:spacing w:after="240"/>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b) For Emergency Fund: Vikram needs a Liquid Fund (a subtype of Debt Mutual Fund). Liquid funds invest in very short-term debt instruments (up to 91 days maturity), prioritizing safety of capital and high liquidity (redemption usually within 24 hours).</w:t>
      </w:r>
    </w:p>
    <w:p w14:paraId="2983B3F3" w14:textId="77777777" w:rsidR="00EA1E21" w:rsidRPr="00EA1E21" w:rsidRDefault="00EA1E21" w:rsidP="00EA1E21">
      <w:pPr>
        <w:spacing w:before="240" w:after="240"/>
        <w:outlineLvl w:val="2"/>
        <w:rPr>
          <w:rFonts w:ascii="Times New Roman" w:eastAsia="Times New Roman" w:hAnsi="Times New Roman" w:cs="Times New Roman"/>
          <w:b/>
          <w:bCs/>
          <w:color w:val="000000"/>
          <w:sz w:val="27"/>
          <w:szCs w:val="27"/>
          <w:lang w:eastAsia="en-GB"/>
        </w:rPr>
      </w:pPr>
      <w:r w:rsidRPr="00EA1E21">
        <w:rPr>
          <w:rFonts w:ascii="Calibri" w:eastAsia="Times New Roman" w:hAnsi="Calibri" w:cs="Calibri"/>
          <w:b/>
          <w:bCs/>
          <w:color w:val="000000"/>
          <w:sz w:val="26"/>
          <w:szCs w:val="26"/>
          <w:lang w:eastAsia="en-GB"/>
        </w:rPr>
        <w:t>A9. Performance Measurement Concepts (Rolling Returns)</w:t>
      </w:r>
    </w:p>
    <w:p w14:paraId="3C9B4BA4" w14:textId="77777777" w:rsidR="00EA1E21" w:rsidRPr="00EA1E21" w:rsidRDefault="00EA1E21" w:rsidP="00EA1E21">
      <w:pPr>
        <w:numPr>
          <w:ilvl w:val="0"/>
          <w:numId w:val="9"/>
        </w:numPr>
        <w:spacing w:before="240"/>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 xml:space="preserve">What are Rolling Returns? Instead of measuring returns from one fixed start date to one fixed end date (point-to-point), rolling returns measure performance over several overlapping periods. For example, a "3-year rolling return" looks at </w:t>
      </w:r>
      <w:r w:rsidRPr="00EA1E21">
        <w:rPr>
          <w:rFonts w:ascii="Calibri" w:eastAsia="Times New Roman" w:hAnsi="Calibri" w:cs="Calibri"/>
          <w:b/>
          <w:bCs/>
          <w:i/>
          <w:iCs/>
          <w:color w:val="000000"/>
          <w:sz w:val="26"/>
          <w:szCs w:val="26"/>
          <w:lang w:eastAsia="en-GB"/>
        </w:rPr>
        <w:t>every</w:t>
      </w:r>
      <w:r w:rsidRPr="00EA1E21">
        <w:rPr>
          <w:rFonts w:ascii="Calibri" w:eastAsia="Times New Roman" w:hAnsi="Calibri" w:cs="Calibri"/>
          <w:b/>
          <w:bCs/>
          <w:color w:val="000000"/>
          <w:sz w:val="26"/>
          <w:szCs w:val="26"/>
          <w:lang w:eastAsia="en-GB"/>
        </w:rPr>
        <w:t xml:space="preserve"> possible 3-year period within a longer history (e.g., Jan 2020-Jan 2023, Feb 2020-Feb 2023, Mar 2020-Mar 2023, etc.).</w:t>
      </w:r>
    </w:p>
    <w:p w14:paraId="2CB1AEAB" w14:textId="77777777" w:rsidR="00EA1E21" w:rsidRPr="00EA1E21" w:rsidRDefault="00EA1E21" w:rsidP="00EA1E21">
      <w:pPr>
        <w:numPr>
          <w:ilvl w:val="0"/>
          <w:numId w:val="9"/>
        </w:numPr>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Advantages over point-to-point returns:</w:t>
      </w:r>
    </w:p>
    <w:p w14:paraId="378692AA" w14:textId="77777777" w:rsidR="00EA1E21" w:rsidRPr="00EA1E21" w:rsidRDefault="00EA1E21" w:rsidP="00EA1E21">
      <w:pPr>
        <w:numPr>
          <w:ilvl w:val="1"/>
          <w:numId w:val="9"/>
        </w:numPr>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t>Removes Start/End Date Bias: Point-to-point returns can look artificially high or low if the start date was a market bottom or the end date was a market peak. Rolling returns smooth this out.</w:t>
      </w:r>
    </w:p>
    <w:p w14:paraId="40B5549B" w14:textId="77777777" w:rsidR="00EA1E21" w:rsidRPr="00EA1E21" w:rsidRDefault="00EA1E21" w:rsidP="00EA1E21">
      <w:pPr>
        <w:numPr>
          <w:ilvl w:val="1"/>
          <w:numId w:val="9"/>
        </w:numPr>
        <w:spacing w:after="240"/>
        <w:textAlignment w:val="baseline"/>
        <w:outlineLvl w:val="2"/>
        <w:rPr>
          <w:rFonts w:ascii="Calibri" w:eastAsia="Times New Roman" w:hAnsi="Calibri" w:cs="Calibri"/>
          <w:b/>
          <w:bCs/>
          <w:color w:val="000000"/>
          <w:sz w:val="27"/>
          <w:szCs w:val="27"/>
          <w:lang w:eastAsia="en-GB"/>
        </w:rPr>
      </w:pPr>
      <w:r w:rsidRPr="00EA1E21">
        <w:rPr>
          <w:rFonts w:ascii="Calibri" w:eastAsia="Times New Roman" w:hAnsi="Calibri" w:cs="Calibri"/>
          <w:b/>
          <w:bCs/>
          <w:color w:val="000000"/>
          <w:sz w:val="26"/>
          <w:szCs w:val="26"/>
          <w:lang w:eastAsia="en-GB"/>
        </w:rPr>
        <w:lastRenderedPageBreak/>
        <w:t>Shows Consistency: It helps identify if the fund performs consistently across different market cycles (bull and bear phases), rather than just having one lucky year that inflated its average return.</w:t>
      </w:r>
    </w:p>
    <w:p w14:paraId="077B97C7" w14:textId="77777777" w:rsidR="00EA1E21" w:rsidRPr="00EA1E21" w:rsidRDefault="00EA1E21" w:rsidP="00EA1E21">
      <w:pPr>
        <w:spacing w:after="240"/>
        <w:rPr>
          <w:rFonts w:ascii="Times New Roman" w:eastAsia="Times New Roman" w:hAnsi="Times New Roman" w:cs="Times New Roman"/>
          <w:lang w:eastAsia="en-GB"/>
        </w:rPr>
      </w:pPr>
    </w:p>
    <w:p w14:paraId="2B7A5C20" w14:textId="77777777" w:rsidR="00EA1E21" w:rsidRPr="00EA1E21" w:rsidRDefault="00EA1E21" w:rsidP="00EA1E21">
      <w:pPr>
        <w:rPr>
          <w:rFonts w:ascii="Times New Roman" w:eastAsia="Times New Roman" w:hAnsi="Times New Roman" w:cs="Times New Roman"/>
          <w:lang w:eastAsia="en-GB"/>
        </w:rPr>
      </w:pPr>
    </w:p>
    <w:p w14:paraId="141E1588" w14:textId="77777777" w:rsidR="00561B3A" w:rsidRDefault="00561B3A"/>
    <w:sectPr w:rsidR="00561B3A" w:rsidSect="00EA1E2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2DFF"/>
    <w:multiLevelType w:val="multilevel"/>
    <w:tmpl w:val="B1C8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F44D8"/>
    <w:multiLevelType w:val="multilevel"/>
    <w:tmpl w:val="A2B0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83542"/>
    <w:multiLevelType w:val="multilevel"/>
    <w:tmpl w:val="D14E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236D2"/>
    <w:multiLevelType w:val="multilevel"/>
    <w:tmpl w:val="B23C1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73BAE"/>
    <w:multiLevelType w:val="multilevel"/>
    <w:tmpl w:val="6ABC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A607F8"/>
    <w:multiLevelType w:val="multilevel"/>
    <w:tmpl w:val="D8E08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D4C12"/>
    <w:multiLevelType w:val="multilevel"/>
    <w:tmpl w:val="1140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740D4"/>
    <w:multiLevelType w:val="multilevel"/>
    <w:tmpl w:val="A798F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DF76D9"/>
    <w:multiLevelType w:val="multilevel"/>
    <w:tmpl w:val="6624FE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383087">
    <w:abstractNumId w:val="7"/>
  </w:num>
  <w:num w:numId="2" w16cid:durableId="387000161">
    <w:abstractNumId w:val="6"/>
  </w:num>
  <w:num w:numId="3" w16cid:durableId="2081781926">
    <w:abstractNumId w:val="5"/>
  </w:num>
  <w:num w:numId="4" w16cid:durableId="1362978023">
    <w:abstractNumId w:val="3"/>
  </w:num>
  <w:num w:numId="5" w16cid:durableId="246160602">
    <w:abstractNumId w:val="2"/>
  </w:num>
  <w:num w:numId="6" w16cid:durableId="353697923">
    <w:abstractNumId w:val="0"/>
  </w:num>
  <w:num w:numId="7" w16cid:durableId="604532150">
    <w:abstractNumId w:val="4"/>
  </w:num>
  <w:num w:numId="8" w16cid:durableId="1826120496">
    <w:abstractNumId w:val="1"/>
  </w:num>
  <w:num w:numId="9" w16cid:durableId="17039392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E21"/>
    <w:rsid w:val="001E251B"/>
    <w:rsid w:val="00561B3A"/>
    <w:rsid w:val="0080372F"/>
    <w:rsid w:val="00EA1E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635C54"/>
  <w15:chartTrackingRefBased/>
  <w15:docId w15:val="{C06EEAE1-DFE3-C346-A58C-60DC5C511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E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1E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1E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E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E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E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E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E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E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1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1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E21"/>
    <w:rPr>
      <w:rFonts w:eastAsiaTheme="majorEastAsia" w:cstheme="majorBidi"/>
      <w:color w:val="272727" w:themeColor="text1" w:themeTint="D8"/>
    </w:rPr>
  </w:style>
  <w:style w:type="paragraph" w:styleId="Title">
    <w:name w:val="Title"/>
    <w:basedOn w:val="Normal"/>
    <w:next w:val="Normal"/>
    <w:link w:val="TitleChar"/>
    <w:uiPriority w:val="10"/>
    <w:qFormat/>
    <w:rsid w:val="00EA1E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E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E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1E21"/>
    <w:rPr>
      <w:i/>
      <w:iCs/>
      <w:color w:val="404040" w:themeColor="text1" w:themeTint="BF"/>
    </w:rPr>
  </w:style>
  <w:style w:type="paragraph" w:styleId="ListParagraph">
    <w:name w:val="List Paragraph"/>
    <w:basedOn w:val="Normal"/>
    <w:uiPriority w:val="34"/>
    <w:qFormat/>
    <w:rsid w:val="00EA1E21"/>
    <w:pPr>
      <w:ind w:left="720"/>
      <w:contextualSpacing/>
    </w:pPr>
  </w:style>
  <w:style w:type="character" w:styleId="IntenseEmphasis">
    <w:name w:val="Intense Emphasis"/>
    <w:basedOn w:val="DefaultParagraphFont"/>
    <w:uiPriority w:val="21"/>
    <w:qFormat/>
    <w:rsid w:val="00EA1E21"/>
    <w:rPr>
      <w:i/>
      <w:iCs/>
      <w:color w:val="0F4761" w:themeColor="accent1" w:themeShade="BF"/>
    </w:rPr>
  </w:style>
  <w:style w:type="paragraph" w:styleId="IntenseQuote">
    <w:name w:val="Intense Quote"/>
    <w:basedOn w:val="Normal"/>
    <w:next w:val="Normal"/>
    <w:link w:val="IntenseQuoteChar"/>
    <w:uiPriority w:val="30"/>
    <w:qFormat/>
    <w:rsid w:val="00EA1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E21"/>
    <w:rPr>
      <w:i/>
      <w:iCs/>
      <w:color w:val="0F4761" w:themeColor="accent1" w:themeShade="BF"/>
    </w:rPr>
  </w:style>
  <w:style w:type="character" w:styleId="IntenseReference">
    <w:name w:val="Intense Reference"/>
    <w:basedOn w:val="DefaultParagraphFont"/>
    <w:uiPriority w:val="32"/>
    <w:qFormat/>
    <w:rsid w:val="00EA1E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863</Words>
  <Characters>4173</Characters>
  <Application>Microsoft Office Word</Application>
  <DocSecurity>0</DocSecurity>
  <Lines>139</Lines>
  <Paragraphs>119</Paragraphs>
  <ScaleCrop>false</ScaleCrop>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Hiral Goel</dc:creator>
  <cp:keywords/>
  <dc:description/>
  <cp:lastModifiedBy>Hiral Goel</cp:lastModifiedBy>
  <cp:revision>1</cp:revision>
  <dcterms:created xsi:type="dcterms:W3CDTF">2026-03-09T03:01:00Z</dcterms:created>
  <dcterms:modified xsi:type="dcterms:W3CDTF">2026-03-09T03:02:00Z</dcterms:modified>
</cp:coreProperties>
</file>