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0DBA" w:rsidRDefault="00B370AE">
      <w:pPr>
        <w:spacing w:after="60"/>
      </w:pPr>
      <w:r>
        <w:rPr>
          <w:noProof/>
        </w:rPr>
        <w:drawing>
          <wp:inline distT="0" distB="0" distL="0" distR="0">
            <wp:extent cx="1438275"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38275" cy="628650"/>
                    </a:xfrm>
                    <a:prstGeom prst="rect">
                      <a:avLst/>
                    </a:prstGeom>
                  </pic:spPr>
                </pic:pic>
              </a:graphicData>
            </a:graphic>
          </wp:inline>
        </w:drawing>
      </w:r>
    </w:p>
    <w:p w:rsidR="00230DBA" w:rsidRDefault="00B370AE">
      <w:pPr>
        <w:spacing w:before="200" w:after="80"/>
      </w:pPr>
      <w:bookmarkStart w:id="0" w:name="_GoBack"/>
      <w:bookmarkEnd w:id="0"/>
      <w:r>
        <w:rPr>
          <w:b/>
          <w:bCs/>
          <w:color w:val="C9A84C"/>
          <w:spacing w:val="40"/>
          <w:sz w:val="19"/>
          <w:szCs w:val="19"/>
        </w:rPr>
        <w:t>WORKSHOP PROPOSAL</w:t>
      </w:r>
    </w:p>
    <w:p w:rsidR="00230DBA" w:rsidRDefault="00B370AE">
      <w:pPr>
        <w:spacing w:after="120"/>
      </w:pPr>
      <w:r>
        <w:rPr>
          <w:rFonts w:ascii="Lora" w:eastAsia="Lora" w:hAnsi="Lora" w:cs="Lora"/>
          <w:b/>
          <w:bCs/>
          <w:color w:val="1A3A5C"/>
          <w:sz w:val="52"/>
          <w:szCs w:val="52"/>
        </w:rPr>
        <w:t>The Wealth Conversation</w:t>
      </w:r>
    </w:p>
    <w:p w:rsidR="00230DBA" w:rsidRDefault="00B370AE">
      <w:pPr>
        <w:spacing w:after="340"/>
      </w:pPr>
      <w:r>
        <w:rPr>
          <w:rFonts w:ascii="Lora" w:eastAsia="Lora" w:hAnsi="Lora" w:cs="Lora"/>
          <w:i/>
          <w:iCs/>
          <w:color w:val="2A9D8F"/>
          <w:sz w:val="24"/>
          <w:szCs w:val="24"/>
        </w:rPr>
        <w:t>The Why, The How &amp; The Where of Investing — a 2.5-hour interactive workshop that makes investing feel simple, practical and completely doable.</w:t>
      </w:r>
    </w:p>
    <w:p w:rsidR="00230DBA" w:rsidRDefault="00B370AE">
      <w:pPr>
        <w:spacing w:after="60"/>
      </w:pPr>
      <w:r>
        <w:rPr>
          <w:b/>
          <w:bCs/>
          <w:color w:val="1A3A5C"/>
        </w:rPr>
        <w:t xml:space="preserve">Prepared for:  </w:t>
      </w:r>
      <w:proofErr w:type="spellStart"/>
      <w:r>
        <w:t>Sonakshi</w:t>
      </w:r>
      <w:proofErr w:type="spellEnd"/>
      <w:r>
        <w:t xml:space="preserve"> Agarwal</w:t>
      </w:r>
    </w:p>
    <w:p w:rsidR="00230DBA" w:rsidRDefault="00B370AE">
      <w:pPr>
        <w:spacing w:after="320"/>
      </w:pPr>
      <w:r>
        <w:rPr>
          <w:b/>
          <w:bCs/>
          <w:color w:val="1A3A5C"/>
        </w:rPr>
        <w:t xml:space="preserve">Proposal date:  </w:t>
      </w:r>
      <w:r>
        <w:t>13 July 2026</w:t>
      </w:r>
    </w:p>
    <w:p w:rsidR="00230DBA" w:rsidRDefault="00B370AE">
      <w:pPr>
        <w:keepNext/>
        <w:pBdr>
          <w:bottom w:val="single" w:sz="8" w:space="4" w:color="BDE9E4"/>
        </w:pBdr>
        <w:spacing w:before="380" w:after="180"/>
      </w:pPr>
      <w:r>
        <w:rPr>
          <w:rFonts w:ascii="Lora" w:eastAsia="Lora" w:hAnsi="Lora" w:cs="Lora"/>
          <w:b/>
          <w:bCs/>
          <w:color w:val="1A3A5C"/>
          <w:sz w:val="30"/>
          <w:szCs w:val="30"/>
        </w:rPr>
        <w:t>Workshop at a Glance</w:t>
      </w:r>
    </w:p>
    <w:tbl>
      <w:tblPr>
        <w:tblW w:w="9360" w:type="dxa"/>
        <w:tblCellMar>
          <w:left w:w="10" w:type="dxa"/>
          <w:right w:w="10" w:type="dxa"/>
        </w:tblCellMar>
        <w:tblLook w:val="0000" w:firstRow="0" w:lastRow="0" w:firstColumn="0" w:lastColumn="0" w:noHBand="0" w:noVBand="0"/>
      </w:tblPr>
      <w:tblGrid>
        <w:gridCol w:w="2800"/>
        <w:gridCol w:w="6560"/>
      </w:tblGrid>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WORKSHOP</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color w:val="1A3A5C"/>
              </w:rPr>
              <w:t>The Wealth Conversation — The Why, The How &amp; The Where of Investing</w:t>
            </w:r>
          </w:p>
        </w:tc>
      </w:tr>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DATE</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color w:val="1A3A5C"/>
              </w:rPr>
              <w:t>Friday, 31 July 2026</w:t>
            </w:r>
          </w:p>
        </w:tc>
      </w:tr>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TIME</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color w:val="1A3A5C"/>
              </w:rPr>
              <w:t>3:00 PM – 5:30 PM</w:t>
            </w:r>
          </w:p>
        </w:tc>
      </w:tr>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DURATION</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color w:val="1A3A5C"/>
              </w:rPr>
              <w:t>2.5 hours, inclusive of Q&amp;A</w:t>
            </w:r>
          </w:p>
        </w:tc>
      </w:tr>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FORMAT</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color w:val="1A3A5C"/>
              </w:rPr>
              <w:t>Live, interactive session with games, calculators and exercises</w:t>
            </w:r>
          </w:p>
        </w:tc>
      </w:tr>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AUDIENCE</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color w:val="1A3A5C"/>
              </w:rPr>
              <w:t>Forum members — no prior investing knowledge needed</w:t>
            </w:r>
          </w:p>
        </w:tc>
      </w:tr>
      <w:tr w:rsidR="00230DBA">
        <w:tblPrEx>
          <w:tblCellMar>
            <w:top w:w="0" w:type="dxa"/>
            <w:bottom w:w="0" w:type="dxa"/>
          </w:tblCellMar>
        </w:tblPrEx>
        <w:tc>
          <w:tcPr>
            <w:tcW w:w="2800" w:type="dxa"/>
            <w:tcBorders>
              <w:bottom w:val="single" w:sz="4" w:space="0" w:color="FFFFFF"/>
            </w:tcBorders>
            <w:shd w:val="clear" w:color="auto" w:fill="E0F3F0"/>
            <w:tcMar>
              <w:top w:w="120" w:type="dxa"/>
              <w:left w:w="200" w:type="dxa"/>
              <w:bottom w:w="120" w:type="dxa"/>
              <w:right w:w="200" w:type="dxa"/>
            </w:tcMar>
          </w:tcPr>
          <w:p w:rsidR="00230DBA" w:rsidRDefault="00B370AE">
            <w:r>
              <w:rPr>
                <w:b/>
                <w:bCs/>
                <w:color w:val="2A9D8F"/>
                <w:sz w:val="17"/>
                <w:szCs w:val="17"/>
              </w:rPr>
              <w:t>INVESTMENT</w:t>
            </w:r>
          </w:p>
        </w:tc>
        <w:tc>
          <w:tcPr>
            <w:tcW w:w="6560" w:type="dxa"/>
            <w:tcBorders>
              <w:bottom w:val="single" w:sz="4" w:space="0" w:color="FFFFFF"/>
            </w:tcBorders>
            <w:shd w:val="clear" w:color="auto" w:fill="F7FAF9"/>
            <w:tcMar>
              <w:top w:w="120" w:type="dxa"/>
              <w:left w:w="200" w:type="dxa"/>
              <w:bottom w:w="120" w:type="dxa"/>
              <w:right w:w="200" w:type="dxa"/>
            </w:tcMar>
          </w:tcPr>
          <w:p w:rsidR="00230DBA" w:rsidRDefault="00B370AE">
            <w:r>
              <w:rPr>
                <w:b/>
                <w:bCs/>
                <w:color w:val="1A3A5C"/>
              </w:rPr>
              <w:t>₹</w:t>
            </w:r>
            <w:r>
              <w:rPr>
                <w:b/>
                <w:bCs/>
                <w:color w:val="1A3A5C"/>
              </w:rPr>
              <w:t>40,000 — all-inclusive, GST included</w:t>
            </w:r>
          </w:p>
        </w:tc>
      </w:tr>
    </w:tbl>
    <w:p w:rsidR="00230DBA" w:rsidRDefault="00B370AE">
      <w:pPr>
        <w:keepNext/>
        <w:pBdr>
          <w:bottom w:val="single" w:sz="8" w:space="4" w:color="BDE9E4"/>
        </w:pBdr>
        <w:spacing w:before="380" w:after="180"/>
      </w:pPr>
      <w:r>
        <w:rPr>
          <w:rFonts w:ascii="Lora" w:eastAsia="Lora" w:hAnsi="Lora" w:cs="Lora"/>
          <w:b/>
          <w:bCs/>
          <w:color w:val="1A3A5C"/>
          <w:sz w:val="30"/>
          <w:szCs w:val="30"/>
        </w:rPr>
        <w:t>About Investing for Mummies</w:t>
      </w:r>
    </w:p>
    <w:p w:rsidR="00230DBA" w:rsidRDefault="00B370AE">
      <w:pPr>
        <w:spacing w:after="160" w:line="300" w:lineRule="auto"/>
      </w:pPr>
      <w:r>
        <w:t>Investing for Mummies (IFM) is a financial education platform that makes money conversations feel as natural as a chat with a friend. No jargon. No judgment. Just clarity, confidence and action.</w:t>
      </w:r>
    </w:p>
    <w:p w:rsidR="00230DBA" w:rsidRDefault="00B370AE">
      <w:pPr>
        <w:spacing w:after="160" w:line="300" w:lineRule="auto"/>
      </w:pPr>
      <w:r>
        <w:t>We specialise in making investing genuinely enjoyable — throu</w:t>
      </w:r>
      <w:r>
        <w:t>gh interactive games, simple calculators and real-life examples grounded in Indian investment products and Indian household realities. Our sessions are warm and playful, but always credible: every game and exercise is built on real financial principles.</w:t>
      </w:r>
    </w:p>
    <w:p w:rsidR="00230DBA" w:rsidRDefault="00B370AE">
      <w:pPr>
        <w:keepNext/>
        <w:pBdr>
          <w:bottom w:val="single" w:sz="8" w:space="4" w:color="BDE9E4"/>
        </w:pBdr>
        <w:spacing w:before="380" w:after="180"/>
      </w:pPr>
      <w:r>
        <w:rPr>
          <w:rFonts w:ascii="Lora" w:eastAsia="Lora" w:hAnsi="Lora" w:cs="Lora"/>
          <w:b/>
          <w:bCs/>
          <w:color w:val="1A3A5C"/>
          <w:sz w:val="30"/>
          <w:szCs w:val="30"/>
        </w:rPr>
        <w:lastRenderedPageBreak/>
        <w:t>Me</w:t>
      </w:r>
      <w:r>
        <w:rPr>
          <w:rFonts w:ascii="Lora" w:eastAsia="Lora" w:hAnsi="Lora" w:cs="Lora"/>
          <w:b/>
          <w:bCs/>
          <w:color w:val="1A3A5C"/>
          <w:sz w:val="30"/>
          <w:szCs w:val="30"/>
        </w:rPr>
        <w:t xml:space="preserve">et </w:t>
      </w:r>
      <w:proofErr w:type="spellStart"/>
      <w:r>
        <w:rPr>
          <w:rFonts w:ascii="Lora" w:eastAsia="Lora" w:hAnsi="Lora" w:cs="Lora"/>
          <w:b/>
          <w:bCs/>
          <w:color w:val="1A3A5C"/>
          <w:sz w:val="30"/>
          <w:szCs w:val="30"/>
        </w:rPr>
        <w:t>Hiral</w:t>
      </w:r>
      <w:proofErr w:type="spellEnd"/>
      <w:r>
        <w:rPr>
          <w:rFonts w:ascii="Lora" w:eastAsia="Lora" w:hAnsi="Lora" w:cs="Lora"/>
          <w:b/>
          <w:bCs/>
          <w:color w:val="1A3A5C"/>
          <w:sz w:val="30"/>
          <w:szCs w:val="30"/>
        </w:rPr>
        <w:t xml:space="preserve"> </w:t>
      </w:r>
      <w:proofErr w:type="spellStart"/>
      <w:r>
        <w:rPr>
          <w:rFonts w:ascii="Lora" w:eastAsia="Lora" w:hAnsi="Lora" w:cs="Lora"/>
          <w:b/>
          <w:bCs/>
          <w:color w:val="1A3A5C"/>
          <w:sz w:val="30"/>
          <w:szCs w:val="30"/>
        </w:rPr>
        <w:t>Goel</w:t>
      </w:r>
      <w:proofErr w:type="spellEnd"/>
    </w:p>
    <w:tbl>
      <w:tblPr>
        <w:tblW w:w="9360" w:type="dxa"/>
        <w:tblCellMar>
          <w:left w:w="10" w:type="dxa"/>
          <w:right w:w="10" w:type="dxa"/>
        </w:tblCellMar>
        <w:tblLook w:val="0000" w:firstRow="0" w:lastRow="0" w:firstColumn="0" w:lastColumn="0" w:noHBand="0" w:noVBand="0"/>
      </w:tblPr>
      <w:tblGrid>
        <w:gridCol w:w="6360"/>
        <w:gridCol w:w="3000"/>
      </w:tblGrid>
      <w:tr w:rsidR="00230DBA">
        <w:tblPrEx>
          <w:tblCellMar>
            <w:top w:w="0" w:type="dxa"/>
            <w:bottom w:w="0" w:type="dxa"/>
          </w:tblCellMar>
        </w:tblPrEx>
        <w:tc>
          <w:tcPr>
            <w:tcW w:w="6360" w:type="dxa"/>
            <w:tcMar>
              <w:top w:w="0" w:type="dxa"/>
              <w:left w:w="0" w:type="dxa"/>
              <w:bottom w:w="0" w:type="dxa"/>
              <w:right w:w="280" w:type="dxa"/>
            </w:tcMar>
          </w:tcPr>
          <w:p w:rsidR="00230DBA" w:rsidRDefault="00B370AE">
            <w:pPr>
              <w:spacing w:after="160" w:line="300" w:lineRule="auto"/>
            </w:pPr>
            <w:r>
              <w:t xml:space="preserve">A graduate of the </w:t>
            </w:r>
            <w:r>
              <w:rPr>
                <w:b/>
                <w:bCs/>
                <w:color w:val="1A3A5C"/>
              </w:rPr>
              <w:t xml:space="preserve">University of Michigan, Ann </w:t>
            </w:r>
            <w:proofErr w:type="spellStart"/>
            <w:r>
              <w:rPr>
                <w:b/>
                <w:bCs/>
                <w:color w:val="1A3A5C"/>
              </w:rPr>
              <w:t>Arbor</w:t>
            </w:r>
            <w:proofErr w:type="spellEnd"/>
            <w:r>
              <w:t xml:space="preserve"> in </w:t>
            </w:r>
            <w:r>
              <w:rPr>
                <w:b/>
                <w:bCs/>
                <w:color w:val="1A3A5C"/>
              </w:rPr>
              <w:t>Communications</w:t>
            </w:r>
            <w:r>
              <w:t xml:space="preserve">, I spent over a decade as a business journalist with </w:t>
            </w:r>
            <w:r>
              <w:rPr>
                <w:i/>
                <w:iCs/>
              </w:rPr>
              <w:t>Business India</w:t>
            </w:r>
            <w:r>
              <w:t xml:space="preserve"> magazine, where I covered India's corporate landscape and had the privilege of interviewing some of the </w:t>
            </w:r>
            <w:r>
              <w:t xml:space="preserve">country's most respected business leaders. I also helmed the magazine's flagship </w:t>
            </w:r>
            <w:r>
              <w:rPr>
                <w:b/>
                <w:bCs/>
                <w:color w:val="1A3A5C"/>
              </w:rPr>
              <w:t>Businessman of the Year</w:t>
            </w:r>
            <w:r>
              <w:t xml:space="preserve"> Award, bringing together a distinguished jury and writing the cover story on each year's awardee.</w:t>
            </w:r>
          </w:p>
          <w:p w:rsidR="00230DBA" w:rsidRDefault="00B370AE">
            <w:pPr>
              <w:spacing w:line="300" w:lineRule="auto"/>
            </w:pPr>
            <w:r>
              <w:t>As a mother of two, I eventually became more involved in my own family's financial planning. That's when I realised something surprising—despite spending years writing about India's most respected businesses, I didn't know how to manage my own money.</w:t>
            </w:r>
          </w:p>
        </w:tc>
        <w:tc>
          <w:tcPr>
            <w:tcW w:w="3000" w:type="dxa"/>
            <w:tcMar>
              <w:top w:w="40" w:type="dxa"/>
              <w:left w:w="0" w:type="dxa"/>
              <w:bottom w:w="0" w:type="dxa"/>
              <w:right w:w="0" w:type="dxa"/>
            </w:tcMar>
          </w:tcPr>
          <w:p w:rsidR="00230DBA" w:rsidRDefault="00B370AE">
            <w:pPr>
              <w:spacing w:after="60"/>
              <w:jc w:val="right"/>
            </w:pPr>
            <w:r>
              <w:rPr>
                <w:noProof/>
              </w:rPr>
              <w:drawing>
                <wp:inline distT="0" distB="0" distL="0" distR="0">
                  <wp:extent cx="16002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00200" cy="2400300"/>
                          </a:xfrm>
                          <a:prstGeom prst="rect">
                            <a:avLst/>
                          </a:prstGeom>
                        </pic:spPr>
                      </pic:pic>
                    </a:graphicData>
                  </a:graphic>
                </wp:inline>
              </w:drawing>
            </w:r>
          </w:p>
          <w:p w:rsidR="00230DBA" w:rsidRDefault="00B370AE">
            <w:pPr>
              <w:jc w:val="right"/>
            </w:pPr>
            <w:proofErr w:type="spellStart"/>
            <w:r>
              <w:rPr>
                <w:b/>
                <w:bCs/>
                <w:color w:val="1A3A5C"/>
                <w:sz w:val="19"/>
                <w:szCs w:val="19"/>
              </w:rPr>
              <w:t>Hir</w:t>
            </w:r>
            <w:r>
              <w:rPr>
                <w:b/>
                <w:bCs/>
                <w:color w:val="1A3A5C"/>
                <w:sz w:val="19"/>
                <w:szCs w:val="19"/>
              </w:rPr>
              <w:t>al</w:t>
            </w:r>
            <w:proofErr w:type="spellEnd"/>
            <w:r>
              <w:rPr>
                <w:b/>
                <w:bCs/>
                <w:color w:val="1A3A5C"/>
                <w:sz w:val="19"/>
                <w:szCs w:val="19"/>
              </w:rPr>
              <w:t xml:space="preserve"> </w:t>
            </w:r>
            <w:proofErr w:type="spellStart"/>
            <w:r>
              <w:rPr>
                <w:b/>
                <w:bCs/>
                <w:color w:val="1A3A5C"/>
                <w:sz w:val="19"/>
                <w:szCs w:val="19"/>
              </w:rPr>
              <w:t>Goel</w:t>
            </w:r>
            <w:proofErr w:type="spellEnd"/>
            <w:r>
              <w:rPr>
                <w:color w:val="5A7D8A"/>
                <w:sz w:val="19"/>
                <w:szCs w:val="19"/>
              </w:rPr>
              <w:t xml:space="preserve">  ·  Founder</w:t>
            </w:r>
          </w:p>
        </w:tc>
      </w:tr>
    </w:tbl>
    <w:p w:rsidR="00230DBA" w:rsidRDefault="00B370AE">
      <w:pPr>
        <w:spacing w:before="160" w:after="160" w:line="300" w:lineRule="auto"/>
      </w:pPr>
      <w:r>
        <w:t>I discovered that many women shared the same experience. We were educated, successful in our careers, and capable of earning money, yet few of us had been taught how to invest it with confidence.</w:t>
      </w:r>
    </w:p>
    <w:p w:rsidR="00230DBA" w:rsidRDefault="00B370AE">
      <w:pPr>
        <w:spacing w:after="160" w:line="300" w:lineRule="auto"/>
      </w:pPr>
      <w:r>
        <w:t xml:space="preserve">That realisation inspired me to start </w:t>
      </w:r>
      <w:r>
        <w:rPr>
          <w:b/>
          <w:bCs/>
          <w:color w:val="1A3A5C"/>
        </w:rPr>
        <w:t>I</w:t>
      </w:r>
      <w:r>
        <w:rPr>
          <w:b/>
          <w:bCs/>
          <w:color w:val="1A3A5C"/>
        </w:rPr>
        <w:t>nvesting for Mummies</w:t>
      </w:r>
      <w:r>
        <w:t>.</w:t>
      </w:r>
    </w:p>
    <w:p w:rsidR="00230DBA" w:rsidRDefault="00B370AE">
      <w:pPr>
        <w:spacing w:after="160" w:line="300" w:lineRule="auto"/>
      </w:pPr>
      <w:r>
        <w:t>Today, I conduct workshops for women and corporate organisations that simplify investing and build financial confidence. Through practical examples, relatable analogies, and interactive learning, my goal is to help women become inform</w:t>
      </w:r>
      <w:r>
        <w:t>ed, confident, and equal participants in their family's financial decisions.</w:t>
      </w:r>
    </w:p>
    <w:p w:rsidR="00230DBA" w:rsidRDefault="00B370AE">
      <w:pPr>
        <w:pBdr>
          <w:left w:val="single" w:sz="24" w:space="12" w:color="2A9D8F"/>
        </w:pBdr>
        <w:ind w:left="200"/>
      </w:pPr>
      <w:r>
        <w:rPr>
          <w:rFonts w:ascii="Lora" w:eastAsia="Lora" w:hAnsi="Lora" w:cs="Lora"/>
          <w:i/>
          <w:iCs/>
          <w:color w:val="2A9D8F"/>
          <w:sz w:val="22"/>
          <w:szCs w:val="22"/>
        </w:rPr>
        <w:t>“I believe that if women are capable of earning their own money, they are absolutely capable of learning how to grow and manage it too.”</w:t>
      </w:r>
    </w:p>
    <w:p w:rsidR="00230DBA" w:rsidRDefault="00B370AE">
      <w:pPr>
        <w:keepNext/>
        <w:pBdr>
          <w:bottom w:val="single" w:sz="8" w:space="4" w:color="BDE9E4"/>
        </w:pBdr>
        <w:spacing w:before="380" w:after="180"/>
      </w:pPr>
      <w:r>
        <w:rPr>
          <w:rFonts w:ascii="Lora" w:eastAsia="Lora" w:hAnsi="Lora" w:cs="Lora"/>
          <w:b/>
          <w:bCs/>
          <w:color w:val="1A3A5C"/>
          <w:sz w:val="30"/>
          <w:szCs w:val="30"/>
        </w:rPr>
        <w:t>Workshop Structure</w:t>
      </w:r>
    </w:p>
    <w:p w:rsidR="00230DBA" w:rsidRDefault="00B370AE">
      <w:pPr>
        <w:spacing w:after="160" w:line="300" w:lineRule="auto"/>
      </w:pPr>
      <w:r>
        <w:t>The workshop is structured into three key sections — The Why, The How and The Where of Investing — and is designed to simplify concepts that often feel intimidating or overwhelming.</w:t>
      </w:r>
    </w:p>
    <w:p w:rsidR="00230DBA" w:rsidRDefault="00B370AE">
      <w:pPr>
        <w:keepNext/>
        <w:spacing w:before="280" w:after="120"/>
      </w:pPr>
      <w:r>
        <w:rPr>
          <w:b/>
          <w:bCs/>
          <w:color w:val="2A9D8F"/>
          <w:sz w:val="22"/>
          <w:szCs w:val="22"/>
        </w:rPr>
        <w:t xml:space="preserve">SECTION 01   </w:t>
      </w:r>
      <w:r>
        <w:rPr>
          <w:rFonts w:ascii="Lora" w:eastAsia="Lora" w:hAnsi="Lora" w:cs="Lora"/>
          <w:b/>
          <w:bCs/>
          <w:color w:val="1A3A5C"/>
          <w:sz w:val="26"/>
          <w:szCs w:val="26"/>
        </w:rPr>
        <w:t>The Why — Why investing matters</w:t>
      </w:r>
    </w:p>
    <w:p w:rsidR="00230DBA" w:rsidRDefault="00B370AE">
      <w:pPr>
        <w:spacing w:after="100" w:line="300" w:lineRule="auto"/>
      </w:pPr>
      <w:r>
        <w:t>We begin by understanding why investing is necessary in the first place. This section focuses on:</w:t>
      </w:r>
    </w:p>
    <w:p w:rsidR="00230DBA" w:rsidRDefault="00B370AE">
      <w:pPr>
        <w:pStyle w:val="ListParagraph"/>
        <w:numPr>
          <w:ilvl w:val="0"/>
          <w:numId w:val="2"/>
        </w:numPr>
        <w:spacing w:after="100" w:line="290" w:lineRule="auto"/>
      </w:pPr>
      <w:r>
        <w:t>Understanding inflation and why simply saving money is often not enough</w:t>
      </w:r>
    </w:p>
    <w:p w:rsidR="00230DBA" w:rsidRDefault="00B370AE">
      <w:pPr>
        <w:pStyle w:val="ListParagraph"/>
        <w:numPr>
          <w:ilvl w:val="0"/>
          <w:numId w:val="2"/>
        </w:numPr>
        <w:spacing w:after="100" w:line="290" w:lineRule="auto"/>
      </w:pPr>
      <w:r>
        <w:t>Learning how inflation impacts long-term goals</w:t>
      </w:r>
    </w:p>
    <w:p w:rsidR="00230DBA" w:rsidRDefault="00B370AE">
      <w:pPr>
        <w:pStyle w:val="ListParagraph"/>
        <w:numPr>
          <w:ilvl w:val="0"/>
          <w:numId w:val="2"/>
        </w:numPr>
        <w:spacing w:after="100" w:line="290" w:lineRule="auto"/>
      </w:pPr>
      <w:r>
        <w:t>Using simple inflation calculators to p</w:t>
      </w:r>
      <w:r>
        <w:t>ractically understand the math</w:t>
      </w:r>
    </w:p>
    <w:p w:rsidR="00230DBA" w:rsidRDefault="00B370AE">
      <w:pPr>
        <w:pStyle w:val="ListParagraph"/>
        <w:numPr>
          <w:ilvl w:val="0"/>
          <w:numId w:val="2"/>
        </w:numPr>
        <w:spacing w:after="100" w:line="290" w:lineRule="auto"/>
      </w:pPr>
      <w:r>
        <w:t>Experiencing the power of compounding through interactive games and exercises</w:t>
      </w:r>
    </w:p>
    <w:p w:rsidR="00230DBA" w:rsidRDefault="00B370AE">
      <w:pPr>
        <w:keepNext/>
        <w:spacing w:before="280" w:after="120"/>
      </w:pPr>
      <w:r>
        <w:rPr>
          <w:b/>
          <w:bCs/>
          <w:color w:val="2A9D8F"/>
          <w:sz w:val="22"/>
          <w:szCs w:val="22"/>
        </w:rPr>
        <w:lastRenderedPageBreak/>
        <w:t xml:space="preserve">SECTION 02   </w:t>
      </w:r>
      <w:r>
        <w:rPr>
          <w:rFonts w:ascii="Lora" w:eastAsia="Lora" w:hAnsi="Lora" w:cs="Lora"/>
          <w:b/>
          <w:bCs/>
          <w:color w:val="1A3A5C"/>
          <w:sz w:val="26"/>
          <w:szCs w:val="26"/>
        </w:rPr>
        <w:t>The How — The 3 Bucket Investment Strategy</w:t>
      </w:r>
    </w:p>
    <w:p w:rsidR="00230DBA" w:rsidRDefault="00B370AE">
      <w:pPr>
        <w:spacing w:after="100" w:line="300" w:lineRule="auto"/>
      </w:pPr>
      <w:r>
        <w:t xml:space="preserve">This section introduces a simple yet powerful framework for organising investments through </w:t>
      </w:r>
      <w:r>
        <w:t>the 3 Bucket Investment Strategy:</w:t>
      </w:r>
    </w:p>
    <w:p w:rsidR="00230DBA" w:rsidRDefault="00B370AE">
      <w:pPr>
        <w:pStyle w:val="ListParagraph"/>
        <w:numPr>
          <w:ilvl w:val="0"/>
          <w:numId w:val="2"/>
        </w:numPr>
        <w:spacing w:after="100" w:line="290" w:lineRule="auto"/>
      </w:pPr>
      <w:r>
        <w:rPr>
          <w:b/>
          <w:bCs/>
          <w:color w:val="1A3A5C"/>
        </w:rPr>
        <w:t xml:space="preserve">Emergency Bucket — </w:t>
      </w:r>
      <w:r>
        <w:t>The money you can reach in a crisis — parked safe and liquid.</w:t>
      </w:r>
    </w:p>
    <w:p w:rsidR="00230DBA" w:rsidRDefault="00B370AE">
      <w:pPr>
        <w:pStyle w:val="ListParagraph"/>
        <w:numPr>
          <w:ilvl w:val="0"/>
          <w:numId w:val="2"/>
        </w:numPr>
        <w:spacing w:after="100" w:line="290" w:lineRule="auto"/>
      </w:pPr>
      <w:r>
        <w:rPr>
          <w:b/>
          <w:bCs/>
          <w:color w:val="1A3A5C"/>
        </w:rPr>
        <w:t xml:space="preserve">Stability Bucket — </w:t>
      </w:r>
      <w:r>
        <w:t>The money that keeps your life steady — low-risk, dependable growth.</w:t>
      </w:r>
    </w:p>
    <w:p w:rsidR="00230DBA" w:rsidRDefault="00B370AE">
      <w:pPr>
        <w:pStyle w:val="ListParagraph"/>
        <w:numPr>
          <w:ilvl w:val="0"/>
          <w:numId w:val="2"/>
        </w:numPr>
        <w:spacing w:after="100" w:line="290" w:lineRule="auto"/>
      </w:pPr>
      <w:r>
        <w:rPr>
          <w:b/>
          <w:bCs/>
          <w:color w:val="1A3A5C"/>
        </w:rPr>
        <w:t xml:space="preserve">Growth Bucket — </w:t>
      </w:r>
      <w:r>
        <w:t>The money that builds long-term wealt</w:t>
      </w:r>
      <w:r>
        <w:t>h — invested for the future.</w:t>
      </w:r>
    </w:p>
    <w:p w:rsidR="00230DBA" w:rsidRDefault="00B370AE">
      <w:pPr>
        <w:spacing w:after="100" w:line="300" w:lineRule="auto"/>
      </w:pPr>
      <w:r>
        <w:t>Participants will learn how different investments serve different purposes, and how this framework brings structure, clarity and confidence to financial decision-making.</w:t>
      </w:r>
    </w:p>
    <w:p w:rsidR="00230DBA" w:rsidRDefault="00B370AE">
      <w:pPr>
        <w:keepNext/>
        <w:spacing w:before="280" w:after="120"/>
      </w:pPr>
      <w:r>
        <w:rPr>
          <w:b/>
          <w:bCs/>
          <w:color w:val="2A9D8F"/>
          <w:sz w:val="22"/>
          <w:szCs w:val="22"/>
        </w:rPr>
        <w:t xml:space="preserve">SECTION 03   </w:t>
      </w:r>
      <w:r>
        <w:rPr>
          <w:rFonts w:ascii="Lora" w:eastAsia="Lora" w:hAnsi="Lora" w:cs="Lora"/>
          <w:b/>
          <w:bCs/>
          <w:color w:val="1A3A5C"/>
          <w:sz w:val="26"/>
          <w:szCs w:val="26"/>
        </w:rPr>
        <w:t>The Where — Understanding asset classes</w:t>
      </w:r>
    </w:p>
    <w:p w:rsidR="00230DBA" w:rsidRDefault="00B370AE">
      <w:pPr>
        <w:spacing w:after="100" w:line="300" w:lineRule="auto"/>
      </w:pPr>
      <w:r>
        <w:t>In t</w:t>
      </w:r>
      <w:r>
        <w:t>he final section, we introduce the different asset classes and what they represent:</w:t>
      </w:r>
    </w:p>
    <w:p w:rsidR="00230DBA" w:rsidRDefault="00B370AE">
      <w:pPr>
        <w:pStyle w:val="ListParagraph"/>
        <w:numPr>
          <w:ilvl w:val="0"/>
          <w:numId w:val="2"/>
        </w:numPr>
        <w:spacing w:after="100" w:line="290" w:lineRule="auto"/>
      </w:pPr>
      <w:r>
        <w:t>The role and characteristics of various asset classes — and where each one fits within the three buckets</w:t>
      </w:r>
    </w:p>
    <w:p w:rsidR="00230DBA" w:rsidRDefault="00B370AE">
      <w:pPr>
        <w:keepNext/>
        <w:pBdr>
          <w:bottom w:val="single" w:sz="8" w:space="4" w:color="BDE9E4"/>
        </w:pBdr>
        <w:spacing w:before="380" w:after="180"/>
      </w:pPr>
      <w:r>
        <w:rPr>
          <w:rFonts w:ascii="Lora" w:eastAsia="Lora" w:hAnsi="Lora" w:cs="Lora"/>
          <w:b/>
          <w:bCs/>
          <w:color w:val="1A3A5C"/>
          <w:sz w:val="30"/>
          <w:szCs w:val="30"/>
        </w:rPr>
        <w:t>Session Flow</w:t>
      </w:r>
    </w:p>
    <w:tbl>
      <w:tblPr>
        <w:tblW w:w="9360" w:type="dxa"/>
        <w:tblCellMar>
          <w:left w:w="10" w:type="dxa"/>
          <w:right w:w="10" w:type="dxa"/>
        </w:tblCellMar>
        <w:tblLook w:val="0000" w:firstRow="0" w:lastRow="0" w:firstColumn="0" w:lastColumn="0" w:noHBand="0" w:noVBand="0"/>
      </w:tblPr>
      <w:tblGrid>
        <w:gridCol w:w="2200"/>
        <w:gridCol w:w="7160"/>
      </w:tblGrid>
      <w:tr w:rsidR="00230DBA">
        <w:tblPrEx>
          <w:tblCellMar>
            <w:top w:w="0" w:type="dxa"/>
            <w:bottom w:w="0" w:type="dxa"/>
          </w:tblCellMar>
        </w:tblPrEx>
        <w:tc>
          <w:tcPr>
            <w:tcW w:w="2200" w:type="dxa"/>
            <w:tcBorders>
              <w:bottom w:val="single" w:sz="4" w:space="0" w:color="FFFFFF"/>
            </w:tcBorders>
            <w:shd w:val="clear" w:color="auto" w:fill="1A3A5C"/>
            <w:tcMar>
              <w:top w:w="100" w:type="dxa"/>
              <w:left w:w="200" w:type="dxa"/>
              <w:bottom w:w="100" w:type="dxa"/>
              <w:right w:w="200" w:type="dxa"/>
            </w:tcMar>
          </w:tcPr>
          <w:p w:rsidR="00230DBA" w:rsidRDefault="00B370AE">
            <w:r>
              <w:rPr>
                <w:b/>
                <w:bCs/>
                <w:color w:val="FFFFFF"/>
                <w:sz w:val="18"/>
                <w:szCs w:val="18"/>
              </w:rPr>
              <w:t>TIME</w:t>
            </w:r>
          </w:p>
        </w:tc>
        <w:tc>
          <w:tcPr>
            <w:tcW w:w="7160" w:type="dxa"/>
            <w:tcBorders>
              <w:bottom w:val="single" w:sz="4" w:space="0" w:color="FFFFFF"/>
            </w:tcBorders>
            <w:shd w:val="clear" w:color="auto" w:fill="1A3A5C"/>
            <w:tcMar>
              <w:top w:w="100" w:type="dxa"/>
              <w:left w:w="200" w:type="dxa"/>
              <w:bottom w:w="100" w:type="dxa"/>
              <w:right w:w="200" w:type="dxa"/>
            </w:tcMar>
          </w:tcPr>
          <w:p w:rsidR="00230DBA" w:rsidRDefault="00B370AE">
            <w:r>
              <w:rPr>
                <w:b/>
                <w:bCs/>
                <w:color w:val="FFFFFF"/>
                <w:sz w:val="18"/>
                <w:szCs w:val="18"/>
              </w:rPr>
              <w:t>SEGMENT</w:t>
            </w:r>
          </w:p>
        </w:tc>
      </w:tr>
      <w:tr w:rsidR="00230DBA">
        <w:tblPrEx>
          <w:tblCellMar>
            <w:top w:w="0" w:type="dxa"/>
            <w:bottom w:w="0" w:type="dxa"/>
          </w:tblCellMar>
        </w:tblPrEx>
        <w:tc>
          <w:tcPr>
            <w:tcW w:w="2200" w:type="dxa"/>
            <w:tcBorders>
              <w:bottom w:val="single" w:sz="4" w:space="0" w:color="FFFFFF"/>
            </w:tcBorders>
            <w:shd w:val="clear" w:color="auto" w:fill="F7FAF9"/>
            <w:tcMar>
              <w:top w:w="100" w:type="dxa"/>
              <w:left w:w="200" w:type="dxa"/>
              <w:bottom w:w="100" w:type="dxa"/>
              <w:right w:w="200" w:type="dxa"/>
            </w:tcMar>
          </w:tcPr>
          <w:p w:rsidR="00230DBA" w:rsidRDefault="00B370AE">
            <w:r>
              <w:rPr>
                <w:b/>
                <w:bCs/>
                <w:color w:val="2A9D8F"/>
                <w:sz w:val="20"/>
                <w:szCs w:val="20"/>
              </w:rPr>
              <w:t>3:00 – 3:10</w:t>
            </w:r>
          </w:p>
        </w:tc>
        <w:tc>
          <w:tcPr>
            <w:tcW w:w="7160" w:type="dxa"/>
            <w:tcBorders>
              <w:bottom w:val="single" w:sz="4" w:space="0" w:color="FFFFFF"/>
            </w:tcBorders>
            <w:shd w:val="clear" w:color="auto" w:fill="F7FAF9"/>
            <w:tcMar>
              <w:top w:w="100" w:type="dxa"/>
              <w:left w:w="200" w:type="dxa"/>
              <w:bottom w:w="100" w:type="dxa"/>
              <w:right w:w="200" w:type="dxa"/>
            </w:tcMar>
          </w:tcPr>
          <w:p w:rsidR="00230DBA" w:rsidRDefault="00B370AE">
            <w:r>
              <w:rPr>
                <w:sz w:val="20"/>
                <w:szCs w:val="20"/>
              </w:rPr>
              <w:t>Welcome &amp; warm-up</w:t>
            </w:r>
          </w:p>
        </w:tc>
      </w:tr>
      <w:tr w:rsidR="00230DBA">
        <w:tblPrEx>
          <w:tblCellMar>
            <w:top w:w="0" w:type="dxa"/>
            <w:bottom w:w="0" w:type="dxa"/>
          </w:tblCellMar>
        </w:tblPrEx>
        <w:tc>
          <w:tcPr>
            <w:tcW w:w="2200" w:type="dxa"/>
            <w:tcBorders>
              <w:bottom w:val="single" w:sz="4" w:space="0" w:color="FFFFFF"/>
            </w:tcBorders>
            <w:shd w:val="clear" w:color="auto" w:fill="F7FAF9"/>
            <w:tcMar>
              <w:top w:w="100" w:type="dxa"/>
              <w:left w:w="200" w:type="dxa"/>
              <w:bottom w:w="100" w:type="dxa"/>
              <w:right w:w="200" w:type="dxa"/>
            </w:tcMar>
          </w:tcPr>
          <w:p w:rsidR="00230DBA" w:rsidRDefault="00B370AE">
            <w:r>
              <w:rPr>
                <w:b/>
                <w:bCs/>
                <w:color w:val="2A9D8F"/>
                <w:sz w:val="20"/>
                <w:szCs w:val="20"/>
              </w:rPr>
              <w:t>3:10 – 3:55</w:t>
            </w:r>
          </w:p>
        </w:tc>
        <w:tc>
          <w:tcPr>
            <w:tcW w:w="7160" w:type="dxa"/>
            <w:tcBorders>
              <w:bottom w:val="single" w:sz="4" w:space="0" w:color="FFFFFF"/>
            </w:tcBorders>
            <w:shd w:val="clear" w:color="auto" w:fill="F7FAF9"/>
            <w:tcMar>
              <w:top w:w="100" w:type="dxa"/>
              <w:left w:w="200" w:type="dxa"/>
              <w:bottom w:w="100" w:type="dxa"/>
              <w:right w:w="200" w:type="dxa"/>
            </w:tcMar>
          </w:tcPr>
          <w:p w:rsidR="00230DBA" w:rsidRDefault="00B370AE">
            <w:r>
              <w:rPr>
                <w:sz w:val="20"/>
                <w:szCs w:val="20"/>
              </w:rPr>
              <w:t>The Why — inflation, goals, calculators &amp; the compounding game</w:t>
            </w:r>
          </w:p>
        </w:tc>
      </w:tr>
      <w:tr w:rsidR="00230DBA">
        <w:tblPrEx>
          <w:tblCellMar>
            <w:top w:w="0" w:type="dxa"/>
            <w:bottom w:w="0" w:type="dxa"/>
          </w:tblCellMar>
        </w:tblPrEx>
        <w:tc>
          <w:tcPr>
            <w:tcW w:w="2200" w:type="dxa"/>
            <w:tcBorders>
              <w:bottom w:val="single" w:sz="4" w:space="0" w:color="FFFFFF"/>
            </w:tcBorders>
            <w:shd w:val="clear" w:color="auto" w:fill="F7FAF9"/>
            <w:tcMar>
              <w:top w:w="100" w:type="dxa"/>
              <w:left w:w="200" w:type="dxa"/>
              <w:bottom w:w="100" w:type="dxa"/>
              <w:right w:w="200" w:type="dxa"/>
            </w:tcMar>
          </w:tcPr>
          <w:p w:rsidR="00230DBA" w:rsidRDefault="00B370AE">
            <w:r>
              <w:rPr>
                <w:b/>
                <w:bCs/>
                <w:color w:val="2A9D8F"/>
                <w:sz w:val="20"/>
                <w:szCs w:val="20"/>
              </w:rPr>
              <w:t>3:55 – 4:35</w:t>
            </w:r>
          </w:p>
        </w:tc>
        <w:tc>
          <w:tcPr>
            <w:tcW w:w="7160" w:type="dxa"/>
            <w:tcBorders>
              <w:bottom w:val="single" w:sz="4" w:space="0" w:color="FFFFFF"/>
            </w:tcBorders>
            <w:shd w:val="clear" w:color="auto" w:fill="F7FAF9"/>
            <w:tcMar>
              <w:top w:w="100" w:type="dxa"/>
              <w:left w:w="200" w:type="dxa"/>
              <w:bottom w:w="100" w:type="dxa"/>
              <w:right w:w="200" w:type="dxa"/>
            </w:tcMar>
          </w:tcPr>
          <w:p w:rsidR="00230DBA" w:rsidRDefault="00B370AE">
            <w:r>
              <w:rPr>
                <w:sz w:val="20"/>
                <w:szCs w:val="20"/>
              </w:rPr>
              <w:t>The How — the 3 Bucket Investment Strategy</w:t>
            </w:r>
          </w:p>
        </w:tc>
      </w:tr>
      <w:tr w:rsidR="00230DBA">
        <w:tblPrEx>
          <w:tblCellMar>
            <w:top w:w="0" w:type="dxa"/>
            <w:bottom w:w="0" w:type="dxa"/>
          </w:tblCellMar>
        </w:tblPrEx>
        <w:tc>
          <w:tcPr>
            <w:tcW w:w="2200" w:type="dxa"/>
            <w:tcBorders>
              <w:bottom w:val="single" w:sz="4" w:space="0" w:color="FFFFFF"/>
            </w:tcBorders>
            <w:shd w:val="clear" w:color="auto" w:fill="F7FAF9"/>
            <w:tcMar>
              <w:top w:w="100" w:type="dxa"/>
              <w:left w:w="200" w:type="dxa"/>
              <w:bottom w:w="100" w:type="dxa"/>
              <w:right w:w="200" w:type="dxa"/>
            </w:tcMar>
          </w:tcPr>
          <w:p w:rsidR="00230DBA" w:rsidRDefault="00B370AE">
            <w:r>
              <w:rPr>
                <w:b/>
                <w:bCs/>
                <w:color w:val="2A9D8F"/>
                <w:sz w:val="20"/>
                <w:szCs w:val="20"/>
              </w:rPr>
              <w:t>4:35 – 5:05</w:t>
            </w:r>
          </w:p>
        </w:tc>
        <w:tc>
          <w:tcPr>
            <w:tcW w:w="7160" w:type="dxa"/>
            <w:tcBorders>
              <w:bottom w:val="single" w:sz="4" w:space="0" w:color="FFFFFF"/>
            </w:tcBorders>
            <w:shd w:val="clear" w:color="auto" w:fill="F7FAF9"/>
            <w:tcMar>
              <w:top w:w="100" w:type="dxa"/>
              <w:left w:w="200" w:type="dxa"/>
              <w:bottom w:w="100" w:type="dxa"/>
              <w:right w:w="200" w:type="dxa"/>
            </w:tcMar>
          </w:tcPr>
          <w:p w:rsidR="00230DBA" w:rsidRDefault="00B370AE">
            <w:r>
              <w:rPr>
                <w:sz w:val="20"/>
                <w:szCs w:val="20"/>
              </w:rPr>
              <w:t>The Where — asset classes and where they fit</w:t>
            </w:r>
          </w:p>
        </w:tc>
      </w:tr>
      <w:tr w:rsidR="00230DBA">
        <w:tblPrEx>
          <w:tblCellMar>
            <w:top w:w="0" w:type="dxa"/>
            <w:bottom w:w="0" w:type="dxa"/>
          </w:tblCellMar>
        </w:tblPrEx>
        <w:tc>
          <w:tcPr>
            <w:tcW w:w="2200" w:type="dxa"/>
            <w:tcBorders>
              <w:bottom w:val="single" w:sz="4" w:space="0" w:color="FFFFFF"/>
            </w:tcBorders>
            <w:shd w:val="clear" w:color="auto" w:fill="F7FAF9"/>
            <w:tcMar>
              <w:top w:w="100" w:type="dxa"/>
              <w:left w:w="200" w:type="dxa"/>
              <w:bottom w:w="100" w:type="dxa"/>
              <w:right w:w="200" w:type="dxa"/>
            </w:tcMar>
          </w:tcPr>
          <w:p w:rsidR="00230DBA" w:rsidRDefault="00B370AE">
            <w:r>
              <w:rPr>
                <w:b/>
                <w:bCs/>
                <w:color w:val="2A9D8F"/>
                <w:sz w:val="20"/>
                <w:szCs w:val="20"/>
              </w:rPr>
              <w:t>5:05 – 5:30</w:t>
            </w:r>
          </w:p>
        </w:tc>
        <w:tc>
          <w:tcPr>
            <w:tcW w:w="7160" w:type="dxa"/>
            <w:tcBorders>
              <w:bottom w:val="single" w:sz="4" w:space="0" w:color="FFFFFF"/>
            </w:tcBorders>
            <w:shd w:val="clear" w:color="auto" w:fill="F7FAF9"/>
            <w:tcMar>
              <w:top w:w="100" w:type="dxa"/>
              <w:left w:w="200" w:type="dxa"/>
              <w:bottom w:w="100" w:type="dxa"/>
              <w:right w:w="200" w:type="dxa"/>
            </w:tcMar>
          </w:tcPr>
          <w:p w:rsidR="00230DBA" w:rsidRDefault="00B370AE">
            <w:r>
              <w:rPr>
                <w:sz w:val="20"/>
                <w:szCs w:val="20"/>
              </w:rPr>
              <w:t>Q&amp;A and key takeaways</w:t>
            </w:r>
          </w:p>
        </w:tc>
      </w:tr>
    </w:tbl>
    <w:p w:rsidR="00230DBA" w:rsidRDefault="00B370AE">
      <w:pPr>
        <w:keepNext/>
        <w:pBdr>
          <w:bottom w:val="single" w:sz="8" w:space="4" w:color="BDE9E4"/>
        </w:pBdr>
        <w:spacing w:before="380" w:after="180"/>
      </w:pPr>
      <w:r>
        <w:rPr>
          <w:rFonts w:ascii="Lora" w:eastAsia="Lora" w:hAnsi="Lora" w:cs="Lora"/>
          <w:b/>
          <w:bCs/>
          <w:color w:val="1A3A5C"/>
          <w:sz w:val="30"/>
          <w:szCs w:val="30"/>
        </w:rPr>
        <w:t>What Participants Walk Away With</w:t>
      </w:r>
    </w:p>
    <w:p w:rsidR="00230DBA" w:rsidRDefault="00B370AE">
      <w:pPr>
        <w:spacing w:after="120" w:line="300" w:lineRule="auto"/>
      </w:pPr>
      <w:r>
        <w:t>The strongest takeaway from this workshop is that participants will leave with a new way of thinking about money and investing:</w:t>
      </w:r>
    </w:p>
    <w:p w:rsidR="00230DBA" w:rsidRDefault="00B370AE">
      <w:pPr>
        <w:pStyle w:val="ListParagraph"/>
        <w:numPr>
          <w:ilvl w:val="0"/>
          <w:numId w:val="3"/>
        </w:numPr>
        <w:spacing w:after="100" w:line="290" w:lineRule="auto"/>
      </w:pPr>
      <w:r>
        <w:t>A practical understanding of why investing matters</w:t>
      </w:r>
    </w:p>
    <w:p w:rsidR="00230DBA" w:rsidRDefault="00B370AE">
      <w:pPr>
        <w:pStyle w:val="ListParagraph"/>
        <w:numPr>
          <w:ilvl w:val="0"/>
          <w:numId w:val="3"/>
        </w:numPr>
        <w:spacing w:after="100" w:line="290" w:lineRule="auto"/>
      </w:pPr>
      <w:r>
        <w:t>A simple framework to begin organising their</w:t>
      </w:r>
      <w:r>
        <w:t xml:space="preserve"> finances</w:t>
      </w:r>
    </w:p>
    <w:p w:rsidR="00230DBA" w:rsidRDefault="00B370AE">
      <w:pPr>
        <w:pStyle w:val="ListParagraph"/>
        <w:numPr>
          <w:ilvl w:val="0"/>
          <w:numId w:val="3"/>
        </w:numPr>
        <w:spacing w:after="100" w:line="290" w:lineRule="auto"/>
      </w:pPr>
      <w:r>
        <w:t>Greater confidence in making informed financial decisions</w:t>
      </w:r>
    </w:p>
    <w:p w:rsidR="00230DBA" w:rsidRDefault="00B370AE">
      <w:pPr>
        <w:pStyle w:val="ListParagraph"/>
        <w:numPr>
          <w:ilvl w:val="0"/>
          <w:numId w:val="3"/>
        </w:numPr>
        <w:spacing w:after="100" w:line="290" w:lineRule="auto"/>
      </w:pPr>
      <w:r>
        <w:t>The ability to start approaching money with clarity, purpose and long-term thinking</w:t>
      </w:r>
    </w:p>
    <w:p w:rsidR="00230DBA" w:rsidRDefault="00B370AE">
      <w:pPr>
        <w:keepNext/>
        <w:pBdr>
          <w:bottom w:val="single" w:sz="8" w:space="4" w:color="BDE9E4"/>
        </w:pBdr>
        <w:spacing w:before="380" w:after="180"/>
      </w:pPr>
      <w:r>
        <w:rPr>
          <w:rFonts w:ascii="Lora" w:eastAsia="Lora" w:hAnsi="Lora" w:cs="Lora"/>
          <w:b/>
          <w:bCs/>
          <w:color w:val="1A3A5C"/>
          <w:sz w:val="30"/>
          <w:szCs w:val="30"/>
        </w:rPr>
        <w:lastRenderedPageBreak/>
        <w:t>Investment</w:t>
      </w:r>
    </w:p>
    <w:tbl>
      <w:tblPr>
        <w:tblW w:w="9360" w:type="dxa"/>
        <w:tblCellMar>
          <w:left w:w="10" w:type="dxa"/>
          <w:right w:w="10" w:type="dxa"/>
        </w:tblCellMar>
        <w:tblLook w:val="0000" w:firstRow="0" w:lastRow="0" w:firstColumn="0" w:lastColumn="0" w:noHBand="0" w:noVBand="0"/>
      </w:tblPr>
      <w:tblGrid>
        <w:gridCol w:w="9360"/>
      </w:tblGrid>
      <w:tr w:rsidR="00230DBA">
        <w:tblPrEx>
          <w:tblCellMar>
            <w:top w:w="0" w:type="dxa"/>
            <w:bottom w:w="0" w:type="dxa"/>
          </w:tblCellMar>
        </w:tblPrEx>
        <w:trPr>
          <w:cantSplit/>
        </w:trPr>
        <w:tc>
          <w:tcPr>
            <w:tcW w:w="9360" w:type="dxa"/>
            <w:tcBorders>
              <w:left w:val="single" w:sz="32" w:space="0" w:color="2A9D8F"/>
            </w:tcBorders>
            <w:shd w:val="clear" w:color="auto" w:fill="E0F3F0"/>
            <w:tcMar>
              <w:top w:w="220" w:type="dxa"/>
              <w:left w:w="280" w:type="dxa"/>
              <w:bottom w:w="220" w:type="dxa"/>
              <w:right w:w="280" w:type="dxa"/>
            </w:tcMar>
          </w:tcPr>
          <w:p w:rsidR="00230DBA" w:rsidRDefault="00B370AE">
            <w:pPr>
              <w:spacing w:after="60"/>
            </w:pPr>
            <w:r>
              <w:rPr>
                <w:rFonts w:ascii="Lora" w:eastAsia="Lora" w:hAnsi="Lora" w:cs="Lora"/>
                <w:b/>
                <w:bCs/>
                <w:color w:val="1A3A5C"/>
                <w:sz w:val="44"/>
                <w:szCs w:val="44"/>
              </w:rPr>
              <w:t>₹</w:t>
            </w:r>
            <w:r>
              <w:rPr>
                <w:rFonts w:ascii="Lora" w:eastAsia="Lora" w:hAnsi="Lora" w:cs="Lora"/>
                <w:b/>
                <w:bCs/>
                <w:color w:val="1A3A5C"/>
                <w:sz w:val="44"/>
                <w:szCs w:val="44"/>
              </w:rPr>
              <w:t>40,000</w:t>
            </w:r>
          </w:p>
          <w:p w:rsidR="00230DBA" w:rsidRDefault="00B370AE">
            <w:r>
              <w:rPr>
                <w:b/>
                <w:bCs/>
                <w:color w:val="2A9D8F"/>
              </w:rPr>
              <w:t>All-inclusive · GST included · No additional charges</w:t>
            </w:r>
          </w:p>
        </w:tc>
      </w:tr>
    </w:tbl>
    <w:p w:rsidR="00230DBA" w:rsidRDefault="00B370AE">
      <w:pPr>
        <w:spacing w:before="180" w:after="100"/>
      </w:pPr>
      <w:r>
        <w:rPr>
          <w:b/>
          <w:bCs/>
          <w:color w:val="1A3A5C"/>
        </w:rPr>
        <w:t>This covers:</w:t>
      </w:r>
    </w:p>
    <w:p w:rsidR="00230DBA" w:rsidRDefault="00B370AE">
      <w:pPr>
        <w:pStyle w:val="ListParagraph"/>
        <w:numPr>
          <w:ilvl w:val="0"/>
          <w:numId w:val="2"/>
        </w:numPr>
        <w:spacing w:after="100" w:line="290" w:lineRule="auto"/>
      </w:pPr>
      <w:r>
        <w:t>The full 2.5-hour facilitated workshop, inclusive of Q&amp;A</w:t>
      </w:r>
    </w:p>
    <w:p w:rsidR="00230DBA" w:rsidRDefault="00B370AE">
      <w:pPr>
        <w:pStyle w:val="ListParagraph"/>
        <w:numPr>
          <w:ilvl w:val="0"/>
          <w:numId w:val="2"/>
        </w:numPr>
        <w:spacing w:after="100" w:line="290" w:lineRule="auto"/>
      </w:pPr>
      <w:r>
        <w:t>All interactive games, calculators and exercise materials used in the session</w:t>
      </w:r>
    </w:p>
    <w:p w:rsidR="00230DBA" w:rsidRDefault="00B370AE">
      <w:pPr>
        <w:keepNext/>
        <w:pBdr>
          <w:bottom w:val="single" w:sz="8" w:space="4" w:color="BDE9E4"/>
        </w:pBdr>
        <w:spacing w:before="380" w:after="180"/>
      </w:pPr>
      <w:r>
        <w:rPr>
          <w:rFonts w:ascii="Lora" w:eastAsia="Lora" w:hAnsi="Lora" w:cs="Lora"/>
          <w:b/>
          <w:bCs/>
          <w:color w:val="1A3A5C"/>
          <w:sz w:val="30"/>
          <w:szCs w:val="30"/>
        </w:rPr>
        <w:t>Next Steps</w:t>
      </w:r>
    </w:p>
    <w:p w:rsidR="00230DBA" w:rsidRDefault="00B370AE">
      <w:pPr>
        <w:spacing w:after="160" w:line="300" w:lineRule="auto"/>
      </w:pPr>
      <w:r>
        <w:t>To confirm the workshop, simply reply to this proposal and we will lock in Friday, 31 July 2026, 3:00 – 5:30 P</w:t>
      </w:r>
      <w:r>
        <w:t>M for your forum. We look forward to starting the Wealth Conversation with your members.</w:t>
      </w:r>
    </w:p>
    <w:p w:rsidR="00230DBA" w:rsidRDefault="00B370AE">
      <w:pPr>
        <w:spacing w:before="200" w:after="40"/>
      </w:pPr>
      <w:proofErr w:type="spellStart"/>
      <w:r>
        <w:rPr>
          <w:b/>
          <w:bCs/>
          <w:color w:val="1A3A5C"/>
        </w:rPr>
        <w:t>Hiral</w:t>
      </w:r>
      <w:proofErr w:type="spellEnd"/>
      <w:r>
        <w:rPr>
          <w:b/>
          <w:bCs/>
          <w:color w:val="1A3A5C"/>
        </w:rPr>
        <w:t xml:space="preserve"> </w:t>
      </w:r>
      <w:proofErr w:type="spellStart"/>
      <w:r>
        <w:rPr>
          <w:b/>
          <w:bCs/>
          <w:color w:val="1A3A5C"/>
        </w:rPr>
        <w:t>Goel</w:t>
      </w:r>
      <w:proofErr w:type="spellEnd"/>
      <w:r>
        <w:t xml:space="preserve">  ·  9867026583  ·  hiral@investingformummies.com</w:t>
      </w:r>
    </w:p>
    <w:p w:rsidR="00230DBA" w:rsidRDefault="00B370AE">
      <w:pPr>
        <w:keepNext/>
        <w:pBdr>
          <w:top w:val="single" w:sz="8" w:space="12" w:color="BDE9E4"/>
        </w:pBdr>
        <w:spacing w:before="240" w:after="80"/>
        <w:jc w:val="center"/>
      </w:pPr>
      <w:r>
        <w:rPr>
          <w:noProof/>
        </w:rPr>
        <w:drawing>
          <wp:inline distT="0" distB="0" distL="0" distR="0">
            <wp:extent cx="40005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 cy="438150"/>
                    </a:xfrm>
                    <a:prstGeom prst="rect">
                      <a:avLst/>
                    </a:prstGeom>
                  </pic:spPr>
                </pic:pic>
              </a:graphicData>
            </a:graphic>
          </wp:inline>
        </w:drawing>
      </w:r>
    </w:p>
    <w:p w:rsidR="00230DBA" w:rsidRDefault="00B370AE">
      <w:pPr>
        <w:jc w:val="center"/>
      </w:pPr>
      <w:r>
        <w:rPr>
          <w:rFonts w:ascii="Lora" w:eastAsia="Lora" w:hAnsi="Lora" w:cs="Lora"/>
          <w:b/>
          <w:bCs/>
          <w:color w:val="1A3A5C"/>
          <w:sz w:val="20"/>
          <w:szCs w:val="20"/>
        </w:rPr>
        <w:t>Investing for Mummies</w:t>
      </w:r>
      <w:r>
        <w:rPr>
          <w:color w:val="5A7D8A"/>
          <w:sz w:val="18"/>
          <w:szCs w:val="18"/>
        </w:rPr>
        <w:t xml:space="preserve">  ·  investingformummies.com  ·  @</w:t>
      </w:r>
      <w:proofErr w:type="spellStart"/>
      <w:r>
        <w:rPr>
          <w:color w:val="5A7D8A"/>
          <w:sz w:val="18"/>
          <w:szCs w:val="18"/>
        </w:rPr>
        <w:t>investingformummies</w:t>
      </w:r>
      <w:proofErr w:type="spellEnd"/>
    </w:p>
    <w:sectPr w:rsidR="00230DBA">
      <w:pgSz w:w="11906" w:h="16838"/>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Nunito">
    <w:panose1 w:val="00000000000000000000"/>
    <w:charset w:val="4D"/>
    <w:family w:val="auto"/>
    <w:pitch w:val="variable"/>
    <w:sig w:usb0="80000067" w:usb1="0000004A" w:usb2="00000000" w:usb3="00000000" w:csb0="00000197" w:csb1="00000000"/>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674FB"/>
    <w:multiLevelType w:val="hybridMultilevel"/>
    <w:tmpl w:val="05CEF598"/>
    <w:lvl w:ilvl="0" w:tplc="8ECA6EF2">
      <w:start w:val="1"/>
      <w:numFmt w:val="bullet"/>
      <w:lvlText w:val="✓"/>
      <w:lvlJc w:val="left"/>
      <w:pPr>
        <w:ind w:left="420" w:hanging="220"/>
      </w:pPr>
      <w:rPr>
        <w:b/>
        <w:bCs/>
        <w:color w:val="2A9D8F"/>
      </w:rPr>
    </w:lvl>
    <w:lvl w:ilvl="1" w:tplc="B2C48E44">
      <w:numFmt w:val="decimal"/>
      <w:lvlText w:val=""/>
      <w:lvlJc w:val="left"/>
    </w:lvl>
    <w:lvl w:ilvl="2" w:tplc="2794C9A0">
      <w:numFmt w:val="decimal"/>
      <w:lvlText w:val=""/>
      <w:lvlJc w:val="left"/>
    </w:lvl>
    <w:lvl w:ilvl="3" w:tplc="75CA6BB2">
      <w:numFmt w:val="decimal"/>
      <w:lvlText w:val=""/>
      <w:lvlJc w:val="left"/>
    </w:lvl>
    <w:lvl w:ilvl="4" w:tplc="F09E7496">
      <w:numFmt w:val="decimal"/>
      <w:lvlText w:val=""/>
      <w:lvlJc w:val="left"/>
    </w:lvl>
    <w:lvl w:ilvl="5" w:tplc="FBB4E7C4">
      <w:numFmt w:val="decimal"/>
      <w:lvlText w:val=""/>
      <w:lvlJc w:val="left"/>
    </w:lvl>
    <w:lvl w:ilvl="6" w:tplc="0220D6E8">
      <w:numFmt w:val="decimal"/>
      <w:lvlText w:val=""/>
      <w:lvlJc w:val="left"/>
    </w:lvl>
    <w:lvl w:ilvl="7" w:tplc="0FA6A904">
      <w:numFmt w:val="decimal"/>
      <w:lvlText w:val=""/>
      <w:lvlJc w:val="left"/>
    </w:lvl>
    <w:lvl w:ilvl="8" w:tplc="6A92E770">
      <w:numFmt w:val="decimal"/>
      <w:lvlText w:val=""/>
      <w:lvlJc w:val="left"/>
    </w:lvl>
  </w:abstractNum>
  <w:abstractNum w:abstractNumId="1" w15:restartNumberingAfterBreak="0">
    <w:nsid w:val="25E27813"/>
    <w:multiLevelType w:val="hybridMultilevel"/>
    <w:tmpl w:val="919214F8"/>
    <w:lvl w:ilvl="0" w:tplc="D3BC87A8">
      <w:start w:val="1"/>
      <w:numFmt w:val="bullet"/>
      <w:lvlText w:val="●"/>
      <w:lvlJc w:val="left"/>
      <w:pPr>
        <w:ind w:left="720" w:hanging="360"/>
      </w:pPr>
    </w:lvl>
    <w:lvl w:ilvl="1" w:tplc="B83EAFB8">
      <w:start w:val="1"/>
      <w:numFmt w:val="bullet"/>
      <w:lvlText w:val="○"/>
      <w:lvlJc w:val="left"/>
      <w:pPr>
        <w:ind w:left="1440" w:hanging="360"/>
      </w:pPr>
    </w:lvl>
    <w:lvl w:ilvl="2" w:tplc="CE041108">
      <w:start w:val="1"/>
      <w:numFmt w:val="bullet"/>
      <w:lvlText w:val="■"/>
      <w:lvlJc w:val="left"/>
      <w:pPr>
        <w:ind w:left="2160" w:hanging="360"/>
      </w:pPr>
    </w:lvl>
    <w:lvl w:ilvl="3" w:tplc="ADFAD6EE">
      <w:start w:val="1"/>
      <w:numFmt w:val="bullet"/>
      <w:lvlText w:val="●"/>
      <w:lvlJc w:val="left"/>
      <w:pPr>
        <w:ind w:left="2880" w:hanging="360"/>
      </w:pPr>
    </w:lvl>
    <w:lvl w:ilvl="4" w:tplc="1662FC66">
      <w:start w:val="1"/>
      <w:numFmt w:val="bullet"/>
      <w:lvlText w:val="○"/>
      <w:lvlJc w:val="left"/>
      <w:pPr>
        <w:ind w:left="3600" w:hanging="360"/>
      </w:pPr>
    </w:lvl>
    <w:lvl w:ilvl="5" w:tplc="721C3FA4">
      <w:start w:val="1"/>
      <w:numFmt w:val="bullet"/>
      <w:lvlText w:val="■"/>
      <w:lvlJc w:val="left"/>
      <w:pPr>
        <w:ind w:left="4320" w:hanging="360"/>
      </w:pPr>
    </w:lvl>
    <w:lvl w:ilvl="6" w:tplc="DB9CB396">
      <w:start w:val="1"/>
      <w:numFmt w:val="bullet"/>
      <w:lvlText w:val="●"/>
      <w:lvlJc w:val="left"/>
      <w:pPr>
        <w:ind w:left="5040" w:hanging="360"/>
      </w:pPr>
    </w:lvl>
    <w:lvl w:ilvl="7" w:tplc="2A30F7A6">
      <w:start w:val="1"/>
      <w:numFmt w:val="bullet"/>
      <w:lvlText w:val="●"/>
      <w:lvlJc w:val="left"/>
      <w:pPr>
        <w:ind w:left="5760" w:hanging="360"/>
      </w:pPr>
    </w:lvl>
    <w:lvl w:ilvl="8" w:tplc="5450E0BA">
      <w:start w:val="1"/>
      <w:numFmt w:val="bullet"/>
      <w:lvlText w:val="●"/>
      <w:lvlJc w:val="left"/>
      <w:pPr>
        <w:ind w:left="6480" w:hanging="360"/>
      </w:pPr>
    </w:lvl>
  </w:abstractNum>
  <w:abstractNum w:abstractNumId="2" w15:restartNumberingAfterBreak="0">
    <w:nsid w:val="708F5B8C"/>
    <w:multiLevelType w:val="hybridMultilevel"/>
    <w:tmpl w:val="9BF0F436"/>
    <w:lvl w:ilvl="0" w:tplc="3CC6D604">
      <w:start w:val="1"/>
      <w:numFmt w:val="bullet"/>
      <w:lvlText w:val="•"/>
      <w:lvlJc w:val="left"/>
      <w:pPr>
        <w:ind w:left="420" w:hanging="220"/>
      </w:pPr>
      <w:rPr>
        <w:b/>
        <w:bCs/>
        <w:color w:val="2A9D8F"/>
      </w:rPr>
    </w:lvl>
    <w:lvl w:ilvl="1" w:tplc="19AEB022">
      <w:numFmt w:val="decimal"/>
      <w:lvlText w:val=""/>
      <w:lvlJc w:val="left"/>
    </w:lvl>
    <w:lvl w:ilvl="2" w:tplc="9A24E954">
      <w:numFmt w:val="decimal"/>
      <w:lvlText w:val=""/>
      <w:lvlJc w:val="left"/>
    </w:lvl>
    <w:lvl w:ilvl="3" w:tplc="022254F2">
      <w:numFmt w:val="decimal"/>
      <w:lvlText w:val=""/>
      <w:lvlJc w:val="left"/>
    </w:lvl>
    <w:lvl w:ilvl="4" w:tplc="3BD490A4">
      <w:numFmt w:val="decimal"/>
      <w:lvlText w:val=""/>
      <w:lvlJc w:val="left"/>
    </w:lvl>
    <w:lvl w:ilvl="5" w:tplc="5A364038">
      <w:numFmt w:val="decimal"/>
      <w:lvlText w:val=""/>
      <w:lvlJc w:val="left"/>
    </w:lvl>
    <w:lvl w:ilvl="6" w:tplc="F76EE18C">
      <w:numFmt w:val="decimal"/>
      <w:lvlText w:val=""/>
      <w:lvlJc w:val="left"/>
    </w:lvl>
    <w:lvl w:ilvl="7" w:tplc="3E80046A">
      <w:numFmt w:val="decimal"/>
      <w:lvlText w:val=""/>
      <w:lvlJc w:val="left"/>
    </w:lvl>
    <w:lvl w:ilvl="8" w:tplc="C5E4490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DBA"/>
    <w:rsid w:val="00230DBA"/>
    <w:rsid w:val="00B37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3D2AD0"/>
  <w15:docId w15:val="{DEE57FB2-6762-314D-B13A-09925F46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unito" w:eastAsia="Nunito" w:hAnsi="Nunito" w:cs="Nunito"/>
        <w:color w:val="2F4A5E"/>
        <w:sz w:val="21"/>
        <w:szCs w:val="21"/>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2026-07-13T10:35:00Z</dcterms:created>
  <dcterms:modified xsi:type="dcterms:W3CDTF">2026-07-13T10:36:00Z</dcterms:modified>
</cp:coreProperties>
</file>