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19F55A" w14:textId="77777777">
      <w:pPr>
        <w:pageBreakBefore w:val="0"/>
      </w:pPr>
      <w:r/>
    </w:p>
    <w:p w14:paraId="0619F55A" w14:textId="77777777">
      <w:pPr>
        <w:pageBreakBefore w:val="0"/>
      </w:pPr>
      <w:r/>
    </w:p>
    <w:p w14:paraId="180A1EDD" w14:textId="77777777">
      <w:pPr>
        <w:pStyle w:val="Title"/>
        <w:pageBreakBefore w:val="0"/>
      </w:pPr>
      <w:r>
        <w:t>U65 PLAN COMPARISON</w:t>
      </w:r>
    </w:p>
    <w:p w14:paraId="574EC04D" w14:textId="77777777">
      <w:pPr>
        <w:pStyle w:val="Heading1"/>
        <w:pageBreakBefore w:val="0"/>
        <w:pBdr>
          <w:top w:val="nil"/>
          <w:left w:val="nil"/>
          <w:bottom w:val="nil"/>
          <w:right w:val="nil"/>
          <w:between w:val="nil"/>
        </w:pBdr>
        <w:jc w:val="center"/>
        <w:rPr>
          <w:color w:val="8A96DA"/>
        </w:rPr>
      </w:pPr>
      <w:r>
        <w:rPr>
          <w:color w:val="8A96DA"/>
        </w:rPr>
        <w:t>With Amerus</w:t>
        <w:br/>
        <w:t>Benefits premiums and national networks</w:t>
      </w:r>
    </w:p>
    <w:p w14:paraId="0619F55A" w14:textId="77777777">
      <w:pPr>
        <w:pageBreakBefore w:val="0"/>
      </w:pPr>
      <w:r/>
    </w:p>
    <w:p w14:paraId="0619F55A" w14:textId="77777777">
      <w:pPr>
        <w:pageBreakBefore w:val="0"/>
      </w:pPr>
      <w:r/>
    </w:p>
    <w:p w14:paraId="0619F55A" w14:textId="77777777">
      <w:pPr>
        <w:pageBreakBefore w:val="0"/>
      </w:pPr>
      <w:r/>
    </w:p>
    <w:p w14:paraId="0619F55A" w14:textId="77777777">
      <w:pPr>
        <w:pageBreakBefore w:val="0"/>
      </w:pPr>
      <w:r/>
    </w:p>
    <w:p w14:paraId="0619F55A" w14:textId="77777777">
      <w:pPr>
        <w:pageBreakBefore w:val="0"/>
      </w:pPr>
      <w:r/>
    </w:p>
    <w:p w14:paraId="0619F55A" w14:textId="77777777">
      <w:pPr>
        <w:pageBreakBefore w:val="0"/>
      </w:pPr>
      <w:r/>
    </w:p>
    <w:p w14:paraId="0619F55A" w14:textId="77777777">
      <w:pPr>
        <w:pageBreakBefore w:val="0"/>
      </w:pPr>
      <w:r/>
    </w:p>
    <w:tbl>
      <w:tblPr>
        <w:tblStyle w:val="a"/>
        <w:tblW w:w="936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2250"/>
        <w:gridCol w:w="7110"/>
      </w:tblGrid>
      <w:tr w14:paraId="12FAFF88" w14:textId="77777777">
        <w:trPr>
          <w:trHeight w:val="431"/>
        </w:trPr>
        <w:tc>
          <w:tcPr>
            <w:tcW w:w="225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4AC528A1" w14:textId="77777777">
            <w:pPr>
              <w:rPr>
                <w:rFonts w:ascii="Helvetica Neue" w:eastAsia="Helvetica Neue" w:hAnsi="Helvetica Neue" w:cs="Helvetica Neue"/>
                <w:b/>
                <w:bCs/>
                <w:color w:val="112075"/>
                <w:sz w:val="20"/>
                <w:szCs w:val="20"/>
              </w:rPr>
            </w:pPr>
            <w:r>
              <w:t>Prepared for</w:t>
            </w:r>
          </w:p>
        </w:tc>
        <w:tc>
          <w:tcPr>
            <w:tcW w:w="711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08B49669" w14:textId="77777777">
            <w:pPr>
              <w:rPr>
                <w:rFonts w:ascii="Helvetica Neue" w:eastAsia="Helvetica Neue" w:hAnsi="Helvetica Neue" w:cs="Helvetica Neue"/>
                <w:sz w:val="20"/>
                <w:szCs w:val="20"/>
              </w:rPr>
            </w:pPr>
            <w:r>
              <w:t>Michael Shiomos</w:t>
            </w:r>
          </w:p>
        </w:tc>
      </w:tr>
      <w:tr w14:paraId="2103F82B" w14:textId="77777777">
        <w:trPr>
          <w:trHeight w:val="431"/>
        </w:trPr>
        <w:tc>
          <w:tcPr>
            <w:tcW w:w="225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4229BF86" w14:textId="77777777">
            <w:pPr>
              <w:rPr>
                <w:rFonts w:ascii="Helvetica Neue" w:eastAsia="Helvetica Neue" w:hAnsi="Helvetica Neue" w:cs="Helvetica Neue"/>
                <w:color w:val="112075"/>
              </w:rPr>
            </w:pPr>
            <w:r>
              <w:t>Scope</w:t>
            </w:r>
          </w:p>
        </w:tc>
        <w:tc>
          <w:tcPr>
            <w:tcW w:w="711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56A55D95" w14:textId="77777777">
            <w:pPr>
              <w:rPr>
                <w:rFonts w:ascii="Helvetica Neue" w:eastAsia="Helvetica Neue" w:hAnsi="Helvetica Neue" w:cs="Helvetica Neue"/>
              </w:rPr>
            </w:pPr>
            <w:r>
              <w:t>Dallas Houston and Fort Lauderdale</w:t>
            </w:r>
          </w:p>
        </w:tc>
      </w:tr>
      <w:tr w14:paraId="775FD1AF" w14:textId="77777777">
        <w:trPr>
          <w:trHeight w:val="431"/>
        </w:trPr>
        <w:tc>
          <w:tcPr>
            <w:tcW w:w="225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305457B3" w14:textId="77777777">
            <w:pPr>
              <w:rPr>
                <w:rFonts w:ascii="Helvetica Neue" w:eastAsia="Helvetica Neue" w:hAnsi="Helvetica Neue" w:cs="Helvetica Neue"/>
                <w:color w:val="112075"/>
              </w:rPr>
            </w:pPr>
            <w:r>
              <w:t>Households</w:t>
            </w:r>
          </w:p>
        </w:tc>
        <w:tc>
          <w:tcPr>
            <w:tcW w:w="711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2EB52BD8" w14:textId="77777777">
            <w:pPr>
              <w:rPr>
                <w:rFonts w:ascii="Helvetica Neue" w:eastAsia="Helvetica Neue" w:hAnsi="Helvetica Neue" w:cs="Helvetica Neue"/>
              </w:rPr>
            </w:pPr>
            <w:r>
              <w:t>Three illustrative family profiles</w:t>
            </w:r>
          </w:p>
        </w:tc>
      </w:tr>
      <w:tr w14:paraId="3E0688CF" w14:textId="77777777">
        <w:trPr>
          <w:trHeight w:val="431"/>
        </w:trPr>
        <w:tc>
          <w:tcPr>
            <w:tcW w:w="225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31FC2D12" w14:textId="77777777">
            <w:pPr>
              <w:rPr>
                <w:rFonts w:ascii="Helvetica Neue" w:eastAsia="Helvetica Neue" w:hAnsi="Helvetica Neue" w:cs="Helvetica Neue"/>
                <w:color w:val="112075"/>
              </w:rPr>
            </w:pPr>
            <w:r>
              <w:t>Review date</w:t>
            </w:r>
          </w:p>
        </w:tc>
        <w:tc>
          <w:tcPr>
            <w:tcW w:w="711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3259E72D" w14:textId="77777777">
            <w:pPr>
              <w:rPr>
                <w:rFonts w:ascii="Helvetica Neue" w:eastAsia="Helvetica Neue" w:hAnsi="Helvetica Neue" w:cs="Helvetica Neue"/>
              </w:rPr>
            </w:pPr>
            <w:r>
              <w:t>October 3 2026</w:t>
            </w:r>
          </w:p>
        </w:tc>
      </w:tr>
      <w:tr w14:paraId="7AB6CABE" w14:textId="77777777">
        <w:trPr>
          <w:trHeight w:val="431"/>
        </w:trPr>
        <w:tc>
          <w:tcPr>
            <w:tcW w:w="225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1BBB306A" w14:textId="77777777">
            <w:pPr>
              <w:rPr>
                <w:rFonts w:ascii="Helvetica Neue" w:eastAsia="Helvetica Neue" w:hAnsi="Helvetica Neue" w:cs="Helvetica Neue"/>
                <w:color w:val="112075"/>
              </w:rPr>
            </w:pPr>
            <w:r>
              <w:t>Edition</w:t>
            </w:r>
          </w:p>
        </w:tc>
        <w:tc>
          <w:tcPr>
            <w:tcW w:w="711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773D035C" w14:textId="77777777">
            <w:pPr>
              <w:rPr>
                <w:rFonts w:ascii="Helvetica Neue" w:eastAsia="Helvetica Neue" w:hAnsi="Helvetica Neue" w:cs="Helvetica Neue"/>
              </w:rPr>
            </w:pPr>
            <w:r>
              <w:t>With Amerus</w:t>
            </w:r>
          </w:p>
        </w:tc>
      </w:tr>
    </w:tbl>
    <w:p w14:paraId="2253225F" w14:textId="4EF277DE">
      <w:pPr>
        <w:pStyle w:val="Heading1"/>
        <w:pageBreakBefore/>
      </w:pPr>
      <w:r>
        <w:t>How to use this comparison</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The most consequential difference is how much risk each plan leaves with the household. A lower premium or deductible can accompany visit limits, excluded services or fixed cash payments that leave substantial medical bills unpaid. Compare plans within the workbook’s coverage groups before comparing prices across groups.</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This edition compares 59 plan variants across the supplied programs. The Excel workbook contains the full side-by-side benefit schedules and premium inputs. The companion atlas maps national network evidence and specific access cautions. Entity labels identify the supplied product group, not necessarily the insurer or risk-bearing organization.</w:t>
      </w:r>
    </w:p>
    <w:p w14:paraId="73CA5CC6" w14:textId="77777777">
      <w:pPr>
        <w:pStyle w:val="Heading2"/>
        <w:pageBreakBefore w:val="0"/>
      </w:pPr>
      <w:r>
        <w:t>Households and locations</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A: female age 40 with children ages 8 and 12. B: single male age 50. C: male age 50, female spouse age 50 and one child age 12. Child ages, spouse age and sex, and non-tobacco status are illustrative assumptions. Published applicant-age and household tiers are used where available; exact dependent eligibility remains subject to the plan.</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Representative ZIPs are Dallas 75201, Houston 77002 and Fort Lauderdale 33301. The supplied schedules do not establish separate ZIP-rated premiums, so the same published rate appears for each city. These are examples, not nine locally verified quotes. October 1, 2026 is the comparison reference date. Source rate dates and missing fees are identified in the workbook.</w:t>
      </w:r>
    </w:p>
    <w:p w14:paraId="73CA5CC6" w14:textId="77777777">
      <w:pPr>
        <w:pStyle w:val="Heading2"/>
        <w:pageBreakBefore w:val="0"/>
      </w:pPr>
      <w:r>
        <w:t>What the numbers mean</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Coinsurance percentages are the member’s share of covered allowed charges. INN means in network; OON means out of network; OOP means out of pocket. Premiums, noncovered services, amounts above benefit limits and balance bills may sit outside a stated OOP limit. “Unverified” never means free or zero.</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The comparison includes the original 40 distinct PDFs and newly supplied schedules. Source IDs and PDF page references are in the workbook. Benefits are summarized from brochures and SBCs; unresolved conflicts are retained rather than silently reconciled. Plan documents and eligibility must be confirmed before enrollment.</w:t>
      </w:r>
    </w:p>
    <w:p w14:paraId="2253225F" w14:textId="4EF277DE">
      <w:pPr>
        <w:pStyle w:val="Heading1"/>
        <w:pageBreakBefore/>
      </w:pPr>
      <w:r>
        <w:t>Major medical and HSA differences</w:t>
      </w:r>
    </w:p>
    <w:p w14:paraId="73CA5CC6" w14:textId="77777777">
      <w:pPr>
        <w:pStyle w:val="Heading2"/>
        <w:pageBreakBefore w:val="0"/>
      </w:pPr>
      <w:r>
        <w:t>MedPerformance and Life X MM</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MedPerformance 3500 Classic, 5000 Classic and 7350 Value use Cigna PPO. The individual INN deductible is $3,500, $5,000 or $7,350, with a $7,350 INN OOP limit for each. Classic plans generally charge 20% member coinsurance after deductible; Value shows 0% after its deductible. OON deductibles and OOP limits are higher. The 5000 Classic OON office and preventive entries show 60% while its general OON coinsurance is 40%; confirm that discrepancy. [S13, S14, S16 pp. 2–4]</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Life-X MM offers $1,000, $2,500, $3,500, $4,900 and $7,250 individual INN deductibles, generally 20% INN and 30% OON member coinsurance, and a $10,600 INN individual OOP limit. OON individual OOP is $20,300. Its lower published premiums do not establish equivalent protection: the summaries contain exclusions and service caps, including unresolved transplant and dialysis language. [S19, S23, S26, S27, S30 pp. 2–5]</w:t>
      </w:r>
    </w:p>
    <w:p w14:paraId="73CA5CC6" w14:textId="77777777">
      <w:pPr>
        <w:pStyle w:val="Heading2"/>
        <w:pageBreakBefore w:val="0"/>
      </w:pPr>
      <w:r>
        <w:t>HSA designs</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Life-X HSA 3500, 5000 and 8300 use PHCS PPO and show an $8,500 INN individual OOP limit with 20% INN coinsurance. Their office schedules also show suggested copays alongside deductible and coinsurance language. MedPerformance 5000 HSA uses Cigna PPO, with a $5,000 INN deductible, $6,550 INN OOP limit and 20% INN versus 40% OON member coinsurance in the newer SBC. [S65 pp. 1–5; S18, S22, S29 pp. 2–5]</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“HSA” is the product label here; personal HSA contribution eligibility has not been determined. Compare prescription coverage, nonpreventive care before deductible, family accumulation rules and other coverage before treating any plan as eligible for a specific household. Life-X HSA 5000 and 8300 expressly exclude in-person mental health except telemedicine in the supplied summaries. [S22, S29]</w:t>
      </w:r>
    </w:p>
    <w:p w14:paraId="73CA5CC6" w14:textId="77777777">
      <w:pPr>
        <w:pStyle w:val="Heading2"/>
        <w:pageBreakBefore w:val="0"/>
      </w:pPr>
      <w:r>
        <w:t>Practical comparison</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For a household seeking broader protection against a large bill, start by comparing the major-medical-style and HSA groups, then test excluded services and exact provider access. A common deductible alone is insufficient: Life-X MM 3500 and MedPerformance 3500 Classic have different OOP limits, OON terms and networks. The workbook’s group names describe benefit structure and do not certify ACA compliance or individual-market availability.</w:t>
      </w:r>
    </w:p>
    <w:p w14:paraId="2253225F" w14:textId="4EF277DE">
      <w:pPr>
        <w:pStyle w:val="Heading1"/>
        <w:pageBreakBefore/>
      </w:pPr>
      <w:r>
        <w:t>New AFI, BMI and Vault plan families</w:t>
      </w:r>
    </w:p>
    <w:p w14:paraId="73CA5CC6" w14:textId="77777777">
      <w:pPr>
        <w:pStyle w:val="Heading2"/>
        <w:pageBreakBefore w:val="0"/>
      </w:pPr>
      <w:r>
        <w:t>AFI PHCS major-medical-style plans</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AFI 8300 HSA and 3500 HSA show $8,300 and $3,500 individual INN deductibles, respectively. The 8300 HSA shows 0% INN coinsurance after deductible and an $8,500 individual OOP limit; the 3500 HSA shows 30% coinsurance with the same OOP limit. The AFI 4500 and 3500 Copay designs show $4,500 and $3,500 deductibles, 30% and 20% coinsurance, and $10,600 INN OOP limits. All four have higher OON deductibles and 50% OON coinsurance. The 8300 HSA schedule limits prescription coverage, including a $200 monthly drug threshold; check the exact wording before presentation. [S46–S49]</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The supplied AFI premium figures come from the attached secondary review workbook, which says it transcribed portal popups. The underlying portal quote and age or ZIP basis were not supplied. Excel displays these as illustrative household tiers; an October 1, 2026 quote for each household and ZIP remains necessary. The PHCS Extended PPO lookup guide is not proof of facility participation. [X1; S62]</w:t>
      </w:r>
    </w:p>
    <w:p w14:paraId="73CA5CC6" w14:textId="77777777">
      <w:pPr>
        <w:pStyle w:val="Heading2"/>
        <w:pageBreakBefore w:val="0"/>
      </w:pPr>
      <w:r>
        <w:t>BMI MVP, DVP and MEC</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BMI MVP Basic, Value and Advantage are limited copay designs with $0 INN deductibles and individual OOP figures of $8,700, $5,000 and $5,000. Basic limits an inpatient stay to five days; Value and Advantage have their own day and surgery limits. DVP Essentials 2500, 5000 and 7500 have corresponding deductibles and 50% INN coinsurance, with an individual $9,200 OOP figure, but only five inpatient days and one surgery in the reviewed schedule. OON care is listed as not covered. Limits and excluded care can leave charges beyond the OOP figures. [S50–S55]</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BMI MEC Classic and Choice belong in their own preventive/MEC workbook tab. Classic largely covers preventive care and telemedicine; Choice adds limited copay services. Neither should be read as the same hospital or catastrophic protection as the AFI plans. The BMI brochure supplies household-tier premiums, but their applicability for all three ages and the October reference date must be confirmed. [S56]</w:t>
      </w:r>
    </w:p>
    <w:p w14:paraId="73CA5CC6" w14:textId="77777777">
      <w:pPr>
        <w:pStyle w:val="Heading2"/>
        <w:pageBreakBefore w:val="0"/>
      </w:pPr>
      <w:r>
        <w:t>Vault Elite Plus, Bronze 2 and Silver 2</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Vault Elite Health Plus uses First Health as primary and MultiPlan as secondary, but its schedule lists room-and-board benefits only for inpatient care, no inpatient physician or surgery benefit, and no routine OON benefit. The Elite Health USA figures come from a proposal rather than a final schedule, so treat them as provisional. No Vault premium schedule was supplied. [S57–S58]</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Bronze 2 and Silver 2 use PHCS Practitioner &amp; Ancillary for professionals. Hospital facilities are reference priced at 140% of Medicare; the member can be balance billed if a facility rejects that payment, and such bills do not count toward the $10,500 individual stated OOP limit. The schedules also cap inpatient days and surgery counts and exclude cancer. Silver 2 includes more visits and days than Bronze 2, plus maternity after a wait, but the documents contain internal contradictions requiring a corrected final schedule. [S59–S61]</w:t>
      </w:r>
    </w:p>
    <w:p w14:paraId="2253225F" w14:textId="4EF277DE">
      <w:pPr>
        <w:pStyle w:val="Heading1"/>
        <w:pageBreakBefore/>
      </w:pPr>
      <w:r>
        <w:t>Copay plans and service limits</w:t>
      </w:r>
    </w:p>
    <w:p w14:paraId="73CA5CC6" w14:textId="77777777">
      <w:pPr>
        <w:pStyle w:val="Heading2"/>
        <w:pageBreakBefore w:val="0"/>
      </w:pPr>
      <w:r>
        <w:t>MedMax and Life X PHCS PPO</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MedMax uses First Health PPO and offers individual deductibles from $250 to $1,500, with a stated $9,200 individual and $18,400 family INN OOP limit. Its schedule restricts combined office visits, hospital stays and surgery counts; OON terms were not supplied. A low deductible does not remove those limits. [S11 pp. 2–9]</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Life-X PHCS PPO 500, 750, 1000 and 1500 also show $9,200 individual and $18,400 family OOP limits, with an OON schedule generally adding 10% to the applicable copay after deductible. Hospital admission and inpatient surgery each carry a $2,500 scheduled copay, with associated services listed separately. Therapy, home health, chiropractic and equipment limits remain relevant. [S24, S25, S31, S32 pp. 2–4]</w:t>
      </w:r>
    </w:p>
    <w:p w14:paraId="73CA5CC6" w14:textId="77777777">
      <w:pPr>
        <w:pStyle w:val="Heading2"/>
        <w:pageBreakBefore w:val="0"/>
      </w:pPr>
      <w:r>
        <w:t>Life X VL</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VL 500, 750, 1000 and 1500 use PHCS access with a restricted benefit schedule. The supplied summaries show 10 combined office visits and specified hospital and procedure limits. They explicitly leave exposure unlimited beyond visit limits, despite displaying a $10,600 individual OOP figure. No usable OON schedule was supplied; a PPO network label alone does not establish OON benefits. [S17, S20, S21, S28 pp. 2–5]</w:t>
      </w:r>
    </w:p>
    <w:p w14:paraId="73CA5CC6" w14:textId="77777777">
      <w:pPr>
        <w:pStyle w:val="Heading2"/>
        <w:pageBreakBefore w:val="0"/>
      </w:pPr>
      <w:r>
        <w:t>MedAccess Basic and Pro</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MedAccess lists First Health and no deductible. Basic shows a $7,350 individual OOP limit; Pro shows $5,000. Basic offers six PCP visits and six specialist visits, versus 12 of each under Pro. Hospital coverage is limited to three days for Basic and 10 for Pro. Basic excludes maternity; Pro has a 12-month maternity waiting period. Pro’s preferred-drug table and its brand-drug footnote conflict. [S12 pp. 2–4]</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For frequent visits, pregnancy, cancer care or a long admission, compare the service caps and waiting periods before the premium. Drug assistance programs are not equivalent to an insured prescription benefit. Elective surgery restrictions also differ: MedMax excludes elective procedures, while several Life-X summaries describe an initial 90-day exclusion with emergency exceptions.</w:t>
      </w:r>
    </w:p>
    <w:p w14:paraId="2253225F" w14:textId="4EF277DE">
      <w:pPr>
        <w:pStyle w:val="Heading1"/>
        <w:pageBreakBefore/>
      </w:pPr>
      <w:r>
        <w:t>Fixed indemnity plans</w:t>
      </w:r>
    </w:p>
    <w:p w14:paraId="73CA5CC6" w14:textId="77777777">
      <w:pPr>
        <w:pStyle w:val="Heading2"/>
        <w:pageBreakBefore w:val="0"/>
      </w:pPr>
      <w:r>
        <w:t>Bloom Plans 1 through 7</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Bloom is supplemental fixed indemnity issued by United States Fire Insurance Company. It pays scheduled dollar benefits rather than a percentage of the full medical bill. Higher tiers generally raise scheduled hospital and procedure payments, but do not create a comprehensive OOP cap. For example, the hospital payment rises from $1,000 for the admission day and subsequent covered days in Plan 1 to $5,000 in Plan 7, subject to the stated day limits. [S33–S39 benefit schedules]</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The brochures include a six-month pre-existing-condition limitation and a separate accident benefit with a $1,000 corridor deductible. That accident deductible should not be compared with a major-medical annual deductible. Bloom is a fixed cash benefit and no medical PPO/EPO network is identified. Members can generally use providers broadly, subject to certificate terms, but scheduled payments may be far below provider charges. Virtual care and member perks are separate from comprehensive medical insurance. [S33–S39]</w:t>
      </w:r>
    </w:p>
    <w:p w14:paraId="2253225F" w14:textId="4EF277DE">
      <w:pPr>
        <w:pStyle w:val="Heading1"/>
        <w:pageBreakBefore/>
      </w:pPr>
      <w:r>
        <w:t>Bloom monthly premiums by coverage tier</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User supplied rates. A uses Individual + Children, B Individual, and C Family. The Individual + Spouse tier is included for reference. Rates are not age rated in the supplied household schedule. These scheduled payments do not cap the member’s medical bills.</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2200"/>
        <w:gridCol w:w="1760"/>
        <w:gridCol w:w="1800"/>
        <w:gridCol w:w="2000"/>
      </w:tblGrid>
      <w:tr w14:paraId="35733155" w14:textId="77777777">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14:paraId="6FDBC00B" w14:textId="77777777">
            <w:pPr>
              <w:rPr>
                <w:rFonts w:ascii="Helvetica Neue" w:eastAsia="Helvetica Neue" w:hAnsi="Helvetica Neue" w:cs="Helvetica Neue"/>
              </w:rPr>
            </w:pPr>
            <w:r>
              <w:rPr>
                <w:rFonts w:ascii="Helvetica Neue" w:eastAsia="Helvetica Neue" w:hAnsi="Helvetica Neue" w:cs="Helvetica Neue"/>
                <w:b/>
                <w:bCs/>
                <w:color w:val="FFFFFF"/>
                <w:sz w:val="20"/>
                <w:szCs w:val="20"/>
              </w:rPr>
              <w:t>Plan</w:t>
            </w:r>
          </w:p>
        </w:tc>
        <w:tc>
          <w:tcPr>
            <w:tcW w:w="2200"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14:paraId="5C635929" w14:textId="77777777">
            <w:pPr>
              <w:jc w:val="center"/>
              <w:rPr>
                <w:rFonts w:ascii="Helvetica Neue" w:eastAsia="Helvetica Neue" w:hAnsi="Helvetica Neue" w:cs="Helvetica Neue"/>
              </w:rPr>
            </w:pPr>
            <w:r>
              <w:rPr>
                <w:rFonts w:ascii="Helvetica Neue" w:eastAsia="Helvetica Neue" w:hAnsi="Helvetica Neue" w:cs="Helvetica Neue"/>
                <w:b/>
                <w:bCs/>
                <w:color w:val="FFFFFF"/>
                <w:sz w:val="20"/>
                <w:szCs w:val="20"/>
              </w:rPr>
              <w:t>Individual</w:t>
            </w:r>
          </w:p>
        </w:tc>
        <w:tc>
          <w:tcPr>
            <w:tcW w:w="1760"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14:paraId="6A605AC6" w14:textId="77777777">
            <w:pPr>
              <w:jc w:val="center"/>
              <w:rPr>
                <w:rFonts w:ascii="Helvetica Neue" w:eastAsia="Helvetica Neue" w:hAnsi="Helvetica Neue" w:cs="Helvetica Neue"/>
              </w:rPr>
            </w:pPr>
            <w:r>
              <w:rPr>
                <w:rFonts w:ascii="Helvetica Neue" w:eastAsia="Helvetica Neue" w:hAnsi="Helvetica Neue" w:cs="Helvetica Neue"/>
                <w:b/>
                <w:bCs/>
                <w:color w:val="FFFFFF"/>
                <w:sz w:val="20"/>
                <w:szCs w:val="20"/>
              </w:rPr>
              <w:t>Individual + Spouse</w:t>
            </w:r>
          </w:p>
        </w:tc>
        <w:tc>
          <w:tcPr>
            <w:tcW w:w="1800"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14:paraId="0D8758D1" w14:textId="77777777">
            <w:pPr>
              <w:jc w:val="center"/>
              <w:rPr>
                <w:rFonts w:ascii="Helvetica Neue" w:eastAsia="Helvetica Neue" w:hAnsi="Helvetica Neue" w:cs="Helvetica Neue"/>
              </w:rPr>
            </w:pPr>
            <w:r>
              <w:rPr>
                <w:rFonts w:ascii="Helvetica Neue" w:eastAsia="Helvetica Neue" w:hAnsi="Helvetica Neue" w:cs="Helvetica Neue"/>
                <w:b/>
                <w:bCs/>
                <w:color w:val="FFFFFF"/>
                <w:sz w:val="20"/>
                <w:szCs w:val="20"/>
              </w:rPr>
              <w:t>Individual + Children</w:t>
            </w:r>
          </w:p>
        </w:tc>
        <w:tc>
          <w:tcPr>
            <w:tcW w:w="2000"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14:paraId="1C66F935" w14:textId="77777777">
            <w:pPr>
              <w:jc w:val="center"/>
              <w:rPr>
                <w:rFonts w:ascii="Helvetica Neue" w:eastAsia="Helvetica Neue" w:hAnsi="Helvetica Neue" w:cs="Helvetica Neue"/>
              </w:rPr>
            </w:pPr>
            <w:r>
              <w:rPr>
                <w:rFonts w:ascii="Helvetica Neue" w:eastAsia="Helvetica Neue" w:hAnsi="Helvetica Neue" w:cs="Helvetica Neue"/>
                <w:b/>
                <w:bCs/>
                <w:color w:val="FFFFFF"/>
                <w:sz w:val="20"/>
                <w:szCs w:val="20"/>
              </w:rPr>
              <w:t>Family</w:t>
            </w:r>
          </w:p>
        </w:tc>
      </w:tr>
      <w:tr w14:paraId="3DA7EC29"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F3863DF"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Bloom Plan 1</w:t>
            </w:r>
          </w:p>
        </w:tc>
        <w:tc>
          <w:tcPr>
            <w:tcW w:w="2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15C1B42"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$370.96</w:t>
            </w:r>
          </w:p>
        </w:tc>
        <w:tc>
          <w:tcPr>
            <w:tcW w:w="1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58E841F"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$637.37</w:t>
            </w:r>
          </w:p>
        </w:tc>
        <w:tc>
          <w:tcPr>
            <w:tcW w:w="18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76F8E99"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$582.03</w:t>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DBE6EA7"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$838.52</w:t>
            </w:r>
          </w:p>
        </w:tc>
      </w:tr>
      <w:tr w14:paraId="0B778795" w14:textId="77777777">
        <w:tc>
          <w:tcPr>
            <w:tcW w:w="1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6E1BC585"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Bloom Plan 2</w:t>
            </w:r>
          </w:p>
        </w:tc>
        <w:tc>
          <w:tcPr>
            <w:tcW w:w="2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3A757D59"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$459.51</w:t>
            </w:r>
          </w:p>
        </w:tc>
        <w:tc>
          <w:tcPr>
            <w:tcW w:w="17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485686BD"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$825.16</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3A7BDE79"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$751.50</w:t>
            </w:r>
          </w:p>
        </w:tc>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3D128B51"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$1,096.53</w:t>
            </w:r>
          </w:p>
        </w:tc>
      </w:tr>
      <w:tr w14:paraId="3806C236"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3991ADA"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Bloom Plan 3</w:t>
            </w:r>
          </w:p>
        </w:tc>
        <w:tc>
          <w:tcPr>
            <w:tcW w:w="2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3A7C7C2"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$561.80</w:t>
            </w:r>
          </w:p>
        </w:tc>
        <w:tc>
          <w:tcPr>
            <w:tcW w:w="1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6A7178B"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$1,038.90</w:t>
            </w:r>
          </w:p>
        </w:tc>
        <w:tc>
          <w:tcPr>
            <w:tcW w:w="18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33F26F0"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$943.86</w:t>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8C566D5"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$1,392.72</w:t>
            </w:r>
          </w:p>
        </w:tc>
      </w:tr>
      <w:tr w14:paraId="3DA7EC29"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F3863DF"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Bloom Plan 4</w:t>
            </w:r>
          </w:p>
        </w:tc>
        <w:tc>
          <w:tcPr>
            <w:tcW w:w="2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15C1B42"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$593.86</w:t>
            </w:r>
          </w:p>
        </w:tc>
        <w:tc>
          <w:tcPr>
            <w:tcW w:w="1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58E841F"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$1,104.55</w:t>
            </w:r>
          </w:p>
        </w:tc>
        <w:tc>
          <w:tcPr>
            <w:tcW w:w="18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76F8E99"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$1,003.40</w:t>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DBE6EA7"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$1,482.80</w:t>
            </w:r>
          </w:p>
        </w:tc>
      </w:tr>
      <w:tr w14:paraId="3DA7EC29"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F3863DF"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Bloom Plan 5</w:t>
            </w:r>
          </w:p>
        </w:tc>
        <w:tc>
          <w:tcPr>
            <w:tcW w:w="2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15C1B42"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$656.46</w:t>
            </w:r>
          </w:p>
        </w:tc>
        <w:tc>
          <w:tcPr>
            <w:tcW w:w="1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58E841F"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$1,235.85</w:t>
            </w:r>
          </w:p>
        </w:tc>
        <w:tc>
          <w:tcPr>
            <w:tcW w:w="18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76F8E99"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$1,122.49</w:t>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DBE6EA7"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$1,664.47</w:t>
            </w:r>
          </w:p>
        </w:tc>
      </w:tr>
      <w:tr w14:paraId="3DA7EC29"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F3863DF"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Bloom Plan 6</w:t>
            </w:r>
          </w:p>
        </w:tc>
        <w:tc>
          <w:tcPr>
            <w:tcW w:w="2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15C1B42"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$731.27</w:t>
            </w:r>
          </w:p>
        </w:tc>
        <w:tc>
          <w:tcPr>
            <w:tcW w:w="1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58E841F"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$1,386.99</w:t>
            </w:r>
          </w:p>
        </w:tc>
        <w:tc>
          <w:tcPr>
            <w:tcW w:w="18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76F8E99"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$1,258.37</w:t>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DBE6EA7"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$1,876.69</w:t>
            </w:r>
          </w:p>
        </w:tc>
      </w:tr>
      <w:tr w14:paraId="3DA7EC29"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F3863DF"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Bloom Plan 7</w:t>
            </w:r>
          </w:p>
        </w:tc>
        <w:tc>
          <w:tcPr>
            <w:tcW w:w="2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15C1B42"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$806.07</w:t>
            </w:r>
          </w:p>
        </w:tc>
        <w:tc>
          <w:tcPr>
            <w:tcW w:w="1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58E841F"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$1,539.66</w:t>
            </w:r>
          </w:p>
        </w:tc>
        <w:tc>
          <w:tcPr>
            <w:tcW w:w="18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76F8E99"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$1,397.30</w:t>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DBE6EA7"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$2,085.85</w:t>
            </w:r>
          </w:p>
        </w:tc>
      </w:tr>
    </w:tbl>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Source: User-supplied premium schedule received September 20, 2026 (U1). The three example households use the respective tiers above. Exact policy terms govern eligibility and covered benefit amounts.</w:t>
      </w:r>
    </w:p>
    <w:p w14:paraId="73CA5CC6" w14:textId="77777777">
      <w:pPr>
        <w:pStyle w:val="Heading2"/>
        <w:pageBreakBefore w:val="0"/>
      </w:pPr>
      <w:r>
        <w:t>Everest AFEUSA Prime</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Prime 2000, 3000, 4000, 6000 and 8000 pair First Health PPO access with scheduled indemnity payments. Daily hospital benefits rise with the tier, but permitted days per confinement fall: 10, 10, 10, 8 and 6 respectively. All show 30 days per year and a $50,000 certificate-year benefit maximum excluding riders. Higher daily payment therefore does not imply unlimited hospital protection. [S40 p. 3]</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The schedule separately limits admission, intensive care, surgery and physician benefits. Newborn indemnity has a 365-day waiting period, and cancer/critical-illness benefits have 30-day waits. PPO discounts may reduce the bill, but the member remains responsible for amounts above payable benefits. [S40 pp. 3–8]</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The PDF extraction contains rate-like text that was not visible in rendered pages; those amounts were withheld as unverified. A visible approved rate sheet and TX/FL availability confirmation are still needed. The Illinois reference in the filename does not establish Texas or Florida eligibility.</w:t>
      </w:r>
    </w:p>
    <w:p w14:paraId="2253225F" w14:textId="4EF277DE">
      <w:pPr>
        <w:pStyle w:val="Heading1"/>
        <w:pageBreakBefore/>
      </w:pPr>
      <w:r>
        <w:t>Amerus gap benefits and SBC differences</w:t>
      </w:r>
    </w:p>
    <w:p w14:paraId="73CA5CC6" w14:textId="77777777">
      <w:pPr>
        <w:pStyle w:val="Heading2"/>
        <w:pageBreakBefore w:val="0"/>
      </w:pPr>
      <w:r>
        <w:t>Ultimate EPO 1500 and EPO 3500</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The brochures market lower effective exposure through a gap benefit. The underlying SBCs, however, show a $9,000 individual and $18,000 family deductible and OOP limit, with 30% member coinsurance language. The workbook preserves those gross SBC figures and separately identifies the advertised $1,500/$3,000 or $3,500/$7,000 eligible member exposure after the gap arrangement. The lower headline is not substituted for the underlying deductible. [S03–S06]</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The EPO 3500 gap illustration describes the first $5,500 individual or $11,000 family layer being paid and the next $3,500 or $7,000 remaining with the member. That illustration supports the 3500 design, not an automatic inference about every 1500 claim. Obtain the gap certificate, coordination rules, exclusions and reimbursement process. Routine OON care is generally excluded under the EPO, subject to the stated emergency exceptions. [S01; S04, S06]</w:t>
      </w:r>
    </w:p>
    <w:p w14:paraId="73CA5CC6" w14:textId="77777777">
      <w:pPr>
        <w:pStyle w:val="Heading2"/>
        <w:pageBreakBefore w:val="0"/>
      </w:pPr>
      <w:r>
        <w:t>Ultimate PPO</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The PPO SBC shows a $0 INN deductible, $6,000 individual INN OOP limit, $7,000 OON deductible and $14,000 OON individual OOP limit. Covered inpatient entries show 0% INN and 50% OON; PCP and specialist copays are $25 and $50. Its illustrative coverage examples also refer to 30% coinsurance, an unresolved conflict. A September 15 Outlook email about the Plan 2 Cigna PPO asserts the integrated gap leaves a $0 net deductible and OOP maximum, while listed copays still apply. Confirm which expenses qualify under the gap certificate and reconcile the assertion with the SBC’s coverage examples; it does not prove every service is free. [O4] [S08, S09]</w:t>
      </w:r>
    </w:p>
    <w:p w14:paraId="73CA5CC6" w14:textId="77777777">
      <w:pPr>
        <w:pStyle w:val="Heading2"/>
        <w:pageBreakBefore w:val="0"/>
      </w:pPr>
      <w:r>
        <w:t>Ultimate HSA</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The HSA SBC names Cigna but does not establish the exact network subtype. It shows individual INN deductible/OOP of $6,000/$7,000 and OON deductible/OOP of $9,000/$14,000, with 30%/50% member coinsurance. No premium schedule was supplied. [S07 pp. 1–3]</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Outlook confirms Marpai as TPA, VerusRx as PBM and fixed composite household rates, not age-rated ACA pricing. Ultimate EPO and PPO use Cigna PPO; Premier PPO uses United Choice Plus but no Premier plan benefit/rate sheet was supplied for comparison. The EPO/PPO SBC coverage period is June 1, 2026 through May 31, 2027; the HSA SBC uses calendar year 2026. Confirm the documents applicable to the intended effective date. The commission schedule is not a consumer premium schedule.</w:t>
      </w:r>
    </w:p>
    <w:p w14:paraId="2253225F" w14:textId="4EF277DE">
      <w:pPr>
        <w:pStyle w:val="Heading1"/>
        <w:pageBreakBefore/>
      </w:pPr>
      <w:r>
        <w:t>Illustrative household premium comparisons</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Monthly published premiums below apply to the three representative ZIP examples because no ZIP-specific adjustment was supplied. A is female 40 plus two children; B is single male 50; C is male 50 plus spouse 50 and child. Missing enrollment, association, administration or other required fees are not assumed to be zero.</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00"/>
        <w:gridCol w:w="1720"/>
        <w:gridCol w:w="1720"/>
        <w:gridCol w:w="1720"/>
      </w:tblGrid>
      <w:tr w14:paraId="76270B64" w14:textId="77777777">
        <w:trPr>
          <w:tblHeader/>
        </w:trPr>
        <w:tc>
          <w:tcPr>
            <w:tcW w:w="4200"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14:paraId="3555FC42" w14:textId="77777777">
            <w:pPr>
              <w:rPr>
                <w:rFonts w:ascii="Helvetica Neue" w:eastAsia="Helvetica Neue" w:hAnsi="Helvetica Neue" w:cs="Helvetica Neue"/>
              </w:rPr>
            </w:pPr>
            <w:r>
              <w:rPr>
                <w:rFonts w:ascii="Helvetica Neue" w:eastAsia="Helvetica Neue" w:hAnsi="Helvetica Neue" w:cs="Helvetica Neue"/>
                <w:b/>
                <w:bCs/>
                <w:color w:val="FFFFFF"/>
                <w:sz w:val="20"/>
                <w:szCs w:val="20"/>
              </w:rPr>
              <w:t>Plan</w:t>
            </w:r>
          </w:p>
        </w:tc>
        <w:tc>
          <w:tcPr>
            <w:tcW w:w="1720"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14:paraId="3EBB5235" w14:textId="77777777">
            <w:pPr>
              <w:jc w:val="center"/>
              <w:rPr>
                <w:rFonts w:ascii="Helvetica Neue" w:eastAsia="Helvetica Neue" w:hAnsi="Helvetica Neue" w:cs="Helvetica Neue"/>
              </w:rPr>
            </w:pPr>
            <w:r>
              <w:rPr>
                <w:rFonts w:ascii="Helvetica Neue" w:eastAsia="Helvetica Neue" w:hAnsi="Helvetica Neue" w:cs="Helvetica Neue"/>
                <w:b/>
                <w:bCs/>
                <w:color w:val="FFFFFF"/>
                <w:sz w:val="20"/>
                <w:szCs w:val="20"/>
              </w:rPr>
              <w:t>A monthly</w:t>
            </w:r>
          </w:p>
        </w:tc>
        <w:tc>
          <w:tcPr>
            <w:tcW w:w="1720"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14:paraId="334D9A1D" w14:textId="77777777">
            <w:pPr>
              <w:jc w:val="center"/>
              <w:rPr>
                <w:rFonts w:ascii="Helvetica Neue" w:eastAsia="Helvetica Neue" w:hAnsi="Helvetica Neue" w:cs="Helvetica Neue"/>
              </w:rPr>
            </w:pPr>
            <w:r>
              <w:rPr>
                <w:rFonts w:ascii="Helvetica Neue" w:eastAsia="Helvetica Neue" w:hAnsi="Helvetica Neue" w:cs="Helvetica Neue"/>
                <w:b/>
                <w:bCs/>
                <w:color w:val="FFFFFF"/>
                <w:sz w:val="20"/>
                <w:szCs w:val="20"/>
              </w:rPr>
              <w:t>B monthly</w:t>
            </w:r>
          </w:p>
        </w:tc>
        <w:tc>
          <w:tcPr>
            <w:tcW w:w="1720"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14:paraId="431E22BA" w14:textId="77777777">
            <w:pPr>
              <w:jc w:val="center"/>
              <w:rPr>
                <w:rFonts w:ascii="Helvetica Neue" w:eastAsia="Helvetica Neue" w:hAnsi="Helvetica Neue" w:cs="Helvetica Neue"/>
              </w:rPr>
            </w:pPr>
            <w:r>
              <w:rPr>
                <w:rFonts w:ascii="Helvetica Neue" w:eastAsia="Helvetica Neue" w:hAnsi="Helvetica Neue" w:cs="Helvetica Neue"/>
                <w:b/>
                <w:bCs/>
                <w:color w:val="FFFFFF"/>
                <w:sz w:val="20"/>
                <w:szCs w:val="20"/>
              </w:rPr>
              <w:t>C monthly</w:t>
            </w:r>
          </w:p>
        </w:tc>
      </w:tr>
      <w:tr w14:paraId="0CB6626E" w14:textId="77777777">
        <w:tc>
          <w:tcPr>
            <w:tcW w:w="4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2ECE2A7"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MedPerformance 3500 Classic</w:t>
            </w:r>
          </w:p>
        </w:tc>
        <w:tc>
          <w:tcPr>
            <w:tcW w:w="17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4C00D16" w14:textId="77777777">
            <w:pPr>
              <w:jc w:val="right"/>
              <w:rPr>
                <w:rFonts w:ascii="Helvetica Neue" w:eastAsia="Helvetica Neue" w:hAnsi="Helvetica Neue" w:cs="Helvetica Neue"/>
              </w:rPr>
            </w:pPr>
            <w:r>
              <w:rPr>
                <w:rFonts w:ascii="Helvetica Neue" w:eastAsia="Helvetica Neue" w:hAnsi="Helvetica Neue" w:cs="Helvetica Neue"/>
                <w:color w:val="000000"/>
                <w:sz w:val="20"/>
                <w:szCs w:val="20"/>
              </w:rPr>
              <w:t>$1,311.79</w:t>
            </w:r>
          </w:p>
        </w:tc>
        <w:tc>
          <w:tcPr>
            <w:tcW w:w="17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6C2FED4" w14:textId="77777777">
            <w:pPr>
              <w:jc w:val="right"/>
              <w:rPr>
                <w:rFonts w:ascii="Helvetica Neue" w:eastAsia="Helvetica Neue" w:hAnsi="Helvetica Neue" w:cs="Helvetica Neue"/>
              </w:rPr>
            </w:pPr>
            <w:r>
              <w:rPr>
                <w:rFonts w:ascii="Helvetica Neue" w:eastAsia="Helvetica Neue" w:hAnsi="Helvetica Neue" w:cs="Helvetica Neue"/>
                <w:color w:val="000000"/>
                <w:sz w:val="20"/>
                <w:szCs w:val="20"/>
              </w:rPr>
              <w:t>$807.98</w:t>
            </w:r>
          </w:p>
        </w:tc>
        <w:tc>
          <w:tcPr>
            <w:tcW w:w="17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1B6CBD3" w14:textId="77777777">
            <w:pPr>
              <w:jc w:val="right"/>
              <w:rPr>
                <w:rFonts w:ascii="Helvetica Neue" w:eastAsia="Helvetica Neue" w:hAnsi="Helvetica Neue" w:cs="Helvetica Neue"/>
              </w:rPr>
            </w:pPr>
            <w:r>
              <w:rPr>
                <w:rFonts w:ascii="Helvetica Neue" w:eastAsia="Helvetica Neue" w:hAnsi="Helvetica Neue" w:cs="Helvetica Neue"/>
                <w:color w:val="000000"/>
                <w:sz w:val="20"/>
                <w:szCs w:val="20"/>
              </w:rPr>
              <w:t>$2,163.84</w:t>
            </w:r>
          </w:p>
        </w:tc>
      </w:tr>
      <w:tr w14:paraId="35559E0B" w14:textId="77777777">
        <w:tc>
          <w:tcPr>
            <w:tcW w:w="4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4BEAC457"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MM 3500</w:t>
            </w:r>
          </w:p>
        </w:tc>
        <w:tc>
          <w:tcPr>
            <w:tcW w:w="172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087B2828" w14:textId="77777777">
            <w:pPr>
              <w:jc w:val="right"/>
              <w:rPr>
                <w:rFonts w:ascii="Helvetica Neue" w:eastAsia="Helvetica Neue" w:hAnsi="Helvetica Neue" w:cs="Helvetica Neue"/>
              </w:rPr>
            </w:pPr>
            <w:r>
              <w:rPr>
                <w:rFonts w:ascii="Helvetica Neue" w:eastAsia="Helvetica Neue" w:hAnsi="Helvetica Neue" w:cs="Helvetica Neue"/>
                <w:color w:val="000000"/>
                <w:sz w:val="20"/>
                <w:szCs w:val="20"/>
              </w:rPr>
              <w:t>$1,111.00</w:t>
            </w:r>
          </w:p>
        </w:tc>
        <w:tc>
          <w:tcPr>
            <w:tcW w:w="172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77C0453E" w14:textId="77777777">
            <w:pPr>
              <w:jc w:val="right"/>
              <w:rPr>
                <w:rFonts w:ascii="Helvetica Neue" w:eastAsia="Helvetica Neue" w:hAnsi="Helvetica Neue" w:cs="Helvetica Neue"/>
              </w:rPr>
            </w:pPr>
            <w:r>
              <w:rPr>
                <w:rFonts w:ascii="Helvetica Neue" w:eastAsia="Helvetica Neue" w:hAnsi="Helvetica Neue" w:cs="Helvetica Neue"/>
                <w:color w:val="000000"/>
                <w:sz w:val="20"/>
                <w:szCs w:val="20"/>
              </w:rPr>
              <w:t>$708.00</w:t>
            </w:r>
          </w:p>
        </w:tc>
        <w:tc>
          <w:tcPr>
            <w:tcW w:w="172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262D5D00" w14:textId="77777777">
            <w:pPr>
              <w:jc w:val="right"/>
              <w:rPr>
                <w:rFonts w:ascii="Helvetica Neue" w:eastAsia="Helvetica Neue" w:hAnsi="Helvetica Neue" w:cs="Helvetica Neue"/>
              </w:rPr>
            </w:pPr>
            <w:r>
              <w:rPr>
                <w:rFonts w:ascii="Helvetica Neue" w:eastAsia="Helvetica Neue" w:hAnsi="Helvetica Neue" w:cs="Helvetica Neue"/>
                <w:color w:val="000000"/>
                <w:sz w:val="20"/>
                <w:szCs w:val="20"/>
              </w:rPr>
              <w:t>$1,723.00</w:t>
            </w:r>
          </w:p>
        </w:tc>
      </w:tr>
      <w:tr w14:paraId="4CCAE009" w14:textId="77777777">
        <w:tc>
          <w:tcPr>
            <w:tcW w:w="4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09CEC0E"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MedPerformance 5000 HSA</w:t>
            </w:r>
          </w:p>
        </w:tc>
        <w:tc>
          <w:tcPr>
            <w:tcW w:w="17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F18A9AF" w14:textId="77777777">
            <w:pPr>
              <w:jc w:val="right"/>
              <w:rPr>
                <w:rFonts w:ascii="Helvetica Neue" w:eastAsia="Helvetica Neue" w:hAnsi="Helvetica Neue" w:cs="Helvetica Neue"/>
              </w:rPr>
            </w:pPr>
            <w:r>
              <w:rPr>
                <w:rFonts w:ascii="Helvetica Neue" w:eastAsia="Helvetica Neue" w:hAnsi="Helvetica Neue" w:cs="Helvetica Neue"/>
                <w:color w:val="000000"/>
                <w:sz w:val="20"/>
                <w:szCs w:val="20"/>
              </w:rPr>
              <w:t>$1,144.18</w:t>
            </w:r>
          </w:p>
        </w:tc>
        <w:tc>
          <w:tcPr>
            <w:tcW w:w="17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03254D3" w14:textId="77777777">
            <w:pPr>
              <w:jc w:val="right"/>
              <w:rPr>
                <w:rFonts w:ascii="Helvetica Neue" w:eastAsia="Helvetica Neue" w:hAnsi="Helvetica Neue" w:cs="Helvetica Neue"/>
              </w:rPr>
            </w:pPr>
            <w:r>
              <w:rPr>
                <w:rFonts w:ascii="Helvetica Neue" w:eastAsia="Helvetica Neue" w:hAnsi="Helvetica Neue" w:cs="Helvetica Neue"/>
                <w:color w:val="000000"/>
                <w:sz w:val="20"/>
                <w:szCs w:val="20"/>
              </w:rPr>
              <w:t>$709.42</w:t>
            </w:r>
          </w:p>
        </w:tc>
        <w:tc>
          <w:tcPr>
            <w:tcW w:w="17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5ECE99C" w14:textId="77777777">
            <w:pPr>
              <w:jc w:val="right"/>
              <w:rPr>
                <w:rFonts w:ascii="Helvetica Neue" w:eastAsia="Helvetica Neue" w:hAnsi="Helvetica Neue" w:cs="Helvetica Neue"/>
              </w:rPr>
            </w:pPr>
            <w:r>
              <w:rPr>
                <w:rFonts w:ascii="Helvetica Neue" w:eastAsia="Helvetica Neue" w:hAnsi="Helvetica Neue" w:cs="Helvetica Neue"/>
                <w:color w:val="000000"/>
                <w:sz w:val="20"/>
                <w:szCs w:val="20"/>
              </w:rPr>
              <w:t>$1,874.15</w:t>
            </w:r>
          </w:p>
        </w:tc>
      </w:tr>
      <w:tr w14:paraId="1A26E9A1" w14:textId="77777777">
        <w:tc>
          <w:tcPr>
            <w:tcW w:w="4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1E01955C"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HSA 5000</w:t>
            </w:r>
          </w:p>
        </w:tc>
        <w:tc>
          <w:tcPr>
            <w:tcW w:w="172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3DCBA6F7" w14:textId="77777777">
            <w:pPr>
              <w:jc w:val="right"/>
              <w:rPr>
                <w:rFonts w:ascii="Helvetica Neue" w:eastAsia="Helvetica Neue" w:hAnsi="Helvetica Neue" w:cs="Helvetica Neue"/>
              </w:rPr>
            </w:pPr>
            <w:r>
              <w:rPr>
                <w:rFonts w:ascii="Helvetica Neue" w:eastAsia="Helvetica Neue" w:hAnsi="Helvetica Neue" w:cs="Helvetica Neue"/>
                <w:color w:val="000000"/>
                <w:sz w:val="20"/>
                <w:szCs w:val="20"/>
              </w:rPr>
              <w:t>$871.00</w:t>
            </w:r>
          </w:p>
        </w:tc>
        <w:tc>
          <w:tcPr>
            <w:tcW w:w="172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48D12294" w14:textId="77777777">
            <w:pPr>
              <w:jc w:val="right"/>
              <w:rPr>
                <w:rFonts w:ascii="Helvetica Neue" w:eastAsia="Helvetica Neue" w:hAnsi="Helvetica Neue" w:cs="Helvetica Neue"/>
              </w:rPr>
            </w:pPr>
            <w:r>
              <w:rPr>
                <w:rFonts w:ascii="Helvetica Neue" w:eastAsia="Helvetica Neue" w:hAnsi="Helvetica Neue" w:cs="Helvetica Neue"/>
                <w:color w:val="000000"/>
                <w:sz w:val="20"/>
                <w:szCs w:val="20"/>
              </w:rPr>
              <w:t>$566.00</w:t>
            </w:r>
          </w:p>
        </w:tc>
        <w:tc>
          <w:tcPr>
            <w:tcW w:w="172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1A28613C" w14:textId="77777777">
            <w:pPr>
              <w:jc w:val="right"/>
              <w:rPr>
                <w:rFonts w:ascii="Helvetica Neue" w:eastAsia="Helvetica Neue" w:hAnsi="Helvetica Neue" w:cs="Helvetica Neue"/>
              </w:rPr>
            </w:pPr>
            <w:r>
              <w:rPr>
                <w:rFonts w:ascii="Helvetica Neue" w:eastAsia="Helvetica Neue" w:hAnsi="Helvetica Neue" w:cs="Helvetica Neue"/>
                <w:color w:val="000000"/>
                <w:sz w:val="20"/>
                <w:szCs w:val="20"/>
              </w:rPr>
              <w:t>$1,426.00</w:t>
            </w:r>
          </w:p>
        </w:tc>
      </w:tr>
      <w:tr w14:paraId="0CB6626E" w14:textId="77777777">
        <w:tc>
          <w:tcPr>
            <w:tcW w:w="4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2ECE2A7"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MedPerformance 7350 Value</w:t>
            </w:r>
          </w:p>
        </w:tc>
        <w:tc>
          <w:tcPr>
            <w:tcW w:w="17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4C00D16" w14:textId="77777777">
            <w:pPr>
              <w:jc w:val="right"/>
              <w:rPr>
                <w:rFonts w:ascii="Helvetica Neue" w:eastAsia="Helvetica Neue" w:hAnsi="Helvetica Neue" w:cs="Helvetica Neue"/>
              </w:rPr>
            </w:pPr>
            <w:r>
              <w:rPr>
                <w:rFonts w:ascii="Helvetica Neue" w:eastAsia="Helvetica Neue" w:hAnsi="Helvetica Neue" w:cs="Helvetica Neue"/>
                <w:color w:val="000000"/>
                <w:sz w:val="20"/>
                <w:szCs w:val="20"/>
              </w:rPr>
              <w:t>$1,099.76</w:t>
            </w:r>
          </w:p>
        </w:tc>
        <w:tc>
          <w:tcPr>
            <w:tcW w:w="17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6C2FED4" w14:textId="77777777">
            <w:pPr>
              <w:jc w:val="right"/>
              <w:rPr>
                <w:rFonts w:ascii="Helvetica Neue" w:eastAsia="Helvetica Neue" w:hAnsi="Helvetica Neue" w:cs="Helvetica Neue"/>
              </w:rPr>
            </w:pPr>
            <w:r>
              <w:rPr>
                <w:rFonts w:ascii="Helvetica Neue" w:eastAsia="Helvetica Neue" w:hAnsi="Helvetica Neue" w:cs="Helvetica Neue"/>
                <w:color w:val="000000"/>
                <w:sz w:val="20"/>
                <w:szCs w:val="20"/>
              </w:rPr>
              <w:t>$683.30</w:t>
            </w:r>
          </w:p>
        </w:tc>
        <w:tc>
          <w:tcPr>
            <w:tcW w:w="17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1B6CBD3" w14:textId="77777777">
            <w:pPr>
              <w:jc w:val="right"/>
              <w:rPr>
                <w:rFonts w:ascii="Helvetica Neue" w:eastAsia="Helvetica Neue" w:hAnsi="Helvetica Neue" w:cs="Helvetica Neue"/>
              </w:rPr>
            </w:pPr>
            <w:r>
              <w:rPr>
                <w:rFonts w:ascii="Helvetica Neue" w:eastAsia="Helvetica Neue" w:hAnsi="Helvetica Neue" w:cs="Helvetica Neue"/>
                <w:color w:val="000000"/>
                <w:sz w:val="20"/>
                <w:szCs w:val="20"/>
              </w:rPr>
              <w:t>$1,797.38</w:t>
            </w:r>
          </w:p>
        </w:tc>
      </w:tr>
      <w:tr w14:paraId="0CB6626E" w14:textId="77777777">
        <w:tc>
          <w:tcPr>
            <w:tcW w:w="4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2ECE2A7"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MM 7250</w:t>
            </w:r>
          </w:p>
        </w:tc>
        <w:tc>
          <w:tcPr>
            <w:tcW w:w="17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4C00D16" w14:textId="77777777">
            <w:pPr>
              <w:jc w:val="right"/>
              <w:rPr>
                <w:rFonts w:ascii="Helvetica Neue" w:eastAsia="Helvetica Neue" w:hAnsi="Helvetica Neue" w:cs="Helvetica Neue"/>
              </w:rPr>
            </w:pPr>
            <w:r>
              <w:rPr>
                <w:rFonts w:ascii="Helvetica Neue" w:eastAsia="Helvetica Neue" w:hAnsi="Helvetica Neue" w:cs="Helvetica Neue"/>
                <w:color w:val="000000"/>
                <w:sz w:val="20"/>
                <w:szCs w:val="20"/>
              </w:rPr>
              <w:t>$849.00</w:t>
            </w:r>
          </w:p>
        </w:tc>
        <w:tc>
          <w:tcPr>
            <w:tcW w:w="17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6C2FED4" w14:textId="77777777">
            <w:pPr>
              <w:jc w:val="right"/>
              <w:rPr>
                <w:rFonts w:ascii="Helvetica Neue" w:eastAsia="Helvetica Neue" w:hAnsi="Helvetica Neue" w:cs="Helvetica Neue"/>
              </w:rPr>
            </w:pPr>
            <w:r>
              <w:rPr>
                <w:rFonts w:ascii="Helvetica Neue" w:eastAsia="Helvetica Neue" w:hAnsi="Helvetica Neue" w:cs="Helvetica Neue"/>
                <w:color w:val="000000"/>
                <w:sz w:val="20"/>
                <w:szCs w:val="20"/>
              </w:rPr>
              <w:t>$559.00</w:t>
            </w:r>
          </w:p>
        </w:tc>
        <w:tc>
          <w:tcPr>
            <w:tcW w:w="17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1B6CBD3" w14:textId="77777777">
            <w:pPr>
              <w:jc w:val="right"/>
              <w:rPr>
                <w:rFonts w:ascii="Helvetica Neue" w:eastAsia="Helvetica Neue" w:hAnsi="Helvetica Neue" w:cs="Helvetica Neue"/>
              </w:rPr>
            </w:pPr>
            <w:r>
              <w:rPr>
                <w:rFonts w:ascii="Helvetica Neue" w:eastAsia="Helvetica Neue" w:hAnsi="Helvetica Neue" w:cs="Helvetica Neue"/>
                <w:color w:val="000000"/>
                <w:sz w:val="20"/>
                <w:szCs w:val="20"/>
              </w:rPr>
              <w:t>$1,381.00</w:t>
            </w:r>
          </w:p>
        </w:tc>
      </w:tr>
      <w:tr w14:paraId="0CB6626E" w14:textId="77777777">
        <w:tc>
          <w:tcPr>
            <w:tcW w:w="4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2ECE2A7"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MedMax 1500</w:t>
            </w:r>
          </w:p>
        </w:tc>
        <w:tc>
          <w:tcPr>
            <w:tcW w:w="17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4C00D16" w14:textId="77777777">
            <w:pPr>
              <w:jc w:val="right"/>
              <w:rPr>
                <w:rFonts w:ascii="Helvetica Neue" w:eastAsia="Helvetica Neue" w:hAnsi="Helvetica Neue" w:cs="Helvetica Neue"/>
              </w:rPr>
            </w:pPr>
            <w:r>
              <w:rPr>
                <w:rFonts w:ascii="Helvetica Neue" w:eastAsia="Helvetica Neue" w:hAnsi="Helvetica Neue" w:cs="Helvetica Neue"/>
                <w:color w:val="000000"/>
                <w:sz w:val="20"/>
                <w:szCs w:val="20"/>
              </w:rPr>
              <w:t>$623.00</w:t>
            </w:r>
          </w:p>
        </w:tc>
        <w:tc>
          <w:tcPr>
            <w:tcW w:w="17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6C2FED4" w14:textId="77777777">
            <w:pPr>
              <w:jc w:val="right"/>
              <w:rPr>
                <w:rFonts w:ascii="Helvetica Neue" w:eastAsia="Helvetica Neue" w:hAnsi="Helvetica Neue" w:cs="Helvetica Neue"/>
              </w:rPr>
            </w:pPr>
            <w:r>
              <w:rPr>
                <w:rFonts w:ascii="Helvetica Neue" w:eastAsia="Helvetica Neue" w:hAnsi="Helvetica Neue" w:cs="Helvetica Neue"/>
                <w:color w:val="000000"/>
                <w:sz w:val="20"/>
                <w:szCs w:val="20"/>
              </w:rPr>
              <w:t>$379.00</w:t>
            </w:r>
          </w:p>
        </w:tc>
        <w:tc>
          <w:tcPr>
            <w:tcW w:w="17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1B6CBD3" w14:textId="77777777">
            <w:pPr>
              <w:jc w:val="right"/>
              <w:rPr>
                <w:rFonts w:ascii="Helvetica Neue" w:eastAsia="Helvetica Neue" w:hAnsi="Helvetica Neue" w:cs="Helvetica Neue"/>
              </w:rPr>
            </w:pPr>
            <w:r>
              <w:rPr>
                <w:rFonts w:ascii="Helvetica Neue" w:eastAsia="Helvetica Neue" w:hAnsi="Helvetica Neue" w:cs="Helvetica Neue"/>
                <w:color w:val="000000"/>
                <w:sz w:val="20"/>
                <w:szCs w:val="20"/>
              </w:rPr>
              <w:t>$959.00</w:t>
            </w:r>
          </w:p>
        </w:tc>
      </w:tr>
      <w:tr w14:paraId="0CB6626E" w14:textId="77777777">
        <w:tc>
          <w:tcPr>
            <w:tcW w:w="4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2ECE2A7"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PHCS PPO 1500</w:t>
            </w:r>
          </w:p>
        </w:tc>
        <w:tc>
          <w:tcPr>
            <w:tcW w:w="17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4C00D16" w14:textId="77777777">
            <w:pPr>
              <w:jc w:val="right"/>
              <w:rPr>
                <w:rFonts w:ascii="Helvetica Neue" w:eastAsia="Helvetica Neue" w:hAnsi="Helvetica Neue" w:cs="Helvetica Neue"/>
              </w:rPr>
            </w:pPr>
            <w:r>
              <w:rPr>
                <w:rFonts w:ascii="Helvetica Neue" w:eastAsia="Helvetica Neue" w:hAnsi="Helvetica Neue" w:cs="Helvetica Neue"/>
                <w:color w:val="000000"/>
                <w:sz w:val="20"/>
                <w:szCs w:val="20"/>
              </w:rPr>
              <w:t>$743.00</w:t>
            </w:r>
          </w:p>
        </w:tc>
        <w:tc>
          <w:tcPr>
            <w:tcW w:w="17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6C2FED4" w14:textId="77777777">
            <w:pPr>
              <w:jc w:val="right"/>
              <w:rPr>
                <w:rFonts w:ascii="Helvetica Neue" w:eastAsia="Helvetica Neue" w:hAnsi="Helvetica Neue" w:cs="Helvetica Neue"/>
              </w:rPr>
            </w:pPr>
            <w:r>
              <w:rPr>
                <w:rFonts w:ascii="Helvetica Neue" w:eastAsia="Helvetica Neue" w:hAnsi="Helvetica Neue" w:cs="Helvetica Neue"/>
                <w:color w:val="000000"/>
                <w:sz w:val="20"/>
                <w:szCs w:val="20"/>
              </w:rPr>
              <w:t>$459.00</w:t>
            </w:r>
          </w:p>
        </w:tc>
        <w:tc>
          <w:tcPr>
            <w:tcW w:w="17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1B6CBD3" w14:textId="77777777">
            <w:pPr>
              <w:jc w:val="right"/>
              <w:rPr>
                <w:rFonts w:ascii="Helvetica Neue" w:eastAsia="Helvetica Neue" w:hAnsi="Helvetica Neue" w:cs="Helvetica Neue"/>
              </w:rPr>
            </w:pPr>
            <w:r>
              <w:rPr>
                <w:rFonts w:ascii="Helvetica Neue" w:eastAsia="Helvetica Neue" w:hAnsi="Helvetica Neue" w:cs="Helvetica Neue"/>
                <w:color w:val="000000"/>
                <w:sz w:val="20"/>
                <w:szCs w:val="20"/>
              </w:rPr>
              <w:t>$1,109.00</w:t>
            </w:r>
          </w:p>
        </w:tc>
      </w:tr>
      <w:tr w14:paraId="0CB6626E" w14:textId="77777777">
        <w:tc>
          <w:tcPr>
            <w:tcW w:w="4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2ECE2A7"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VL 1500</w:t>
            </w:r>
          </w:p>
        </w:tc>
        <w:tc>
          <w:tcPr>
            <w:tcW w:w="17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4C00D16" w14:textId="77777777">
            <w:pPr>
              <w:jc w:val="right"/>
              <w:rPr>
                <w:rFonts w:ascii="Helvetica Neue" w:eastAsia="Helvetica Neue" w:hAnsi="Helvetica Neue" w:cs="Helvetica Neue"/>
              </w:rPr>
            </w:pPr>
            <w:r>
              <w:rPr>
                <w:rFonts w:ascii="Helvetica Neue" w:eastAsia="Helvetica Neue" w:hAnsi="Helvetica Neue" w:cs="Helvetica Neue"/>
                <w:color w:val="000000"/>
                <w:sz w:val="20"/>
                <w:szCs w:val="20"/>
              </w:rPr>
              <w:t>$611.00</w:t>
            </w:r>
          </w:p>
        </w:tc>
        <w:tc>
          <w:tcPr>
            <w:tcW w:w="17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6C2FED4" w14:textId="77777777">
            <w:pPr>
              <w:jc w:val="right"/>
              <w:rPr>
                <w:rFonts w:ascii="Helvetica Neue" w:eastAsia="Helvetica Neue" w:hAnsi="Helvetica Neue" w:cs="Helvetica Neue"/>
              </w:rPr>
            </w:pPr>
            <w:r>
              <w:rPr>
                <w:rFonts w:ascii="Helvetica Neue" w:eastAsia="Helvetica Neue" w:hAnsi="Helvetica Neue" w:cs="Helvetica Neue"/>
                <w:color w:val="000000"/>
                <w:sz w:val="20"/>
                <w:szCs w:val="20"/>
              </w:rPr>
              <w:t>$359.00</w:t>
            </w:r>
          </w:p>
        </w:tc>
        <w:tc>
          <w:tcPr>
            <w:tcW w:w="17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1B6CBD3" w14:textId="77777777">
            <w:pPr>
              <w:jc w:val="right"/>
              <w:rPr>
                <w:rFonts w:ascii="Helvetica Neue" w:eastAsia="Helvetica Neue" w:hAnsi="Helvetica Neue" w:cs="Helvetica Neue"/>
              </w:rPr>
            </w:pPr>
            <w:r>
              <w:rPr>
                <w:rFonts w:ascii="Helvetica Neue" w:eastAsia="Helvetica Neue" w:hAnsi="Helvetica Neue" w:cs="Helvetica Neue"/>
                <w:color w:val="000000"/>
                <w:sz w:val="20"/>
                <w:szCs w:val="20"/>
              </w:rPr>
              <w:t>$957.00</w:t>
            </w:r>
          </w:p>
        </w:tc>
      </w:tr>
      <w:tr w14:paraId="0CB6626E" w14:textId="77777777">
        <w:tc>
          <w:tcPr>
            <w:tcW w:w="4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2ECE2A7"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Ultimate EPO 3500</w:t>
            </w:r>
          </w:p>
        </w:tc>
        <w:tc>
          <w:tcPr>
            <w:tcW w:w="17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4C00D16" w14:textId="77777777">
            <w:pPr>
              <w:jc w:val="right"/>
              <w:rPr>
                <w:rFonts w:ascii="Helvetica Neue" w:eastAsia="Helvetica Neue" w:hAnsi="Helvetica Neue" w:cs="Helvetica Neue"/>
              </w:rPr>
            </w:pPr>
            <w:r>
              <w:rPr>
                <w:rFonts w:ascii="Helvetica Neue" w:eastAsia="Helvetica Neue" w:hAnsi="Helvetica Neue" w:cs="Helvetica Neue"/>
                <w:color w:val="000000"/>
                <w:sz w:val="20"/>
                <w:szCs w:val="20"/>
              </w:rPr>
              <w:t>$1,449.95</w:t>
            </w:r>
          </w:p>
        </w:tc>
        <w:tc>
          <w:tcPr>
            <w:tcW w:w="17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6C2FED4" w14:textId="77777777">
            <w:pPr>
              <w:jc w:val="right"/>
              <w:rPr>
                <w:rFonts w:ascii="Helvetica Neue" w:eastAsia="Helvetica Neue" w:hAnsi="Helvetica Neue" w:cs="Helvetica Neue"/>
              </w:rPr>
            </w:pPr>
            <w:r>
              <w:rPr>
                <w:rFonts w:ascii="Helvetica Neue" w:eastAsia="Helvetica Neue" w:hAnsi="Helvetica Neue" w:cs="Helvetica Neue"/>
                <w:color w:val="000000"/>
                <w:sz w:val="20"/>
                <w:szCs w:val="20"/>
              </w:rPr>
              <w:t>$699.95</w:t>
            </w:r>
          </w:p>
        </w:tc>
        <w:tc>
          <w:tcPr>
            <w:tcW w:w="17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1B6CBD3" w14:textId="77777777">
            <w:pPr>
              <w:jc w:val="right"/>
              <w:rPr>
                <w:rFonts w:ascii="Helvetica Neue" w:eastAsia="Helvetica Neue" w:hAnsi="Helvetica Neue" w:cs="Helvetica Neue"/>
              </w:rPr>
            </w:pPr>
            <w:r>
              <w:rPr>
                <w:rFonts w:ascii="Helvetica Neue" w:eastAsia="Helvetica Neue" w:hAnsi="Helvetica Neue" w:cs="Helvetica Neue"/>
                <w:color w:val="000000"/>
                <w:sz w:val="20"/>
                <w:szCs w:val="20"/>
              </w:rPr>
              <w:t>$2,149.95</w:t>
            </w:r>
          </w:p>
        </w:tc>
      </w:tr>
      <w:tr w14:paraId="0CB6626E" w14:textId="77777777">
        <w:tc>
          <w:tcPr>
            <w:tcW w:w="4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2ECE2A7"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Ultimate PPO</w:t>
            </w:r>
          </w:p>
        </w:tc>
        <w:tc>
          <w:tcPr>
            <w:tcW w:w="17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4C00D16" w14:textId="77777777">
            <w:pPr>
              <w:jc w:val="right"/>
              <w:rPr>
                <w:rFonts w:ascii="Helvetica Neue" w:eastAsia="Helvetica Neue" w:hAnsi="Helvetica Neue" w:cs="Helvetica Neue"/>
              </w:rPr>
            </w:pPr>
            <w:r>
              <w:rPr>
                <w:rFonts w:ascii="Helvetica Neue" w:eastAsia="Helvetica Neue" w:hAnsi="Helvetica Neue" w:cs="Helvetica Neue"/>
                <w:color w:val="000000"/>
                <w:sz w:val="20"/>
                <w:szCs w:val="20"/>
              </w:rPr>
              <w:t>$1,699.00</w:t>
            </w:r>
          </w:p>
        </w:tc>
        <w:tc>
          <w:tcPr>
            <w:tcW w:w="17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6C2FED4" w14:textId="77777777">
            <w:pPr>
              <w:jc w:val="right"/>
              <w:rPr>
                <w:rFonts w:ascii="Helvetica Neue" w:eastAsia="Helvetica Neue" w:hAnsi="Helvetica Neue" w:cs="Helvetica Neue"/>
              </w:rPr>
            </w:pPr>
            <w:r>
              <w:rPr>
                <w:rFonts w:ascii="Helvetica Neue" w:eastAsia="Helvetica Neue" w:hAnsi="Helvetica Neue" w:cs="Helvetica Neue"/>
                <w:color w:val="000000"/>
                <w:sz w:val="20"/>
                <w:szCs w:val="20"/>
              </w:rPr>
              <w:t>$949.00</w:t>
            </w:r>
          </w:p>
        </w:tc>
        <w:tc>
          <w:tcPr>
            <w:tcW w:w="17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1B6CBD3" w14:textId="77777777">
            <w:pPr>
              <w:jc w:val="right"/>
              <w:rPr>
                <w:rFonts w:ascii="Helvetica Neue" w:eastAsia="Helvetica Neue" w:hAnsi="Helvetica Neue" w:cs="Helvetica Neue"/>
              </w:rPr>
            </w:pPr>
            <w:r>
              <w:rPr>
                <w:rFonts w:ascii="Helvetica Neue" w:eastAsia="Helvetica Neue" w:hAnsi="Helvetica Neue" w:cs="Helvetica Neue"/>
                <w:color w:val="000000"/>
                <w:sz w:val="20"/>
                <w:szCs w:val="20"/>
              </w:rPr>
              <w:t>$2,299.00</w:t>
            </w:r>
          </w:p>
        </w:tc>
      </w:tr>
    </w:tbl>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Sources: each plan’s rate page is listed on the workbook Rate sources tab. Selected rows above include S13, S15, S16, S26, S22, S27, S11, S25 and S17; S05 and S08 for Amerus.</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Example: for single male 50, MedPerformance 3500 Classic costs $807.98/month versus Life-X MM 3500 at $708.00, a $99.98 monthly or $1,199.76 annual difference. Their INN individual OOP limits differ by $3,250 ($7,350 versus $10,600), before considering exclusions. The premium saving alone does not determine the better choice.</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For A, the same pair differs by $200.79/month; for C, by $440.84/month. Exact annual premiums are calculated in Excel as monthly premium multiplied by 12. Annual premium plus OOP is not a universal maximum total cost because uncovered care, benefit caps and balance bills may remain.</w:t>
      </w:r>
    </w:p>
    <w:p w14:paraId="2253225F" w14:textId="4EF277DE">
      <w:pPr>
        <w:pStyle w:val="Heading1"/>
        <w:pageBreakBefore/>
      </w:pPr>
      <w:r>
        <w:t>National network access overview</w:t>
      </w:r>
    </w:p>
    <w:p w14:paraId="73CA5CC6" w14:textId="77777777">
      <w:pPr>
        <w:pStyle w:val="Heading2"/>
        <w:pageBreakBefore w:val="0"/>
      </w:pPr>
      <w:r>
        <w:t>Cigna</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The supplied Amerus Outlook email confirms Marpai administers medical claims, Cigna provides the provider network, and VerusRx handles pharmacy benefits. Ultimate EPO/PPO use Cigna PPO; the EPO design pays routine care in network only, while Ultimate PPO has OON benefits. Exact network configuration remains to be verified in member directory.</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Documented hospital access examples span the West Coast, Texas, South Florida and Northeast Ohio: UCLA, UW Medicine, UT Southwestern, Houston Methodist Willowbrook, Broward Health and Cleveland Clinic list Cigna. These are favorable regional signals, not measured state rankings.</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UW Medicine excludes Cigna Behavioral Health/Evernorth Behavioral Health. That service-specific exception does not negate its medical Cigna participation. Remaining states, Alaska, Hawaii, rural counties and exact third-party products have no density ranking in this review.</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Evidence: W1 W2 W3 W6 W7 W8 W11 O1 O2. See the national atlas for mapped facility examples and links.</w:t>
      </w:r>
    </w:p>
    <w:p w14:paraId="73CA5CC6" w14:textId="77777777">
      <w:pPr>
        <w:pStyle w:val="Heading2"/>
        <w:pageBreakBefore w:val="0"/>
      </w:pPr>
      <w:r>
        <w:t>First Health PPO</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National PPO access with documented examples on both coasts and in Texas. MedAccess names First Health but its precise network arrangement still needs confirmation. Everest uses PPO discount access alongside fixed indemnity payments.</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UCLA, UW Medicine, UT Southwestern, Houston Methodist Willowbrook, Broward Health and the Massachusetts General Hospital list provide favorable access evidence in Los Angeles, Seattle, Dallas, Houston, Broward County and Boston. Participation must be checked for the actual product.</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A June 2025 First Health notice terminated Cleveland Clinic facilities and employed providers effective July 1, 2025, including Northeast Ohio and Weston, Martin and Indian River facilities in Florida. Treat these as specific caution locations and recheck for reinstatement; they do not make all Ohio or Florida out of network. The available plan materials do not include a Premier PPO benefit/rate sheet; it is not added as a plan.</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Evidence: W1 W2 W3 W5 W7 W8 W9 W10. See the national atlas for mapped facility examples and links.</w:t>
      </w:r>
    </w:p>
    <w:p w14:paraId="2253225F" w14:textId="4EF277DE">
      <w:pPr>
        <w:pStyle w:val="Heading1"/>
        <w:pageBreakBefore/>
      </w:pPr>
      <w:r>
        <w:t>National network access overview</w:t>
      </w:r>
    </w:p>
    <w:p w14:paraId="73CA5CC6" w14:textId="77777777">
      <w:pPr>
        <w:pStyle w:val="Heading2"/>
        <w:pageBreakBefore w:val="0"/>
      </w:pPr>
      <w:r>
        <w:t>PHCS PPO</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Claritev describes PHCS as a nationwide primary PPO with configurable access. Practitioner-only, ancillary and limited-benefit arrangements can differ substantially from a full hospital PPO. Do not substitute the broader MultiPlan logo for PHCS acceptance.</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Favorable examples include UCLA in Los Angeles, Houston Methodist Willowbrook and Massachusetts General Hospital in Boston. These establish selected urban access points; they do not demonstrate which state has the most providers or confirm a Life-X contract.</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UW Medicine explicitly states that it does not participate in PHCS. UT Southwestern excludes several restricted PHCS arrangements, including limited-benefit networks. Dallas access therefore depends on the exact Life-X network configuration. Broward participation was not established from the current sources reviewed.</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Evidence: W1 W2 W4 W7 W8 W9. See the national atlas for mapped facility examples and links.</w:t>
      </w:r>
    </w:p>
    <w:p w14:paraId="73CA5CC6" w14:textId="77777777">
      <w:pPr>
        <w:pStyle w:val="Heading2"/>
        <w:pageBreakBefore w:val="0"/>
      </w:pPr>
      <w:r>
        <w:t>PHCS Extended PPO (AFI/BMI designation)</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The uploaded group association lookup guide instructs a PHCS Extended PPO search. BMI brochure says PHCS without a subtype. These labels do not establish that every hospital in a standard PHCS PPO directory participates in the Extended configuration.</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Use the exact PHCS Extended PPO selector and search a specific hospital, clinician and specialty. The supplied guide is evidence of a lookup process, not a national provider census.</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No state-by-state density, county coverage or verified hospital list for these exact plans was supplied. This network is not ranked; no state can be labeled uncovered from these files.</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Evidence: S62 S56 W4. See the national atlas for mapped facility examples and links.</w:t>
      </w:r>
    </w:p>
    <w:p w14:paraId="73CA5CC6" w14:textId="77777777">
      <w:pPr>
        <w:pStyle w:val="Heading2"/>
        <w:pageBreakBefore w:val="0"/>
      </w:pPr>
      <w:r>
        <w:t>PHCS Practitioner &amp; Ancillary / facility reference pricing</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The Vault schedules name PHCS Practitioner &amp; Ancillary for professional/ancillary services. Hospitals are paid through reference-based pricing at 140% of Medicare allowable amount, outside a contracted hospital PPO network.</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The supplied schedules do not substantiate a nationwide list of participating physicians or facilities for the exact plan. Verify physicians individually.</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A hospital may reject the reference payment and balance bill; those charges are outside the stated out-of-pocket maximum. No defensible state coverage ranking or guaranteed hospital access is available.</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Evidence: S59 S60 S61. See the national atlas for mapped facility examples and links.</w:t>
      </w:r>
    </w:p>
    <w:p w14:paraId="73CA5CC6" w14:textId="77777777">
      <w:pPr>
        <w:pStyle w:val="Heading2"/>
        <w:pageBreakBefore w:val="0"/>
      </w:pPr>
      <w:r>
        <w:t>Vault Elite Plus dual access / facility reference pricing</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The schedule names First Health as primary and MultiPlan as secondary for provider access; facilities use reference-based pricing. A First Health logo alone does not establish facility payment acceptance.</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First Health selected facility examples are shown on its separate map, but Vault Plus participation for the exact product has not been verified.</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Out-of-network benefits are listed as not covered. Balance billing is possible when a facility rejects the reference payment. The precise secondary MultiPlan configuration and national density are unverified.</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Evidence: S58 W5. See the national atlas for mapped facility examples and links.</w:t>
      </w:r>
    </w:p>
    <w:p w14:paraId="73CA5CC6" w14:textId="77777777">
      <w:pPr>
        <w:pStyle w:val="Heading2"/>
        <w:pageBreakBefore w:val="0"/>
      </w:pPr>
      <w:r>
        <w:t>Bloom fixed indemnity (no medical network)</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Bloom is a scheduled fixed indemnity product, not a major medical PPO/EPO plan. No contracted medical provider network is identified or required for its fixed benefit design; a member may use providers broadly, subject to certificate terms and actual provider billing/acceptance.</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A national in-network footprint ranking does not apply to a fixed cash benefit. Benefits follow the schedule rather than negotiated network cost sharing.</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Payment is limited to the scheduled amount. The member may owe the balance of the provider charge; “can use any provider” does not mean the plan pays any provider bill in full. Confirm any discount arrangements and assignment terms with Lucida.</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Evidence: S33 through S39; U1. See the national atlas for mapped facility examples and links.</w:t>
      </w:r>
    </w:p>
    <w:p w14:paraId="2253225F" w14:textId="4EF277DE">
      <w:pPr>
        <w:pStyle w:val="Heading1"/>
        <w:pageBreakBefore/>
      </w:pPr>
      <w:r>
        <w:t>What remains to verify</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The maps show reviewed hospital examples and explicit restrictions. They do not measure providers per member, available appointments, drive times, specialties or county-level adequacy. No defensible national most-to-least ranking was established. Unmapped states and rural locations are unranked, not proven to lack service.</w:t>
      </w:r>
    </w:p>
    <w:p w14:paraId="73CA5CC6" w14:textId="77777777">
      <w:pPr>
        <w:pStyle w:val="Heading2"/>
        <w:pageBreakBefore w:val="0"/>
      </w:pPr>
      <w:r>
        <w:t>Before choosing a plan</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Confirm Texas and Florida sale eligibility, underwriting, association or employment requirements, all mandatory fees and the effective-date rate sheet. Obtain the plan document, exact network identifier and sample ID card. Confirm the named facility and physicians, including anesthesia, radiology, laboratories and behavioral health, for the actual product.</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Resolve the MedPerformance 5000 Classic OON discrepancy, Life-X transplant/dialysis conflicts and HSA office cost-sharing language, MedAccess Pro drug conflict, and all visit and day limits. For Amerus, reconcile the PPO coverage examples with its benefit table and obtain both underlying and gap certificates.</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Request final Vault rates and corrected schedules, AFI portal quotes by age and ZIP, confirmation of BMI household-tier applicability, and the exact PHCS Extended and Vault Practitioner &amp; Ancillary directory identifiers.</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Request Bloom’s network name and all missing rate sheets. MedMax and MedAccess OON schedules remain unverified; the exact First Health arrangement for MedAccess also requires confirmation. Amerus HSA lacks a rate sheet and an exact Cigna network subtype.</w:t>
      </w:r>
    </w:p>
    <w:p w14:paraId="73CA5CC6" w14:textId="77777777">
      <w:pPr>
        <w:pStyle w:val="Heading2"/>
        <w:pageBreakBefore w:val="0"/>
      </w:pPr>
      <w:r>
        <w:t>Evidence trail</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Every plan in Excel links to a source ID and physical PDF pages. The Sources tab contains the uploaded-file register. Public network references W1–W12 are listed with live links in the atlas. Outlook messages O1–O4 add Amerus details. U1 is the Bloom premium schedule; X1 is the secondary review workbook. Public pages were reviewed September 20, 2026; older notices retain their original dates and require a current participation check.</w:t>
      </w:r>
    </w:p>
    <w:p w14:paraId="6A5A6D47" w14:textId="77777777">
      <w:pPr>
        <w:pageBreakBefore w:val="0"/>
        <w:spacing w:after="120" w:line="276" w:lineRule="auto"/>
        <w:jc w:val="both"/>
        <w:rPr>
          <w:rFonts w:ascii="Helvetica Neue" w:eastAsia="Helvetica Neue" w:hAnsi="Helvetica Neue" w:cs="Helvetica Neue"/>
        </w:rPr>
      </w:pPr>
      <w:r>
        <w:rPr>
          <w:rFonts w:ascii="Helvetica Neue" w:eastAsia="Helvetica Neue" w:hAnsi="Helvetica Neue" w:cs="Helvetica Neue"/>
        </w:rPr>
        <w:t>The broadest favorable evidence in this review spans multiple metro regions for Cigna and First Health, while PHCS has useful documented hubs plus a clear UW Medicine exclusion and configuration risk in Dallas. These findings support targeted provider checks; they do not establish an overall winner or imply the same benefit protection across plans.</w:t>
      </w:r>
    </w:p>
    <w:sectPr>
      <w:headerReference w:type="default" r:id="rId9"/>
      <w:footerReference w:type="default" r:id="rId10"/>
      <w:pgSz w:w="12240" w:h="15840"/>
      <w:pgMar w:top="1440" w:right="1440" w:bottom="1440" w:left="1440" w:header="705"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178A6B" w14:textId="77777777">
    <w:pPr>
      <w:pBdr>
        <w:top w:val="nil"/>
      </w:pBdr>
      <w:tabs>
        <w:tab w:val="right" w:pos="9360"/>
      </w:tabs>
      <w:rPr>
        <w:color w:val="112075"/>
      </w:rPr>
    </w:pPr>
    <w:r>
      <w:rPr>
        <w:color w:val="112075"/>
        <w:sz w:val="16"/>
        <w:szCs w:val="16"/>
      </w:rPr>
      <w:t xml:space="preserve">Illustrative comparison — </w:t>
    </w:r>
    <w:r>
      <w:rPr>
        <w:color w:val="112075"/>
        <w:sz w:val="16"/>
        <w:szCs w:val="16"/>
      </w:rPr>
      <w:fldChar w:fldCharType="begin"/>
    </w:r>
    <w:r>
      <w:rPr>
        <w:color w:val="112075"/>
        <w:sz w:val="16"/>
        <w:szCs w:val="16"/>
      </w:rPr>
      <w:instrText>PAGE</w:instrText>
    </w:r>
    <w:r>
      <w:rPr>
        <w:color w:val="112075"/>
        <w:sz w:val="16"/>
        <w:szCs w:val="16"/>
      </w:rPr>
      <w:fldChar w:fldCharType="separate"/>
    </w:r>
    <w:r>
      <w:rPr>
        <w:noProof/>
        <w:color w:val="112075"/>
        <w:sz w:val="16"/>
        <w:szCs w:val="16"/>
      </w:rPr>
      <w:t>1</w:t>
    </w:r>
    <w:r>
      <w:rPr>
        <w:color w:val="112075"/>
        <w:sz w:val="16"/>
        <w:szCs w:val="16"/>
      </w:rPr>
      <w:fldChar w:fldCharType="end"/>
    </w:r>
    <w:r>
      <w:rPr>
        <w:color w:val="112075"/>
        <w:sz w:val="16"/>
        <w:szCs w:val="16"/>
      </w:rPr>
      <w:t xml:space="preserve"> of </w:t>
    </w:r>
    <w:r>
      <w:rPr>
        <w:color w:val="112075"/>
        <w:sz w:val="16"/>
        <w:szCs w:val="16"/>
      </w:rPr>
      <w:fldChar w:fldCharType="begin"/>
    </w:r>
    <w:r>
      <w:rPr>
        <w:color w:val="112075"/>
        <w:sz w:val="16"/>
        <w:szCs w:val="16"/>
      </w:rPr>
      <w:instrText>NUMPAGES</w:instrText>
    </w:r>
    <w:r>
      <w:rPr>
        <w:color w:val="112075"/>
        <w:sz w:val="16"/>
        <w:szCs w:val="16"/>
      </w:rPr>
      <w:fldChar w:fldCharType="separate"/>
    </w:r>
    <w:r>
      <w:rPr>
        <w:noProof/>
        <w:color w:val="112075"/>
        <w:sz w:val="16"/>
        <w:szCs w:val="16"/>
      </w:rPr>
      <w:t>2</w:t>
    </w:r>
    <w:r>
      <w:rPr>
        <w:color w:val="11207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4F3B78" w14:textId="77777777">
    <w:pPr>
      <w:tabs>
        <w:tab w:val="right" w:pos="9360"/>
      </w:tabs>
      <w:rPr>
        <w:color w:val="1A1BAA"/>
        <w:sz w:val="16"/>
        <w:szCs w:val="16"/>
      </w:rPr>
    </w:pP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14:paraId="2CCD06D5" w14:textId="77777777">
      <w:tc>
        <w:tcPr>
          <w:tcW w:w="9360" w:type="dxa"/>
          <w:tcBorders>
            <w:top w:val="single" w:sz="48" w:space="0" w:color="112075"/>
            <w:left w:val="single" w:sz="8" w:space="0" w:color="FFFFFF"/>
            <w:bottom w:val="single" w:sz="8" w:space="0" w:color="FFFFFF"/>
            <w:right w:val="single" w:sz="8" w:space="0" w:color="FFFFFF"/>
          </w:tcBorders>
          <w:tcMar>
            <w:top w:w="0" w:type="dxa"/>
            <w:left w:w="0" w:type="dxa"/>
            <w:bottom w:w="0" w:type="dxa"/>
            <w:right w:w="0" w:type="dxa"/>
          </w:tcMar>
        </w:tcPr>
        <w:p w14:paraId="44A9451B" w14:textId="77777777">
          <w:pPr>
            <w:widowControl w:val="0"/>
            <w:pBdr>
              <w:top w:val="nil"/>
              <w:left w:val="nil"/>
              <w:bottom w:val="nil"/>
              <w:right w:val="nil"/>
              <w:between w:val="nil"/>
            </w:pBdr>
            <w:rPr>
              <w:color w:val="1A1BAA"/>
              <w:sz w:val="16"/>
              <w:szCs w:val="16"/>
            </w:rPr>
          </w:pPr>
        </w:p>
      </w:tc>
    </w:tr>
  </w:tbl>
  <w:p w14:paraId="508BF40B" w14:textId="77777777">
    <w:pPr>
      <w:tabs>
        <w:tab w:val="right" w:pos="9360"/>
      </w:tabs>
      <w:rPr>
        <w:b/>
        <w:bCs/>
        <w:color w:val="112075"/>
        <w:sz w:val="16"/>
        <w:szCs w:val="16"/>
      </w:rPr>
    </w:pPr>
    <w:r>
      <w:rPr>
        <w:color w:val="112075"/>
        <w:sz w:val="16"/>
        <w:szCs w:val="16"/>
      </w:rPr>
      <w:t>Plan Comparison</w:t>
    </w:r>
  </w:p>
  <w:p w14:paraId="241E1B98" w14:textId="77777777">
    <w:pPr>
      <w:tabs>
        <w:tab w:val="right" w:pos="9360"/>
      </w:tabs>
      <w:rPr>
        <w:b/>
        <w:bCs/>
        <w:color w:val="2224C5"/>
        <w:sz w:val="16"/>
        <w:szCs w:val="16"/>
      </w:rPr>
    </w:pPr>
  </w:p>
  <w:p w14:paraId="321568A4" w14:textId="77777777">
    <w:pPr>
      <w:tabs>
        <w:tab w:val="right" w:pos="9360"/>
      </w:tabs>
      <w:rPr>
        <w:b/>
        <w:bCs/>
        <w:color w:val="2224C5"/>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80" w:after="160"/>
      <w:outlineLvl w:val="0"/>
    </w:pPr>
    <w:rPr>
      <w:rFonts w:ascii="Helvetica Neue" w:eastAsia="Helvetica Neue" w:hAnsi="Helvetica Neue" w:cs="Helvetica Neue"/>
      <w:b/>
      <w:bCs/>
      <w:color w:val="112075"/>
      <w:sz w:val="30"/>
      <w:szCs w:val="30"/>
    </w:rPr>
  </w:style>
  <w:style w:type="paragraph" w:styleId="Heading2">
    <w:name w:val="heading 2"/>
    <w:basedOn w:val="Normal"/>
    <w:next w:val="Normal"/>
    <w:uiPriority w:val="9"/>
    <w:unhideWhenUsed/>
    <w:qFormat/>
    <w:pPr>
      <w:spacing w:before="200" w:after="100"/>
      <w:outlineLvl w:val="1"/>
    </w:pPr>
    <w:rPr>
      <w:rFonts w:ascii="Helvetica Neue" w:eastAsia="Helvetica Neue" w:hAnsi="Helvetica Neue" w:cs="Helvetica Neue"/>
      <w:b/>
      <w:bCs/>
      <w:color w:val="112075"/>
    </w:rPr>
  </w:style>
  <w:style w:type="paragraph" w:styleId="Heading3">
    <w:name w:val="heading 3"/>
    <w:basedOn w:val="Normal"/>
    <w:next w:val="Normal"/>
    <w:uiPriority w:val="9"/>
    <w:unhideWhenUsed/>
    <w:qFormat/>
    <w:pPr>
      <w:pBdr>
        <w:top w:val="nil"/>
        <w:left w:val="nil"/>
        <w:bottom w:val="nil"/>
        <w:right w:val="nil"/>
        <w:between w:val="nil"/>
      </w:pBdr>
      <w:spacing w:before="140" w:after="80"/>
      <w:outlineLvl w:val="2"/>
    </w:pPr>
    <w:rPr>
      <w:b/>
      <w:bCs/>
      <w:color w:val="40404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80" w:after="160"/>
      <w:jc w:val="center"/>
    </w:pPr>
    <w:rPr>
      <w:rFonts w:ascii="Helvetica Neue" w:eastAsia="Helvetica Neue" w:hAnsi="Helvetica Neue" w:cs="Helvetica Neue"/>
      <w:b/>
      <w:bCs/>
      <w:color w:val="112075"/>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