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color w:val="1A5F7A"/>
          <w:spacing w:val="120"/>
          <w:sz w:val="64"/>
          <w:szCs w:val="64"/>
        </w:rPr>
        <w:t xml:space="preserve">CETASIGNAL</w:t>
      </w:r>
    </w:p>
    <w:p>
      <w:pPr>
        <w:spacing w:before="40" w:after="0"/>
      </w:pPr>
      <w:r>
        <w:rPr>
          <w:rFonts w:ascii="Arial" w:cs="Arial" w:eastAsia="Arial" w:hAnsi="Arial"/>
          <w:color w:val="2E5266"/>
          <w:sz w:val="28"/>
          <w:szCs w:val="28"/>
        </w:rPr>
        <w:t xml:space="preserve">Research Proposal — Context Layer Investigation</w:t>
      </w:r>
    </w:p>
    <w:p>
      <w:pPr>
        <w:spacing w:before="40" w:after="0"/>
      </w:pPr>
      <w:r>
        <w:rPr>
          <w:rFonts w:ascii="Arial" w:cs="Arial" w:eastAsia="Arial" w:hAnsi="Arial"/>
          <w:i/>
          <w:iCs/>
          <w:color w:val="4A6572"/>
          <w:sz w:val="26"/>
          <w:szCs w:val="26"/>
        </w:rPr>
        <w:t xml:space="preserve">Beyond Acoustic Cadence: Environmental Context as the Second Classifier Channel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F8FA" w:val="clear"/>
            <w:tcMar>
              <w:top w:type="dxa" w:w="120"/>
              <w:left w:type="dxa" w:w="160"/>
              <w:bottom w:type="dxa" w:w="120"/>
              <w:right w:type="dxa" w:w="120"/>
            </w:tcMar>
          </w:tcPr>
          <w:p>
            <w:pPr>
              <w:spacing w:before="0" w:after="40"/>
            </w:pPr>
            <w:r>
              <w:rPr>
                <w:rFonts w:ascii="Arial" w:cs="Arial" w:eastAsia="Arial" w:hAnsi="Arial"/>
                <w:b/>
                <w:bCs/>
                <w:color w:val="1A5F7A"/>
                <w:sz w:val="20"/>
                <w:szCs w:val="20"/>
              </w:rPr>
              <w:t xml:space="preserve">Platform</w:t>
            </w:r>
          </w:p>
          <w:p>
            <w:pPr>
              <w:spacing w:before="0" w:after="40"/>
            </w:pPr>
            <w:r>
              <w:rPr>
                <w:rFonts w:ascii="Arial" w:cs="Arial" w:eastAsia="Arial" w:hAnsi="Arial"/>
                <w:color w:val="0D1F2D"/>
                <w:sz w:val="21"/>
                <w:szCs w:val="21"/>
              </w:rPr>
              <w:t xml:space="preserve">CetaSignal v3.3</w:t>
            </w:r>
          </w:p>
          <w:p>
            <w:pPr>
              <w:spacing w:before="40" w:after="40"/>
            </w:pPr>
            <w:r>
              <w:rPr>
                <w:rFonts w:ascii="Arial" w:cs="Arial" w:eastAsia="Arial" w:hAnsi="Arial"/>
                <w:b/>
                <w:bCs/>
                <w:color w:val="1A5F7A"/>
                <w:sz w:val="20"/>
                <w:szCs w:val="20"/>
              </w:rPr>
              <w:t xml:space="preserve">Classifier</w:t>
            </w:r>
          </w:p>
          <w:p>
            <w:pPr>
              <w:spacing w:before="0" w:after="40"/>
            </w:pPr>
            <w:r>
              <w:rPr>
                <w:rFonts w:ascii="Arial" w:cs="Arial" w:eastAsia="Arial" w:hAnsi="Arial"/>
                <w:color w:val="0D1F2D"/>
                <w:sz w:val="21"/>
                <w:szCs w:val="21"/>
              </w:rPr>
              <w:t xml:space="preserve">CadenceClassifier v3.0</w:t>
            </w:r>
          </w:p>
          <w:p>
            <w:pPr>
              <w:spacing w:before="40" w:after="40"/>
            </w:pPr>
            <w:r>
              <w:rPr>
                <w:rFonts w:ascii="Arial" w:cs="Arial" w:eastAsia="Arial" w:hAnsi="Arial"/>
                <w:b/>
                <w:bCs/>
                <w:color w:val="1A5F7A"/>
                <w:sz w:val="20"/>
                <w:szCs w:val="20"/>
              </w:rPr>
              <w:t xml:space="preserve">Current Accuracy</w:t>
            </w:r>
          </w:p>
          <w:p>
            <w:pPr>
              <w:spacing w:before="0" w:after="0"/>
            </w:pPr>
            <w:r>
              <w:rPr>
                <w:rFonts w:ascii="Arial" w:cs="Arial" w:eastAsia="Arial" w:hAnsi="Arial"/>
                <w:color w:val="0D1F2D"/>
                <w:sz w:val="21"/>
                <w:szCs w:val="21"/>
              </w:rPr>
              <w:t xml:space="preserve">99.2% (κ = 0.988) — 5,000 specimens, 19 species</w:t>
            </w:r>
          </w:p>
        </w:tc>
        <w:tc>
          <w:tcPr>
            <w:tcW w:type="dxa" w:w="4680"/>
            <w:tcBorders>
              <w:top w:val="none" w:color="FFFFFF" w:sz="0"/>
              <w:left w:val="none" w:color="FFFFFF" w:sz="0"/>
              <w:bottom w:val="none" w:color="FFFFFF" w:sz="0"/>
              <w:right w:val="none" w:color="FFFFFF" w:sz="0"/>
            </w:tcBorders>
            <w:shd w:fill="F4F8FA" w:val="clear"/>
            <w:tcMar>
              <w:top w:type="dxa" w:w="120"/>
              <w:left w:type="dxa" w:w="160"/>
              <w:bottom w:type="dxa" w:w="120"/>
              <w:right w:type="dxa" w:w="120"/>
            </w:tcMar>
          </w:tcPr>
          <w:p>
            <w:pPr>
              <w:spacing w:before="0" w:after="40"/>
            </w:pPr>
            <w:r>
              <w:rPr>
                <w:rFonts w:ascii="Arial" w:cs="Arial" w:eastAsia="Arial" w:hAnsi="Arial"/>
                <w:b/>
                <w:bCs/>
                <w:color w:val="1A5F7A"/>
                <w:sz w:val="20"/>
                <w:szCs w:val="20"/>
              </w:rPr>
              <w:t xml:space="preserve">Residual Errors</w:t>
            </w:r>
          </w:p>
          <w:p>
            <w:pPr>
              <w:spacing w:before="0" w:after="40"/>
            </w:pPr>
            <w:r>
              <w:rPr>
                <w:rFonts w:ascii="Arial" w:cs="Arial" w:eastAsia="Arial" w:hAnsi="Arial"/>
                <w:color w:val="0D1F2D"/>
                <w:sz w:val="21"/>
                <w:szCs w:val="21"/>
              </w:rPr>
              <w:t xml:space="preserve">41 / 5,000 (0.8%) — at physics boundaries</w:t>
            </w:r>
          </w:p>
          <w:p>
            <w:pPr>
              <w:spacing w:before="40" w:after="40"/>
            </w:pPr>
            <w:r>
              <w:rPr>
                <w:rFonts w:ascii="Arial" w:cs="Arial" w:eastAsia="Arial" w:hAnsi="Arial"/>
                <w:b/>
                <w:bCs/>
                <w:color w:val="1A5F7A"/>
                <w:sz w:val="20"/>
                <w:szCs w:val="20"/>
              </w:rPr>
              <w:t xml:space="preserve">Hypotheses</w:t>
            </w:r>
          </w:p>
          <w:p>
            <w:pPr>
              <w:spacing w:before="0" w:after="40"/>
            </w:pPr>
            <w:r>
              <w:rPr>
                <w:rFonts w:ascii="Arial" w:cs="Arial" w:eastAsia="Arial" w:hAnsi="Arial"/>
                <w:color w:val="0D1F2D"/>
                <w:sz w:val="21"/>
                <w:szCs w:val="21"/>
              </w:rPr>
              <w:t xml:space="preserve">5 competing — one per environmental feature class</w:t>
            </w:r>
          </w:p>
          <w:p>
            <w:pPr>
              <w:spacing w:before="40" w:after="40"/>
            </w:pPr>
            <w:r>
              <w:rPr>
                <w:rFonts w:ascii="Arial" w:cs="Arial" w:eastAsia="Arial" w:hAnsi="Arial"/>
                <w:b/>
                <w:bCs/>
                <w:color w:val="1A5F7A"/>
                <w:sz w:val="20"/>
                <w:szCs w:val="20"/>
              </w:rPr>
              <w:t xml:space="preserve">Author</w:t>
            </w:r>
          </w:p>
          <w:p>
            <w:pPr>
              <w:spacing w:before="0" w:after="0"/>
            </w:pPr>
            <w:r>
              <w:rPr>
                <w:rFonts w:ascii="Arial" w:cs="Arial" w:eastAsia="Arial" w:hAnsi="Arial"/>
                <w:color w:val="0D1F2D"/>
                <w:sz w:val="21"/>
                <w:szCs w:val="21"/>
              </w:rPr>
              <w:t xml:space="preserve">D. Mistretta — CetaSignal Research Platform</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1. Background and Motivating Result</w:t>
      </w:r>
    </w:p>
    <w:p>
      <w:pPr>
        <w:spacing w:before="60" w:after="60"/>
      </w:pPr>
      <w:r>
        <w:rPr>
          <w:rFonts w:ascii="Arial" w:cs="Arial" w:eastAsia="Arial" w:hAnsi="Arial"/>
          <w:color w:val="0D1F2D"/>
          <w:sz w:val="22"/>
          <w:szCs w:val="22"/>
        </w:rPr>
        <w:t xml:space="preserve">CadenceClassifier v3.0 achieves 99.2% accuracy (Cohen's κ = 0.988) on 5,000 blind specimens from 19 cetacean species across 11 ocean basins. The classifier applies 15 physics-derived rules to acoustic cadence features — peak frequency, duration, frequency contour, inter-pulse interval, and urgency index — and produces a behavioral class prediction (CONTACT, DIVE, FORAGE, NAVIGATE, or BROADCAST) with a full evidence trail. No machine learning weights, no species-specific rules, no training loop.</w:t>
      </w:r>
    </w:p>
    <w:p>
      <w:pPr>
        <w:spacing w:before="80" w:after="0"/>
      </w:pPr>
      <w:r>
        <w:t xml:space="preserve"/>
      </w:r>
    </w:p>
    <w:p>
      <w:pPr>
        <w:spacing w:before="60" w:after="60"/>
      </w:pPr>
      <w:r>
        <w:rPr>
          <w:rFonts w:ascii="Arial" w:cs="Arial" w:eastAsia="Arial" w:hAnsi="Arial"/>
          <w:color w:val="0D1F2D"/>
          <w:sz w:val="22"/>
          <w:szCs w:val="22"/>
        </w:rPr>
        <w:t xml:space="preserve">The 41 residual errors (0.8%) are not randomly distributed. They cluster precisely at two acoustic ambiguity boundaries:</w:t>
      </w:r>
    </w:p>
    <w:p>
      <w:pPr>
        <w:spacing w:before="60" w:after="0"/>
      </w:pPr>
      <w:r>
        <w:t xml:space="preserve"/>
      </w:r>
    </w:p>
    <w:p>
      <w:pPr>
        <w:pStyle w:val="ListParagraph"/>
        <w:numPr>
          <w:ilvl w:val="0"/>
          <w:numId w:val="2"/>
        </w:numPr>
        <w:spacing w:before="40" w:after="40"/>
      </w:pPr>
      <w:r>
        <w:rPr>
          <w:rFonts w:ascii="Arial" w:cs="Arial" w:eastAsia="Arial" w:hAnsi="Arial"/>
          <w:color w:val="0D1F2D"/>
          <w:sz w:val="22"/>
          <w:szCs w:val="22"/>
        </w:rPr>
        <w:t xml:space="preserve">BROADCAST ↔ NAVIGATE — 24 errors. Complex cetacean broadcast phrases and long-period navigation pulses can produce overlapping cadence feature distributions at the margin. The physical separator in the real animal system appears to be environmental context rather than the acoustic signal itself.</w:t>
      </w:r>
    </w:p>
    <w:p>
      <w:pPr>
        <w:pStyle w:val="ListParagraph"/>
        <w:numPr>
          <w:ilvl w:val="0"/>
          <w:numId w:val="2"/>
        </w:numPr>
        <w:spacing w:before="40" w:after="40"/>
      </w:pPr>
      <w:r>
        <w:rPr>
          <w:rFonts w:ascii="Arial" w:cs="Arial" w:eastAsia="Arial" w:hAnsi="Arial"/>
          <w:color w:val="0D1F2D"/>
          <w:sz w:val="22"/>
          <w:szCs w:val="22"/>
        </w:rPr>
        <w:t xml:space="preserve">CONTACT ↔ BROADCAST — 12 errors. High-repetition contact sequences at low urgency and broadcast song introductory phrases share acoustic space. The temporal and spatial context of the vocalization may carry the disambiguating information.</w:t>
      </w:r>
    </w:p>
    <w:p>
      <w:pPr>
        <w:pStyle w:val="ListParagraph"/>
        <w:numPr>
          <w:ilvl w:val="0"/>
          <w:numId w:val="2"/>
        </w:numPr>
        <w:spacing w:before="40" w:after="40"/>
      </w:pPr>
      <w:r>
        <w:rPr>
          <w:rFonts w:ascii="Arial" w:cs="Arial" w:eastAsia="Arial" w:hAnsi="Arial"/>
          <w:color w:val="0D1F2D"/>
          <w:sz w:val="22"/>
          <w:szCs w:val="22"/>
        </w:rPr>
        <w:t xml:space="preserve">Scattered edge cases — 5 errors. Distributed across class pairs not listed above; likely genuine signal variability or annotation uncertainty in source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F7A" w:val="clear"/>
          </w:tcPr>
          <w:p>
            <w:r>
              <w:t xml:space="preserve"/>
            </w:r>
          </w:p>
        </w:tc>
        <w:tc>
          <w:tcPr>
            <w:tcW w:type="dxa" w:w="9160"/>
            <w:tcBorders>
              <w:top w:val="none" w:color="FFFFFF" w:sz="0"/>
              <w:left w:val="none" w:color="FFFFFF" w:sz="0"/>
              <w:bottom w:val="none" w:color="FFFFFF" w:sz="0"/>
              <w:right w:val="none" w:color="FFFFFF" w:sz="0"/>
            </w:tcBorders>
            <w:shd w:fill="F4F8FA" w:val="clear"/>
            <w:tcMar>
              <w:top w:type="dxa" w:w="120"/>
              <w:left w:type="dxa" w:w="180"/>
              <w:bottom w:type="dxa" w:w="120"/>
              <w:right w:type="dxa" w:w="120"/>
            </w:tcMar>
          </w:tcPr>
          <w:p>
            <w:pPr>
              <w:spacing w:before="0" w:after="40"/>
            </w:pPr>
            <w:r>
              <w:rPr>
                <w:rFonts w:ascii="Arial" w:cs="Arial" w:eastAsia="Arial" w:hAnsi="Arial"/>
                <w:b/>
                <w:bCs/>
                <w:color w:val="1A5F7A"/>
                <w:spacing w:val="40"/>
                <w:sz w:val="17"/>
                <w:szCs w:val="17"/>
              </w:rPr>
              <w:t xml:space="preserve">KEY FINDING</w:t>
            </w:r>
          </w:p>
          <w:p>
            <w:pPr>
              <w:spacing w:before="0" w:after="0"/>
            </w:pPr>
            <w:r>
              <w:rPr>
                <w:rFonts w:ascii="Arial" w:cs="Arial" w:eastAsia="Arial" w:hAnsi="Arial"/>
                <w:color w:val="0D1F2D"/>
                <w:sz w:val="21"/>
                <w:szCs w:val="21"/>
              </w:rPr>
              <w:t xml:space="preserve">The 41 residual errors are not model failures. They are the acoustic locations where cadence features alone are physically insufficient to separate behavioral classes. This is a testable prediction: adding environmental context should resolve them. If it does not, a subset may represent genuinely irreducible acoustic ambiguity — which is itself a scientific result.</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2. Central Research Question</w:t>
      </w:r>
    </w:p>
    <w:p>
      <w:pPr>
        <w:spacing w:before="60" w:after="60"/>
      </w:pPr>
      <w:r>
        <w:rPr>
          <w:rFonts w:ascii="Arial" w:cs="Arial" w:eastAsia="Arial" w:hAnsi="Arial"/>
          <w:color w:val="0D1F2D"/>
          <w:sz w:val="22"/>
          <w:szCs w:val="22"/>
        </w:rPr>
        <w:t xml:space="preserve">The classifier operates on a single information channel: the acoustic cadence features of an isolated vocalization. Real cetacean conspecifics — the intended recipients of these signals — operate in a richer information environment. They know the season, the location, the behavioral state of the sender, the recent call history, and potentially the identity of the caller.</w:t>
      </w:r>
    </w:p>
    <w:p>
      <w:pPr>
        <w:spacing w:before="80" w:after="0"/>
      </w:pPr>
      <w:r>
        <w:t xml:space="preserve"/>
      </w:r>
    </w:p>
    <w:p>
      <w:pPr>
        <w:pBdr>
          <w:top w:val="single" w:color="1A5F7A" w:sz="4" w:space="8"/>
          <w:bottom w:val="single" w:color="1A5F7A" w:sz="4" w:space="8"/>
        </w:pBdr>
        <w:spacing w:before="120" w:after="120"/>
        <w:jc w:val="center"/>
      </w:pPr>
      <w:r>
        <w:rPr>
          <w:rFonts w:ascii="Arial" w:cs="Arial" w:eastAsia="Arial" w:hAnsi="Arial"/>
          <w:i/>
          <w:iCs/>
          <w:color w:val="0D1F2D"/>
          <w:sz w:val="23"/>
          <w:szCs w:val="23"/>
        </w:rPr>
        <w:t xml:space="preserve">Does adding environmental context features — spatiotemporal coordinates, depth profile, preceding call sequence, and population identity — collapse the 41 residual errors? And if so, which features carry the most resolving power?</w:t>
      </w:r>
    </w:p>
    <w:p>
      <w:pPr>
        <w:spacing w:before="80" w:after="0"/>
      </w:pPr>
      <w:r>
        <w:t xml:space="preserve"/>
      </w:r>
    </w:p>
    <w:p>
      <w:pPr>
        <w:spacing w:before="60" w:after="60"/>
      </w:pPr>
      <w:r>
        <w:rPr>
          <w:rFonts w:ascii="Arial" w:cs="Arial" w:eastAsia="Arial" w:hAnsi="Arial"/>
          <w:color w:val="0D1F2D"/>
          <w:sz w:val="22"/>
          <w:szCs w:val="22"/>
        </w:rPr>
        <w:t xml:space="preserve">This question has two scientifically valuable answer states. If environmental context collapses the errors, we have identified the second information channel that cetaceans use to resolve acoustic ambiguity — a finding with direct implications for how behavioral coordination works in a low-visibility medium. If environmental context fails to collapse a subset of errors, those cases represent genuinely irreducible acoustic ambiguity — locations where even the animal may be uncertain, or where behavioral categories are not as discrete as the classification framework assumes.</w:t>
      </w:r>
    </w:p>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3. Formal Hypotheses</w:t>
      </w:r>
    </w:p>
    <w:p>
      <w:pPr>
        <w:spacing w:before="60" w:after="60"/>
      </w:pPr>
      <w:r>
        <w:rPr>
          <w:rFonts w:ascii="Arial" w:cs="Arial" w:eastAsia="Arial" w:hAnsi="Arial"/>
          <w:color w:val="0D1F2D"/>
          <w:sz w:val="22"/>
          <w:szCs w:val="22"/>
        </w:rPr>
        <w:t xml:space="preserve">Five hypotheses are proposed, one per environmental feature class. They are ordered from most to least specific in their predicted mechanism. Each is stated in falsifiable form with a precise experimental condition and a falsification criterion.</w:t>
      </w:r>
    </w:p>
    <w:p>
      <w:pPr>
        <w:spacing w:before="80" w:after="0"/>
      </w:pPr>
      <w:r>
        <w:t xml:space="preserve"/>
      </w:r>
    </w:p>
    <w:p>
      <w:pPr>
        <w:pStyle w:val="Heading2"/>
        <w:spacing w:before="240" w:after="80"/>
      </w:pPr>
      <w:r>
        <w:rPr>
          <w:rFonts w:ascii="Arial" w:cs="Arial" w:eastAsia="Arial" w:hAnsi="Arial"/>
          <w:b/>
          <w:bCs/>
          <w:color w:val="1A5F7A"/>
          <w:sz w:val="26"/>
          <w:szCs w:val="26"/>
        </w:rPr>
        <w:t xml:space="preserve">H1 — Spatiotemporal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2" w:sz="1"/>
              <w:left w:val="single" w:color="C5D8E2" w:sz="1"/>
              <w:bottom w:val="single" w:color="C5D8E2" w:sz="1"/>
              <w:right w:val="single" w:color="C5D8E2" w:sz="1"/>
            </w:tcBorders>
            <w:shd w:fill="1A5F7A" w:val="clear"/>
            <w:tcMar>
              <w:top w:type="dxa" w:w="100"/>
              <w:left w:type="dxa" w:w="140"/>
              <w:bottom w:type="dxa" w:w="100"/>
              <w:right w:type="dxa" w:w="100"/>
            </w:tcMar>
          </w:tcPr>
          <w:p>
            <w:r>
              <w:rPr>
                <w:rFonts w:ascii="Arial" w:cs="Arial" w:eastAsia="Arial" w:hAnsi="Arial"/>
                <w:b/>
                <w:bCs/>
                <w:color w:val="FFFFFF"/>
                <w:sz w:val="20"/>
                <w:szCs w:val="20"/>
              </w:rPr>
              <w:t xml:space="preserve">Hypothesis H1</w:t>
            </w:r>
          </w:p>
        </w:tc>
        <w:tc>
          <w:tcPr>
            <w:tcW w:type="dxa" w:w="7160"/>
            <w:tcBorders>
              <w:top w:val="single" w:color="C5D8E2" w:sz="1"/>
              <w:left w:val="single" w:color="C5D8E2" w:sz="1"/>
              <w:bottom w:val="single" w:color="C5D8E2" w:sz="1"/>
              <w:right w:val="single" w:color="C5D8E2" w:sz="1"/>
            </w:tcBorders>
            <w:shd w:fill="2E5266" w:val="clear"/>
            <w:tcMar>
              <w:top w:type="dxa" w:w="100"/>
              <w:left w:type="dxa" w:w="140"/>
              <w:bottom w:type="dxa" w:w="100"/>
              <w:right w:type="dxa" w:w="100"/>
            </w:tcMar>
          </w:tcPr>
          <w:p>
            <w:r>
              <w:rPr>
                <w:rFonts w:ascii="Arial" w:cs="Arial" w:eastAsia="Arial" w:hAnsi="Arial"/>
                <w:b/>
                <w:bCs/>
                <w:color w:val="FFFFFF"/>
                <w:sz w:val="21"/>
                <w:szCs w:val="21"/>
              </w:rPr>
              <w:t xml:space="preserve">Geographic location and calendar season resolve the BROADCAST/NAVIGATE boundary</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Mechanism</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Broadcast vocalizations (mate attraction songs, long-range communication) are strongly seasonally and geographically structured in all studied species. Navigation pulses are produced year-round in feeding contexts. A classifier with access to GPS coordinates and calendar month should be able to gate the BROADCAST/NAVIGATE ambiguity using known species range and breeding season data — without needing species identity as an explicit feature.</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Prediction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Adding decimal latitude, decimal longitude, and calendar month as classifier input features reduces BROADCAST/NAVIGATE boundary errors by ≥60% (from 24 to ≤9).</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Experimental Design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For each of the 24 BROADCAST/NAVIGATE error specimens: (1) extract location and date from source dataset metadata, (2) add to feature vector, (3) run second-pass classification with a spatiotemporal gate layer, (4) count resolved vs. unresolved errors.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Falsification Condition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BROADCAST/NAVIGATE error rate is unchanged after adding spatiotemporal features — i.e., the errors are equally distributed across seasons and locations, providing no discriminative signal.</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Data Requirement</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Source dataset metadata for the 24 error specimens must include recording coordinates and dates. All 10 current source datasets include this information.</w:t>
            </w:r>
          </w:p>
        </w:tc>
      </w:tr>
    </w:tbl>
    <w:p>
      <w:pPr>
        <w:spacing w:before="120" w:after="0"/>
      </w:pPr>
      <w:r>
        <w:t xml:space="preserve"/>
      </w:r>
    </w:p>
    <w:p>
      <w:pPr>
        <w:pStyle w:val="Heading2"/>
        <w:spacing w:before="240" w:after="80"/>
      </w:pPr>
      <w:r>
        <w:rPr>
          <w:rFonts w:ascii="Arial" w:cs="Arial" w:eastAsia="Arial" w:hAnsi="Arial"/>
          <w:b/>
          <w:bCs/>
          <w:color w:val="1A5F7A"/>
          <w:sz w:val="26"/>
          <w:szCs w:val="26"/>
        </w:rPr>
        <w:t xml:space="preserve">H2 — Depth Profile at Signal Onset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2" w:sz="1"/>
              <w:left w:val="single" w:color="C5D8E2" w:sz="1"/>
              <w:bottom w:val="single" w:color="C5D8E2" w:sz="1"/>
              <w:right w:val="single" w:color="C5D8E2" w:sz="1"/>
            </w:tcBorders>
            <w:shd w:fill="1A5F7A" w:val="clear"/>
            <w:tcMar>
              <w:top w:type="dxa" w:w="100"/>
              <w:left w:type="dxa" w:w="140"/>
              <w:bottom w:type="dxa" w:w="100"/>
              <w:right w:type="dxa" w:w="100"/>
            </w:tcMar>
          </w:tcPr>
          <w:p>
            <w:r>
              <w:rPr>
                <w:rFonts w:ascii="Arial" w:cs="Arial" w:eastAsia="Arial" w:hAnsi="Arial"/>
                <w:b/>
                <w:bCs/>
                <w:color w:val="FFFFFF"/>
                <w:sz w:val="20"/>
                <w:szCs w:val="20"/>
              </w:rPr>
              <w:t xml:space="preserve">Hypothesis H2</w:t>
            </w:r>
          </w:p>
        </w:tc>
        <w:tc>
          <w:tcPr>
            <w:tcW w:type="dxa" w:w="7160"/>
            <w:tcBorders>
              <w:top w:val="single" w:color="C5D8E2" w:sz="1"/>
              <w:left w:val="single" w:color="C5D8E2" w:sz="1"/>
              <w:bottom w:val="single" w:color="C5D8E2" w:sz="1"/>
              <w:right w:val="single" w:color="C5D8E2" w:sz="1"/>
            </w:tcBorders>
            <w:shd w:fill="2E5266" w:val="clear"/>
            <w:tcMar>
              <w:top w:type="dxa" w:w="100"/>
              <w:left w:type="dxa" w:w="140"/>
              <w:bottom w:type="dxa" w:w="100"/>
              <w:right w:type="dxa" w:w="100"/>
            </w:tcMar>
          </w:tcPr>
          <w:p>
            <w:r>
              <w:rPr>
                <w:rFonts w:ascii="Arial" w:cs="Arial" w:eastAsia="Arial" w:hAnsi="Arial"/>
                <w:b/>
                <w:bCs/>
                <w:color w:val="FFFFFF"/>
                <w:sz w:val="21"/>
                <w:szCs w:val="21"/>
              </w:rPr>
              <w:t xml:space="preserve">Depth at signal onset disambiguates behavioral state at the BROADCAST/NAVIGATE boundary</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Mechanism</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Navigation pulses in large baleen whales are produced during sustained directional movement, typically at consistent shallow depths (5–30m). Broadcast songs are produced during station-keeping or slow drift behavior, often at similar depths but with a distinct vertical movement signature in the preceding 60 seconds. A depth channel — specifically depth rate-of-change (dD/dt) in the 60s before signal onset — should separate the two classes more reliably than acoustic cadence alone.</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Prediction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Depth-at-onset and dD/dt in the 60s preceding signal production, when added as classifier features, resolve ≥50% of BROADCAST/NAVIGATE errors (from 24 to ≤12).</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Experimental Design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Requires suction-cup tag data (DTAG or equivalent) time-synchronized to audio for the error specimens. Extract depth time series, compute dD/dt at signal onset, add to feature vector. Run second-pass classification.</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Falsification Condition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Depth profile at signal onset is not predictive of behavioral class at the BROADCAST/NAVIGATE boundary — error specimens show equivalent depth signatures for both classes.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Data Requirement</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DTAG or equivalent depth-synchronized tag data for error specimens. This is the most restrictive data requirement of the five hypotheses — not all source datasets include depth telemetry.</w:t>
            </w:r>
          </w:p>
        </w:tc>
      </w:tr>
    </w:tbl>
    <w:p>
      <w:pPr>
        <w:spacing w:before="120" w:after="0"/>
      </w:pPr>
      <w:r>
        <w:t xml:space="preserve"/>
      </w:r>
    </w:p>
    <w:p>
      <w:pPr>
        <w:pStyle w:val="Heading2"/>
        <w:spacing w:before="240" w:after="80"/>
      </w:pPr>
      <w:r>
        <w:rPr>
          <w:rFonts w:ascii="Arial" w:cs="Arial" w:eastAsia="Arial" w:hAnsi="Arial"/>
          <w:b/>
          <w:bCs/>
          <w:color w:val="1A5F7A"/>
          <w:sz w:val="26"/>
          <w:szCs w:val="26"/>
        </w:rPr>
        <w:t xml:space="preserve">H3 — Preceding Call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2" w:sz="1"/>
              <w:left w:val="single" w:color="C5D8E2" w:sz="1"/>
              <w:bottom w:val="single" w:color="C5D8E2" w:sz="1"/>
              <w:right w:val="single" w:color="C5D8E2" w:sz="1"/>
            </w:tcBorders>
            <w:shd w:fill="1A5F7A" w:val="clear"/>
            <w:tcMar>
              <w:top w:type="dxa" w:w="100"/>
              <w:left w:type="dxa" w:w="140"/>
              <w:bottom w:type="dxa" w:w="100"/>
              <w:right w:type="dxa" w:w="100"/>
            </w:tcMar>
          </w:tcPr>
          <w:p>
            <w:r>
              <w:rPr>
                <w:rFonts w:ascii="Arial" w:cs="Arial" w:eastAsia="Arial" w:hAnsi="Arial"/>
                <w:b/>
                <w:bCs/>
                <w:color w:val="FFFFFF"/>
                <w:sz w:val="20"/>
                <w:szCs w:val="20"/>
              </w:rPr>
              <w:t xml:space="preserve">Hypothesis H3</w:t>
            </w:r>
          </w:p>
        </w:tc>
        <w:tc>
          <w:tcPr>
            <w:tcW w:type="dxa" w:w="7160"/>
            <w:tcBorders>
              <w:top w:val="single" w:color="C5D8E2" w:sz="1"/>
              <w:left w:val="single" w:color="C5D8E2" w:sz="1"/>
              <w:bottom w:val="single" w:color="C5D8E2" w:sz="1"/>
              <w:right w:val="single" w:color="C5D8E2" w:sz="1"/>
            </w:tcBorders>
            <w:shd w:fill="2E5266" w:val="clear"/>
            <w:tcMar>
              <w:top w:type="dxa" w:w="100"/>
              <w:left w:type="dxa" w:w="140"/>
              <w:bottom w:type="dxa" w:w="100"/>
              <w:right w:type="dxa" w:w="100"/>
            </w:tcMar>
          </w:tcPr>
          <w:p>
            <w:r>
              <w:rPr>
                <w:rFonts w:ascii="Arial" w:cs="Arial" w:eastAsia="Arial" w:hAnsi="Arial"/>
                <w:b/>
                <w:bCs/>
                <w:color w:val="FFFFFF"/>
                <w:sz w:val="21"/>
                <w:szCs w:val="21"/>
              </w:rPr>
              <w:t xml:space="preserve">A 90-second preceding call window resolves the CONTACT/BROADCAST ambiguity</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Mechanism</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Contact call sequences are characterized by call-response exchanges with inter-call intervals of 15–90 seconds and increasing urgency over the sequence. Broadcast song introductions are characterized by monotonic urgency, consistent inter-call intervals, and no response-pattern structure. A second-pass classifier that receives the 3–5 calls preceding the ambiguous signal as a sequence feature vector should resolve the ambiguity that atomic signal evaluation cannot.</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Prediction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Adding a 90-second preceding call sequence window as a classifier feature reduces CONTACT/BROADCAST errors by ≥70% (from 12 to ≤3).</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Experimental Design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For each of the 12 CONTACT/BROADCAST error specimens: (1) extract the 90s preceding the ambiguous signal from the source audio, (2) classify each preceding call using the existing CadenceClassifier, (3) compute sequence-level features (inter-call interval variance, urgency gradient, response-pattern index), (4) add to feature vector, (5) run second-pass classification.</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Falsification Condition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Sequence context adds no predictive power — error specimens' preceding call sequences are indistinguishable between CONTACT and BROADCAST classes.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Data Requirement</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Continuous audio recordings for ≥90s preceding each error specimen. Requires access to full recording sessions from source datasets, not just specimen-level clips.</w:t>
            </w:r>
          </w:p>
        </w:tc>
      </w:tr>
    </w:tbl>
    <w:p>
      <w:pPr>
        <w:spacing w:before="120" w:after="0"/>
      </w:pPr>
      <w:r>
        <w:t xml:space="preserve"/>
      </w:r>
    </w:p>
    <w:p>
      <w:pPr>
        <w:pStyle w:val="Heading2"/>
        <w:spacing w:before="240" w:after="80"/>
      </w:pPr>
      <w:r>
        <w:rPr>
          <w:rFonts w:ascii="Arial" w:cs="Arial" w:eastAsia="Arial" w:hAnsi="Arial"/>
          <w:b/>
          <w:bCs/>
          <w:color w:val="1A5F7A"/>
          <w:sz w:val="26"/>
          <w:szCs w:val="26"/>
        </w:rPr>
        <w:t xml:space="preserve">H4 — Population Identity and Behavioral Dialect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2" w:sz="1"/>
              <w:left w:val="single" w:color="C5D8E2" w:sz="1"/>
              <w:bottom w:val="single" w:color="C5D8E2" w:sz="1"/>
              <w:right w:val="single" w:color="C5D8E2" w:sz="1"/>
            </w:tcBorders>
            <w:shd w:fill="1A5F7A" w:val="clear"/>
            <w:tcMar>
              <w:top w:type="dxa" w:w="100"/>
              <w:left w:type="dxa" w:w="140"/>
              <w:bottom w:type="dxa" w:w="100"/>
              <w:right w:type="dxa" w:w="100"/>
            </w:tcMar>
          </w:tcPr>
          <w:p>
            <w:r>
              <w:rPr>
                <w:rFonts w:ascii="Arial" w:cs="Arial" w:eastAsia="Arial" w:hAnsi="Arial"/>
                <w:b/>
                <w:bCs/>
                <w:color w:val="FFFFFF"/>
                <w:sz w:val="20"/>
                <w:szCs w:val="20"/>
              </w:rPr>
              <w:t xml:space="preserve">Hypothesis H4</w:t>
            </w:r>
          </w:p>
        </w:tc>
        <w:tc>
          <w:tcPr>
            <w:tcW w:type="dxa" w:w="7160"/>
            <w:tcBorders>
              <w:top w:val="single" w:color="C5D8E2" w:sz="1"/>
              <w:left w:val="single" w:color="C5D8E2" w:sz="1"/>
              <w:bottom w:val="single" w:color="C5D8E2" w:sz="1"/>
              <w:right w:val="single" w:color="C5D8E2" w:sz="1"/>
            </w:tcBorders>
            <w:shd w:fill="2E5266" w:val="clear"/>
            <w:tcMar>
              <w:top w:type="dxa" w:w="100"/>
              <w:left w:type="dxa" w:w="140"/>
              <w:bottom w:type="dxa" w:w="100"/>
              <w:right w:type="dxa" w:w="100"/>
            </w:tcMar>
          </w:tcPr>
          <w:p>
            <w:r>
              <w:rPr>
                <w:rFonts w:ascii="Arial" w:cs="Arial" w:eastAsia="Arial" w:hAnsi="Arial"/>
                <w:b/>
                <w:bCs/>
                <w:color w:val="FFFFFF"/>
                <w:sz w:val="21"/>
                <w:szCs w:val="21"/>
              </w:rPr>
              <w:t xml:space="preserve">Population identity carries behavioral dialect variation that explains a subset of residual errors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Mechanism</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Orca discrete calls, humpback song units, and fin whale 20Hz pulses all show documented population-level variation in acoustic form and behavioral context. Some of the 41 errors may reflect genuine cross-population acoustic convergence — cases where population A's NAVIGATE pulse is acoustically identical to population B's BROADCAST phrase. Conditioning the classifier on population identity (not species, but population) should resolve dialect-driven ambiguity without requiring any environmental context features.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Prediction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Conditioning classification on population identity reduces total residual errors by ≥20% (from 41 to ≤32), with most resolved errors concentrated in species with documented dialect variation (orca, humpback, fin whale).</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Experimental Design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Map each error specimen to a population identity using source dataset provenance (recording location + year as a proxy). Add population identity as a categorical feature. Run second-pass classification and compare error distribution across populations.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Falsification Condition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Error distribution is uniform across populations — no population shows significantly higher or lower error rates, ruling out a dialect-driven explanation.</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Data Requirement</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Source dataset provenance metadata (recording location + year). All 10 current datasets include this. Population boundaries require cross-reference with species population literature.</w:t>
            </w:r>
          </w:p>
        </w:tc>
      </w:tr>
    </w:tbl>
    <w:p>
      <w:pPr>
        <w:spacing w:before="120" w:after="0"/>
      </w:pPr>
      <w:r>
        <w:t xml:space="preserve"/>
      </w:r>
    </w:p>
    <w:p>
      <w:pPr>
        <w:pStyle w:val="Heading2"/>
        <w:spacing w:before="240" w:after="80"/>
      </w:pPr>
      <w:r>
        <w:rPr>
          <w:rFonts w:ascii="Arial" w:cs="Arial" w:eastAsia="Arial" w:hAnsi="Arial"/>
          <w:b/>
          <w:bCs/>
          <w:color w:val="1A5F7A"/>
          <w:sz w:val="26"/>
          <w:szCs w:val="26"/>
        </w:rPr>
        <w:t xml:space="preserve">H5 — Combined Context (Synthesis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2" w:sz="1"/>
              <w:left w:val="single" w:color="C5D8E2" w:sz="1"/>
              <w:bottom w:val="single" w:color="C5D8E2" w:sz="1"/>
              <w:right w:val="single" w:color="C5D8E2" w:sz="1"/>
            </w:tcBorders>
            <w:shd w:fill="1A5F7A" w:val="clear"/>
            <w:tcMar>
              <w:top w:type="dxa" w:w="100"/>
              <w:left w:type="dxa" w:w="140"/>
              <w:bottom w:type="dxa" w:w="100"/>
              <w:right w:type="dxa" w:w="100"/>
            </w:tcMar>
          </w:tcPr>
          <w:p>
            <w:r>
              <w:rPr>
                <w:rFonts w:ascii="Arial" w:cs="Arial" w:eastAsia="Arial" w:hAnsi="Arial"/>
                <w:b/>
                <w:bCs/>
                <w:color w:val="FFFFFF"/>
                <w:sz w:val="20"/>
                <w:szCs w:val="20"/>
              </w:rPr>
              <w:t xml:space="preserve">Hypothesis H5</w:t>
            </w:r>
          </w:p>
        </w:tc>
        <w:tc>
          <w:tcPr>
            <w:tcW w:type="dxa" w:w="7160"/>
            <w:tcBorders>
              <w:top w:val="single" w:color="C5D8E2" w:sz="1"/>
              <w:left w:val="single" w:color="C5D8E2" w:sz="1"/>
              <w:bottom w:val="single" w:color="C5D8E2" w:sz="1"/>
              <w:right w:val="single" w:color="C5D8E2" w:sz="1"/>
            </w:tcBorders>
            <w:shd w:fill="2E5266" w:val="clear"/>
            <w:tcMar>
              <w:top w:type="dxa" w:w="100"/>
              <w:left w:type="dxa" w:w="140"/>
              <w:bottom w:type="dxa" w:w="100"/>
              <w:right w:type="dxa" w:w="100"/>
            </w:tcMar>
          </w:tcPr>
          <w:p>
            <w:r>
              <w:rPr>
                <w:rFonts w:ascii="Arial" w:cs="Arial" w:eastAsia="Arial" w:hAnsi="Arial"/>
                <w:b/>
                <w:bCs/>
                <w:color w:val="FFFFFF"/>
                <w:sz w:val="21"/>
                <w:szCs w:val="21"/>
              </w:rPr>
              <w:t xml:space="preserve">All four environmental context channels together collapse residual errors to near zero</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Mechanism</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The four context channels (spatiotemporal, depth, sequence, population) target different error subsets. H1 and H4 address BROADCAST/NAVIGATE errors with complementary mechanisms. H3 addresses CONTACT/BROADCAST errors. H2 provides depth disambiguation for remaining cases. The combination should be additive or super-additive in error resolution, producing a second-pass classifier that achieves &gt;99.9% accuracy — 5 or fewer residual errors from 5,000 specimens.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Prediction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A second-pass classifier receiving all four context channels resolves ≥39 of 41 residual errors, achieving &gt;99.9% accuracy. Remaining errors (≤2) are genuinely irreducible acoustic ambiguities.</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Experimental Design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Sequential ablation study: start with all four context channels, then remove each one individually and measure error increase. The channel whose removal causes the largest error increase carries the most resolving power. This is the core experiment.</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Falsification Condition</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The combined context classifier fails to resolve a substantial fraction of errors (&gt;20 remaining), indicating that the residual ambiguity is not environmental but intrinsic — the behavioral categories are not acoustically separable even with full context.</w:t>
            </w:r>
          </w:p>
        </w:tc>
      </w:tr>
      <w:tr>
        <w:tc>
          <w:tcPr>
            <w:tcW w:type="dxa" w:w="2200"/>
            <w:tcBorders>
              <w:top w:val="single" w:color="C5D8E2" w:sz="1"/>
              <w:left w:val="single" w:color="C5D8E2" w:sz="1"/>
              <w:bottom w:val="single" w:color="C5D8E2" w:sz="1"/>
              <w:right w:val="single" w:color="C5D8E2" w:sz="1"/>
            </w:tcBorders>
            <w:shd w:fill="F4F8FA" w:val="clear"/>
            <w:tcMar>
              <w:top w:type="dxa" w:w="100"/>
              <w:left w:type="dxa" w:w="140"/>
              <w:bottom w:type="dxa" w:w="100"/>
              <w:right w:type="dxa" w:w="100"/>
            </w:tcMar>
          </w:tcPr>
          <w:p>
            <w:r>
              <w:rPr>
                <w:rFonts w:ascii="Arial" w:cs="Arial" w:eastAsia="Arial" w:hAnsi="Arial"/>
                <w:b/>
                <w:bCs/>
                <w:color w:val="2E5266"/>
                <w:sz w:val="20"/>
                <w:szCs w:val="20"/>
              </w:rPr>
              <w:t xml:space="preserve">Data Requirement</w:t>
            </w:r>
          </w:p>
        </w:tc>
        <w:tc>
          <w:tcPr>
            <w:tcW w:type="dxa" w:w="7160"/>
            <w:tcBorders>
              <w:top w:val="single" w:color="C5D8E2" w:sz="1"/>
              <w:left w:val="single" w:color="C5D8E2" w:sz="1"/>
              <w:bottom w:val="single" w:color="C5D8E2" w:sz="1"/>
              <w:right w:val="single" w:color="C5D8E2" w:sz="1"/>
            </w:tcBorders>
            <w:shd w:fill="FFFFFF" w:val="clear"/>
            <w:tcMar>
              <w:top w:type="dxa" w:w="100"/>
              <w:left w:type="dxa" w:w="140"/>
              <w:bottom w:type="dxa" w:w="100"/>
              <w:right w:type="dxa" w:w="100"/>
            </w:tcMar>
          </w:tcPr>
          <w:p>
            <w:r>
              <w:rPr>
                <w:rFonts w:ascii="Arial" w:cs="Arial" w:eastAsia="Arial" w:hAnsi="Arial"/>
                <w:b w:val="false"/>
                <w:bCs w:val="false"/>
                <w:color w:val="0D1F2D"/>
                <w:sz w:val="21"/>
                <w:szCs w:val="21"/>
              </w:rPr>
              <w:t xml:space="preserve">All requirements from H1–H4 above. The ablation study requires complete data for all four channels for each error specimen.</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4. Hypothesis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80"/>
        <w:gridCol w:w="2480"/>
      </w:tblGrid>
      <w:tr>
        <w:tc>
          <w:tcPr>
            <w:tcW w:type="dxa" w:w="120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30"/>
                <w:sz w:val="18"/>
                <w:szCs w:val="18"/>
              </w:rPr>
              <w:t xml:space="preserve">#</w:t>
            </w:r>
          </w:p>
        </w:tc>
        <w:tc>
          <w:tcPr>
            <w:tcW w:type="dxa" w:w="320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30"/>
                <w:sz w:val="18"/>
                <w:szCs w:val="18"/>
              </w:rPr>
              <w:t xml:space="preserve">HYPOTHESIS</w:t>
            </w:r>
          </w:p>
        </w:tc>
        <w:tc>
          <w:tcPr>
            <w:tcW w:type="dxa" w:w="248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30"/>
                <w:sz w:val="18"/>
                <w:szCs w:val="18"/>
              </w:rPr>
              <w:t xml:space="preserve">PREDICTED EFFECT</w:t>
            </w:r>
          </w:p>
        </w:tc>
        <w:tc>
          <w:tcPr>
            <w:tcW w:type="dxa" w:w="248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30"/>
                <w:sz w:val="18"/>
                <w:szCs w:val="18"/>
              </w:rPr>
              <w:t xml:space="preserve">FALSIFICATION CONDITION</w:t>
            </w:r>
          </w:p>
        </w:tc>
      </w:tr>
      <w:tr>
        <w:tc>
          <w:tcPr>
            <w:tcW w:type="dxa" w:w="1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1"/>
                <w:szCs w:val="21"/>
              </w:rPr>
              <w:t xml:space="preserve">H1</w:t>
            </w:r>
          </w:p>
        </w:tc>
        <w:tc>
          <w:tcPr>
            <w:tcW w:type="dxa" w:w="3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Spatiotemporal context resolves BROADCAST/NAVIGATE boundary</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Adding GPS coordinates + calendar month reduces boundary errors by ≥60%</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Error rate unchanged after adding spatiotemporal features</w:t>
            </w:r>
          </w:p>
        </w:tc>
      </w:tr>
      <w:tr>
        <w:tc>
          <w:tcPr>
            <w:tcW w:type="dxa" w:w="12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bCs/>
                <w:color w:val="1A5F7A"/>
                <w:sz w:val="21"/>
                <w:szCs w:val="21"/>
              </w:rPr>
              <w:t xml:space="preserve">H2</w:t>
            </w:r>
          </w:p>
        </w:tc>
        <w:tc>
          <w:tcPr>
            <w:tcW w:type="dxa" w:w="32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Depth profile at signal onset disambiguates behavioral state</w:t>
            </w:r>
          </w:p>
        </w:tc>
        <w:tc>
          <w:tcPr>
            <w:tcW w:type="dxa" w:w="248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Depth channel alone resolves ≥50% of BROADCAST/NAVIGATE errors</w:t>
            </w:r>
          </w:p>
        </w:tc>
        <w:tc>
          <w:tcPr>
            <w:tcW w:type="dxa" w:w="248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Depth at signal onset is not predictive of behavioral class at boundary</w:t>
            </w:r>
          </w:p>
        </w:tc>
      </w:tr>
      <w:tr>
        <w:tc>
          <w:tcPr>
            <w:tcW w:type="dxa" w:w="1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1"/>
                <w:szCs w:val="21"/>
              </w:rPr>
              <w:t xml:space="preserve">H3</w:t>
            </w:r>
          </w:p>
        </w:tc>
        <w:tc>
          <w:tcPr>
            <w:tcW w:type="dxa" w:w="3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Preceding call sequence context resolves CONTACT/BROADCAST ambiguity</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A 90-second preceding call window reduces CONTACT/BROADCAST errors by ≥70%</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Sequence context adds no predictive power beyond atomic signal features</w:t>
            </w:r>
          </w:p>
        </w:tc>
      </w:tr>
      <w:tr>
        <w:tc>
          <w:tcPr>
            <w:tcW w:type="dxa" w:w="12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bCs/>
                <w:color w:val="1A5F7A"/>
                <w:sz w:val="21"/>
                <w:szCs w:val="21"/>
              </w:rPr>
              <w:t xml:space="preserve">H4</w:t>
            </w:r>
          </w:p>
        </w:tc>
        <w:tc>
          <w:tcPr>
            <w:tcW w:type="dxa" w:w="32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Population identity carries behavioral dialect variation</w:t>
            </w:r>
          </w:p>
        </w:tc>
        <w:tc>
          <w:tcPr>
            <w:tcW w:type="dxa" w:w="248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Conditioning on population reduces residual errors at both boundaries</w:t>
            </w:r>
          </w:p>
        </w:tc>
        <w:tc>
          <w:tcPr>
            <w:tcW w:type="dxa" w:w="248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color w:val="0D1F2D"/>
                <w:sz w:val="20"/>
                <w:szCs w:val="20"/>
              </w:rPr>
              <w:t xml:space="preserve">Error distribution is uniform across populations — no dialect effect</w:t>
            </w:r>
          </w:p>
        </w:tc>
      </w:tr>
      <w:tr>
        <w:tc>
          <w:tcPr>
            <w:tcW w:type="dxa" w:w="1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1"/>
                <w:szCs w:val="21"/>
              </w:rPr>
              <w:t xml:space="preserve">H5</w:t>
            </w:r>
          </w:p>
        </w:tc>
        <w:tc>
          <w:tcPr>
            <w:tcW w:type="dxa" w:w="32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Combined environmental context collapses residual errors to near zero</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All four context channels together achieve &gt;99.9% accuracy</w:t>
            </w:r>
          </w:p>
        </w:tc>
        <w:tc>
          <w:tcPr>
            <w:tcW w:type="dxa" w:w="248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color w:val="0D1F2D"/>
                <w:sz w:val="20"/>
                <w:szCs w:val="20"/>
              </w:rPr>
              <w:t xml:space="preserve">Irreducible acoustic ambiguity persists even with full environmental context</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5. Proposed Experimental Design</w:t>
      </w:r>
    </w:p>
    <w:p>
      <w:pPr>
        <w:pStyle w:val="Heading2"/>
        <w:spacing w:before="240" w:after="80"/>
      </w:pPr>
      <w:r>
        <w:rPr>
          <w:rFonts w:ascii="Arial" w:cs="Arial" w:eastAsia="Arial" w:hAnsi="Arial"/>
          <w:b/>
          <w:bCs/>
          <w:color w:val="1A5F7A"/>
          <w:sz w:val="26"/>
          <w:szCs w:val="26"/>
        </w:rPr>
        <w:t xml:space="preserve">Phase 1 — Error Specimen Isolation</w:t>
      </w:r>
    </w:p>
    <w:p>
      <w:pPr>
        <w:spacing w:before="60" w:after="60"/>
      </w:pPr>
      <w:r>
        <w:rPr>
          <w:rFonts w:ascii="Arial" w:cs="Arial" w:eastAsia="Arial" w:hAnsi="Arial"/>
          <w:color w:val="0D1F2D"/>
          <w:sz w:val="22"/>
          <w:szCs w:val="22"/>
        </w:rPr>
        <w:t xml:space="preserve">The first step is to materialize the 41 error specimens as discrete, labeled rows with full acoustic parameters, source provenance, classifier prediction, and ground truth label. These exist implicitly in the validation run but must be extracted and documented for the context-layer experiment.</w:t>
      </w:r>
    </w:p>
    <w:p>
      <w:pPr>
        <w:spacing w:before="80" w:after="0"/>
      </w:pPr>
      <w:r>
        <w:t xml:space="preserve"/>
      </w:r>
    </w:p>
    <w:p>
      <w:pPr>
        <w:pStyle w:val="ListParagraph"/>
        <w:numPr>
          <w:ilvl w:val="0"/>
          <w:numId w:val="2"/>
        </w:numPr>
        <w:spacing w:before="40" w:after="40"/>
      </w:pPr>
      <w:r>
        <w:rPr>
          <w:rFonts w:ascii="Arial" w:cs="Arial" w:eastAsia="Arial" w:hAnsi="Arial"/>
          <w:color w:val="0D1F2D"/>
          <w:sz w:val="22"/>
          <w:szCs w:val="22"/>
        </w:rPr>
        <w:t xml:space="preserve">Run CadenceClassifier v3.0 across all 5,000 validation specimens with prediction logging enabled</w:t>
      </w:r>
    </w:p>
    <w:p>
      <w:pPr>
        <w:pStyle w:val="ListParagraph"/>
        <w:numPr>
          <w:ilvl w:val="0"/>
          <w:numId w:val="2"/>
        </w:numPr>
        <w:spacing w:before="40" w:after="40"/>
      </w:pPr>
      <w:r>
        <w:rPr>
          <w:rFonts w:ascii="Arial" w:cs="Arial" w:eastAsia="Arial" w:hAnsi="Arial"/>
          <w:color w:val="0D1F2D"/>
          <w:sz w:val="22"/>
          <w:szCs w:val="22"/>
        </w:rPr>
        <w:t xml:space="preserve">Extract all rows where prediction ≠ ground truth</w:t>
      </w:r>
    </w:p>
    <w:p>
      <w:pPr>
        <w:pStyle w:val="ListParagraph"/>
        <w:numPr>
          <w:ilvl w:val="0"/>
          <w:numId w:val="2"/>
        </w:numPr>
        <w:spacing w:before="40" w:after="40"/>
      </w:pPr>
      <w:r>
        <w:rPr>
          <w:rFonts w:ascii="Arial" w:cs="Arial" w:eastAsia="Arial" w:hAnsi="Arial"/>
          <w:color w:val="0D1F2D"/>
          <w:sz w:val="22"/>
          <w:szCs w:val="22"/>
        </w:rPr>
        <w:t xml:space="preserve">Document: catalog ID, species, acoustic features, predicted class, true class, source dataset, recording location, recording date</w:t>
      </w:r>
    </w:p>
    <w:p>
      <w:pPr>
        <w:pStyle w:val="ListParagraph"/>
        <w:numPr>
          <w:ilvl w:val="0"/>
          <w:numId w:val="2"/>
        </w:numPr>
        <w:spacing w:before="40" w:after="40"/>
      </w:pPr>
      <w:r>
        <w:rPr>
          <w:rFonts w:ascii="Arial" w:cs="Arial" w:eastAsia="Arial" w:hAnsi="Arial"/>
          <w:color w:val="0D1F2D"/>
          <w:sz w:val="22"/>
          <w:szCs w:val="22"/>
        </w:rPr>
        <w:t xml:space="preserve">Classify each error by boundary type: BROADCAST/NAVIGATE, CONTACT/BROADCAST, or other</w:t>
      </w:r>
    </w:p>
    <w:p>
      <w:pPr>
        <w:spacing w:before="120" w:after="0"/>
      </w:pPr>
      <w:r>
        <w:t xml:space="preserve"/>
      </w:r>
    </w:p>
    <w:p>
      <w:pPr>
        <w:pStyle w:val="Heading2"/>
        <w:spacing w:before="240" w:after="80"/>
      </w:pPr>
      <w:r>
        <w:rPr>
          <w:rFonts w:ascii="Arial" w:cs="Arial" w:eastAsia="Arial" w:hAnsi="Arial"/>
          <w:b/>
          <w:bCs/>
          <w:color w:val="1A5F7A"/>
          <w:sz w:val="26"/>
          <w:szCs w:val="26"/>
        </w:rPr>
        <w:t xml:space="preserve">Phase 2 — Context Feature Extraction</w:t>
      </w:r>
    </w:p>
    <w:p>
      <w:pPr>
        <w:spacing w:before="60" w:after="60"/>
      </w:pPr>
      <w:r>
        <w:rPr>
          <w:rFonts w:ascii="Arial" w:cs="Arial" w:eastAsia="Arial" w:hAnsi="Arial"/>
          <w:color w:val="0D1F2D"/>
          <w:sz w:val="22"/>
          <w:szCs w:val="22"/>
        </w:rPr>
        <w:t xml:space="preserve">For each of the 41 error specimens, extract whatever environmental context features are available from the source dataset metadata. Not all features will be available for all specimens — the experiment proceeds with whatever subset is accessible.</w:t>
      </w:r>
    </w:p>
    <w:p>
      <w:pPr>
        <w:spacing w:before="80" w:after="0"/>
      </w:pPr>
      <w:r>
        <w:t xml:space="preserve"/>
      </w:r>
    </w:p>
    <w:p>
      <w:pPr>
        <w:pStyle w:val="ListParagraph"/>
        <w:numPr>
          <w:ilvl w:val="0"/>
          <w:numId w:val="2"/>
        </w:numPr>
        <w:spacing w:before="40" w:after="40"/>
      </w:pPr>
      <w:r>
        <w:rPr>
          <w:rFonts w:ascii="Arial" w:cs="Arial" w:eastAsia="Arial" w:hAnsi="Arial"/>
          <w:b/>
          <w:bCs/>
          <w:color w:val="0D1F2D"/>
          <w:sz w:val="22"/>
          <w:szCs w:val="22"/>
        </w:rPr>
        <w:t xml:space="preserve">Recording coordinates (decimal lat/lon) and calendar date from source metadata: </w:t>
      </w:r>
      <w:r>
        <w:rPr>
          <w:rFonts w:ascii="Arial" w:cs="Arial" w:eastAsia="Arial" w:hAnsi="Arial"/>
          <w:color w:val="0D1F2D"/>
          <w:sz w:val="22"/>
          <w:szCs w:val="22"/>
        </w:rPr>
        <w:t xml:space="preserve">Spatiotemporal (H1)</w:t>
      </w:r>
    </w:p>
    <w:p>
      <w:pPr>
        <w:pStyle w:val="ListParagraph"/>
        <w:numPr>
          <w:ilvl w:val="0"/>
          <w:numId w:val="2"/>
        </w:numPr>
        <w:spacing w:before="40" w:after="40"/>
      </w:pPr>
      <w:r>
        <w:rPr>
          <w:rFonts w:ascii="Arial" w:cs="Arial" w:eastAsia="Arial" w:hAnsi="Arial"/>
          <w:b/>
          <w:bCs/>
          <w:color w:val="0D1F2D"/>
          <w:sz w:val="22"/>
          <w:szCs w:val="22"/>
        </w:rPr>
        <w:t xml:space="preserve">Depth time series from co-registered DTAG data where available. Expected coverage: &lt;30% of error specimens: </w:t>
      </w:r>
      <w:r>
        <w:rPr>
          <w:rFonts w:ascii="Arial" w:cs="Arial" w:eastAsia="Arial" w:hAnsi="Arial"/>
          <w:color w:val="0D1F2D"/>
          <w:sz w:val="22"/>
          <w:szCs w:val="22"/>
        </w:rPr>
        <w:t xml:space="preserve">Depth profile (H2)</w:t>
      </w:r>
    </w:p>
    <w:p>
      <w:pPr>
        <w:pStyle w:val="ListParagraph"/>
        <w:numPr>
          <w:ilvl w:val="0"/>
          <w:numId w:val="2"/>
        </w:numPr>
        <w:spacing w:before="40" w:after="40"/>
      </w:pPr>
      <w:r>
        <w:rPr>
          <w:rFonts w:ascii="Arial" w:cs="Arial" w:eastAsia="Arial" w:hAnsi="Arial"/>
          <w:b/>
          <w:bCs/>
          <w:color w:val="0D1F2D"/>
          <w:sz w:val="22"/>
          <w:szCs w:val="22"/>
        </w:rPr>
        <w:t xml:space="preserve">90-second audio window preceding each error specimen from full session recordings where available: </w:t>
      </w:r>
      <w:r>
        <w:rPr>
          <w:rFonts w:ascii="Arial" w:cs="Arial" w:eastAsia="Arial" w:hAnsi="Arial"/>
          <w:color w:val="0D1F2D"/>
          <w:sz w:val="22"/>
          <w:szCs w:val="22"/>
        </w:rPr>
        <w:t xml:space="preserve">Preceding sequence (H3)</w:t>
      </w:r>
    </w:p>
    <w:p>
      <w:pPr>
        <w:pStyle w:val="ListParagraph"/>
        <w:numPr>
          <w:ilvl w:val="0"/>
          <w:numId w:val="2"/>
        </w:numPr>
        <w:spacing w:before="40" w:after="40"/>
      </w:pPr>
      <w:r>
        <w:rPr>
          <w:rFonts w:ascii="Arial" w:cs="Arial" w:eastAsia="Arial" w:hAnsi="Arial"/>
          <w:b/>
          <w:bCs/>
          <w:color w:val="0D1F2D"/>
          <w:sz w:val="22"/>
          <w:szCs w:val="22"/>
        </w:rPr>
        <w:t xml:space="preserve">Population assignment from recording location + year, cross-referenced with species population literature: </w:t>
      </w:r>
      <w:r>
        <w:rPr>
          <w:rFonts w:ascii="Arial" w:cs="Arial" w:eastAsia="Arial" w:hAnsi="Arial"/>
          <w:color w:val="0D1F2D"/>
          <w:sz w:val="22"/>
          <w:szCs w:val="22"/>
        </w:rPr>
        <w:t xml:space="preserve">Population identity (H4)</w:t>
      </w:r>
    </w:p>
    <w:p>
      <w:pPr>
        <w:spacing w:before="120" w:after="0"/>
      </w:pPr>
      <w:r>
        <w:t xml:space="preserve"/>
      </w:r>
    </w:p>
    <w:p>
      <w:pPr>
        <w:pStyle w:val="Heading2"/>
        <w:spacing w:before="240" w:after="80"/>
      </w:pPr>
      <w:r>
        <w:rPr>
          <w:rFonts w:ascii="Arial" w:cs="Arial" w:eastAsia="Arial" w:hAnsi="Arial"/>
          <w:b/>
          <w:bCs/>
          <w:color w:val="1A5F7A"/>
          <w:sz w:val="26"/>
          <w:szCs w:val="26"/>
        </w:rPr>
        <w:t xml:space="preserve">Phase 3 — Second-Pass Classification</w:t>
      </w:r>
    </w:p>
    <w:p>
      <w:pPr>
        <w:spacing w:before="60" w:after="60"/>
      </w:pPr>
      <w:r>
        <w:rPr>
          <w:rFonts w:ascii="Arial" w:cs="Arial" w:eastAsia="Arial" w:hAnsi="Arial"/>
          <w:color w:val="0D1F2D"/>
          <w:sz w:val="22"/>
          <w:szCs w:val="22"/>
        </w:rPr>
        <w:t xml:space="preserve">Build a lightweight second-pass context classifier that receives the CadenceClassifier prediction and confidence, the error boundary type, and whichever context features are available for that specimen. Run ablation study across feature combinations.</w:t>
      </w:r>
    </w:p>
    <w:p>
      <w:pPr>
        <w:spacing w:before="80" w:after="0"/>
      </w:pPr>
      <w:r>
        <w:t xml:space="preserve"/>
      </w:r>
    </w:p>
    <w:p>
      <w:pPr>
        <w:pStyle w:val="ListParagraph"/>
        <w:numPr>
          <w:ilvl w:val="0"/>
          <w:numId w:val="2"/>
        </w:numPr>
        <w:spacing w:before="40" w:after="40"/>
      </w:pPr>
      <w:r>
        <w:rPr>
          <w:rFonts w:ascii="Arial" w:cs="Arial" w:eastAsia="Arial" w:hAnsi="Arial"/>
          <w:color w:val="0D1F2D"/>
          <w:sz w:val="22"/>
          <w:szCs w:val="22"/>
        </w:rPr>
        <w:t xml:space="preserve">Baseline: CadenceClassifier prediction alone (current 41 errors)</w:t>
      </w:r>
    </w:p>
    <w:p>
      <w:pPr>
        <w:pStyle w:val="ListParagraph"/>
        <w:numPr>
          <w:ilvl w:val="0"/>
          <w:numId w:val="2"/>
        </w:numPr>
        <w:spacing w:before="40" w:after="40"/>
      </w:pPr>
      <w:r>
        <w:rPr>
          <w:rFonts w:ascii="Arial" w:cs="Arial" w:eastAsia="Arial" w:hAnsi="Arial"/>
          <w:color w:val="0D1F2D"/>
          <w:sz w:val="22"/>
          <w:szCs w:val="22"/>
        </w:rPr>
        <w:t xml:space="preserve">H1 test: Add spatiotemporal features. Measure BROADCAST/NAVIGATE error reduction</w:t>
      </w:r>
    </w:p>
    <w:p>
      <w:pPr>
        <w:pStyle w:val="ListParagraph"/>
        <w:numPr>
          <w:ilvl w:val="0"/>
          <w:numId w:val="2"/>
        </w:numPr>
        <w:spacing w:before="40" w:after="40"/>
      </w:pPr>
      <w:r>
        <w:rPr>
          <w:rFonts w:ascii="Arial" w:cs="Arial" w:eastAsia="Arial" w:hAnsi="Arial"/>
          <w:color w:val="0D1F2D"/>
          <w:sz w:val="22"/>
          <w:szCs w:val="22"/>
        </w:rPr>
        <w:t xml:space="preserve">H2 test: Add depth features where available. Measure conditional error reduction</w:t>
      </w:r>
    </w:p>
    <w:p>
      <w:pPr>
        <w:pStyle w:val="ListParagraph"/>
        <w:numPr>
          <w:ilvl w:val="0"/>
          <w:numId w:val="2"/>
        </w:numPr>
        <w:spacing w:before="40" w:after="40"/>
      </w:pPr>
      <w:r>
        <w:rPr>
          <w:rFonts w:ascii="Arial" w:cs="Arial" w:eastAsia="Arial" w:hAnsi="Arial"/>
          <w:color w:val="0D1F2D"/>
          <w:sz w:val="22"/>
          <w:szCs w:val="22"/>
        </w:rPr>
        <w:t xml:space="preserve">H3 test: Add sequence context features. Measure CONTACT/BROADCAST error reduction</w:t>
      </w:r>
    </w:p>
    <w:p>
      <w:pPr>
        <w:pStyle w:val="ListParagraph"/>
        <w:numPr>
          <w:ilvl w:val="0"/>
          <w:numId w:val="2"/>
        </w:numPr>
        <w:spacing w:before="40" w:after="40"/>
      </w:pPr>
      <w:r>
        <w:rPr>
          <w:rFonts w:ascii="Arial" w:cs="Arial" w:eastAsia="Arial" w:hAnsi="Arial"/>
          <w:color w:val="0D1F2D"/>
          <w:sz w:val="22"/>
          <w:szCs w:val="22"/>
        </w:rPr>
        <w:t xml:space="preserve">H4 test: Add population identity. Measure total error reduction by species/population</w:t>
      </w:r>
    </w:p>
    <w:p>
      <w:pPr>
        <w:pStyle w:val="ListParagraph"/>
        <w:numPr>
          <w:ilvl w:val="0"/>
          <w:numId w:val="2"/>
        </w:numPr>
        <w:spacing w:before="40" w:after="40"/>
      </w:pPr>
      <w:r>
        <w:rPr>
          <w:rFonts w:ascii="Arial" w:cs="Arial" w:eastAsia="Arial" w:hAnsi="Arial"/>
          <w:color w:val="0D1F2D"/>
          <w:sz w:val="22"/>
          <w:szCs w:val="22"/>
        </w:rPr>
        <w:t xml:space="preserve">H5 test: Add all available context. Measure total residual errors</w:t>
      </w:r>
    </w:p>
    <w:p>
      <w:pPr>
        <w:pStyle w:val="ListParagraph"/>
        <w:numPr>
          <w:ilvl w:val="0"/>
          <w:numId w:val="2"/>
        </w:numPr>
        <w:spacing w:before="40" w:after="40"/>
      </w:pPr>
      <w:r>
        <w:rPr>
          <w:rFonts w:ascii="Arial" w:cs="Arial" w:eastAsia="Arial" w:hAnsi="Arial"/>
          <w:color w:val="0D1F2D"/>
          <w:sz w:val="22"/>
          <w:szCs w:val="22"/>
        </w:rPr>
        <w:t xml:space="preserve">Ablation: Remove each channel sequentially. Rank by resolving power</w:t>
      </w:r>
    </w:p>
    <w:p>
      <w:pPr>
        <w:spacing w:before="120" w:after="0"/>
      </w:pPr>
      <w:r>
        <w:t xml:space="preserve"/>
      </w:r>
    </w:p>
    <w:p>
      <w:pPr>
        <w:pStyle w:val="Heading2"/>
        <w:spacing w:before="240" w:after="80"/>
      </w:pPr>
      <w:r>
        <w:rPr>
          <w:rFonts w:ascii="Arial" w:cs="Arial" w:eastAsia="Arial" w:hAnsi="Arial"/>
          <w:b/>
          <w:bCs/>
          <w:color w:val="1A5F7A"/>
          <w:sz w:val="26"/>
          <w:szCs w:val="26"/>
        </w:rPr>
        <w:t xml:space="preserve">Phase 4 — Irreducibility Assessment</w:t>
      </w:r>
    </w:p>
    <w:p>
      <w:pPr>
        <w:spacing w:before="60" w:after="60"/>
      </w:pPr>
      <w:r>
        <w:rPr>
          <w:rFonts w:ascii="Arial" w:cs="Arial" w:eastAsia="Arial" w:hAnsi="Arial"/>
          <w:color w:val="0D1F2D"/>
          <w:sz w:val="22"/>
          <w:szCs w:val="22"/>
        </w:rPr>
        <w:t xml:space="preserve">For any errors that persist after adding all available context features, assess whether they represent: (a) missing data — context features unavailable for that specimen, (b) irreducible acoustic ambiguity — the signal is genuinely ambiguous even with full context, or (c) annotation uncertainty — the ground truth behavioral label may itself be uncertain. This assessment determines whether the remaining errors are experimental limitations or scientific findings about the structure of cetacean behavioral communication.</w:t>
      </w:r>
    </w:p>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6. Data Requirements and Access</w:t>
      </w:r>
    </w:p>
    <w:p>
      <w:pPr>
        <w:spacing w:before="60" w:after="60"/>
      </w:pPr>
      <w:r>
        <w:rPr>
          <w:rFonts w:ascii="Arial" w:cs="Arial" w:eastAsia="Arial" w:hAnsi="Arial"/>
          <w:color w:val="0D1F2D"/>
          <w:sz w:val="22"/>
          <w:szCs w:val="22"/>
        </w:rPr>
        <w:t xml:space="preserve">The experiment is executable with existing CetaSignal data sources for H1 and H4 (all 10 datasets include recording coordinates and dates). H2 and H3 require extended data access not currently available in the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20"/>
                <w:sz w:val="18"/>
                <w:szCs w:val="18"/>
              </w:rPr>
              <w:t xml:space="preserve">HYPOTHESIS</w:t>
            </w:r>
          </w:p>
        </w:tc>
        <w:tc>
          <w:tcPr>
            <w:tcW w:type="dxa" w:w="240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20"/>
                <w:sz w:val="18"/>
                <w:szCs w:val="18"/>
              </w:rPr>
              <w:t xml:space="preserve">DATA REQUIRED</w:t>
            </w:r>
          </w:p>
        </w:tc>
        <w:tc>
          <w:tcPr>
            <w:tcW w:type="dxa" w:w="280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20"/>
                <w:sz w:val="18"/>
                <w:szCs w:val="18"/>
              </w:rPr>
              <w:t xml:space="preserve">CURRENT AVAILABILITY</w:t>
            </w:r>
          </w:p>
        </w:tc>
        <w:tc>
          <w:tcPr>
            <w:tcW w:type="dxa" w:w="2560"/>
            <w:tcBorders>
              <w:top w:val="single" w:color="C5D8E2" w:sz="1"/>
              <w:left w:val="single" w:color="C5D8E2" w:sz="1"/>
              <w:bottom w:val="single" w:color="C5D8E2" w:sz="1"/>
              <w:right w:val="single" w:color="C5D8E2" w:sz="1"/>
            </w:tcBorders>
            <w:shd w:fill="0D1F2D" w:val="clear"/>
            <w:tcMar>
              <w:top w:type="dxa" w:w="80"/>
              <w:left w:type="dxa" w:w="120"/>
              <w:bottom w:type="dxa" w:w="80"/>
              <w:right w:type="dxa" w:w="80"/>
            </w:tcMar>
          </w:tcPr>
          <w:p>
            <w:r>
              <w:rPr>
                <w:rFonts w:ascii="Arial" w:cs="Arial" w:eastAsia="Arial" w:hAnsi="Arial"/>
                <w:b/>
                <w:bCs/>
                <w:color w:val="FFFFFF"/>
                <w:spacing w:val="20"/>
                <w:sz w:val="18"/>
                <w:szCs w:val="18"/>
              </w:rPr>
              <w:t xml:space="preserve">ACCESS PATH</w:t>
            </w:r>
          </w:p>
        </w:tc>
      </w:tr>
      <w:tr>
        <w:tc>
          <w:tcPr>
            <w:tcW w:type="dxa" w:w="16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0"/>
                <w:szCs w:val="20"/>
              </w:rPr>
              <w:t xml:space="preserve">H1 — Spatiotemporal</w:t>
            </w:r>
          </w:p>
        </w:tc>
        <w:tc>
          <w:tcPr>
            <w:tcW w:type="dxa" w:w="24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GPS coords + recording date</w:t>
            </w:r>
          </w:p>
        </w:tc>
        <w:tc>
          <w:tcPr>
            <w:tcW w:type="dxa" w:w="28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Available — all 10 source datasets</w:t>
            </w:r>
          </w:p>
        </w:tc>
        <w:tc>
          <w:tcPr>
            <w:tcW w:type="dxa" w:w="256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Extract from existing metadata</w:t>
            </w:r>
          </w:p>
        </w:tc>
      </w:tr>
      <w:tr>
        <w:tc>
          <w:tcPr>
            <w:tcW w:type="dxa" w:w="16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bCs/>
                <w:color w:val="1A5F7A"/>
                <w:sz w:val="20"/>
                <w:szCs w:val="20"/>
              </w:rPr>
              <w:t xml:space="preserve">H2 — Depth Profile</w:t>
            </w:r>
          </w:p>
        </w:tc>
        <w:tc>
          <w:tcPr>
            <w:tcW w:type="dxa" w:w="24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DTAG depth time series</w:t>
            </w:r>
          </w:p>
        </w:tc>
        <w:tc>
          <w:tcPr>
            <w:tcW w:type="dxa" w:w="28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Partial — NOAA NEFSC, SanctSound only</w:t>
            </w:r>
          </w:p>
        </w:tc>
        <w:tc>
          <w:tcPr>
            <w:tcW w:type="dxa" w:w="256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Formal data access request to NOAA</w:t>
            </w:r>
          </w:p>
        </w:tc>
      </w:tr>
      <w:tr>
        <w:tc>
          <w:tcPr>
            <w:tcW w:type="dxa" w:w="16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0"/>
                <w:szCs w:val="20"/>
              </w:rPr>
              <w:t xml:space="preserve">H3 — Sequence Context</w:t>
            </w:r>
          </w:p>
        </w:tc>
        <w:tc>
          <w:tcPr>
            <w:tcW w:type="dxa" w:w="24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Full session audio (90s windows)</w:t>
            </w:r>
          </w:p>
        </w:tc>
        <w:tc>
          <w:tcPr>
            <w:tcW w:type="dxa" w:w="28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Partial — depends on dataset</w:t>
            </w:r>
          </w:p>
        </w:tc>
        <w:tc>
          <w:tcPr>
            <w:tcW w:type="dxa" w:w="256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Collaborator access to full recordings</w:t>
            </w:r>
          </w:p>
        </w:tc>
      </w:tr>
      <w:tr>
        <w:tc>
          <w:tcPr>
            <w:tcW w:type="dxa" w:w="16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bCs/>
                <w:color w:val="1A5F7A"/>
                <w:sz w:val="20"/>
                <w:szCs w:val="20"/>
              </w:rPr>
              <w:t xml:space="preserve">H4 — Population ID</w:t>
            </w:r>
          </w:p>
        </w:tc>
        <w:tc>
          <w:tcPr>
            <w:tcW w:type="dxa" w:w="24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Location + year + population maps</w:t>
            </w:r>
          </w:p>
        </w:tc>
        <w:tc>
          <w:tcPr>
            <w:tcW w:type="dxa" w:w="280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Available — derivable from metadata</w:t>
            </w:r>
          </w:p>
        </w:tc>
        <w:tc>
          <w:tcPr>
            <w:tcW w:type="dxa" w:w="2560"/>
            <w:tcBorders>
              <w:top w:val="single" w:color="C5D8E2" w:sz="1"/>
              <w:left w:val="single" w:color="C5D8E2" w:sz="1"/>
              <w:bottom w:val="single" w:color="C5D8E2" w:sz="1"/>
              <w:right w:val="single" w:color="C5D8E2" w:sz="1"/>
            </w:tcBorders>
            <w:shd w:fill="FFFFFF" w:val="clear"/>
            <w:tcMar>
              <w:top w:type="dxa" w:w="80"/>
              <w:left w:type="dxa" w:w="120"/>
              <w:bottom w:type="dxa" w:w="80"/>
              <w:right w:type="dxa" w:w="80"/>
            </w:tcMar>
          </w:tcPr>
          <w:p>
            <w:r>
              <w:rPr>
                <w:rFonts w:ascii="Arial" w:cs="Arial" w:eastAsia="Arial" w:hAnsi="Arial"/>
                <w:b w:val="false"/>
                <w:bCs w:val="false"/>
                <w:color w:val="0D1F2D"/>
                <w:sz w:val="20"/>
                <w:szCs w:val="20"/>
              </w:rPr>
              <w:t xml:space="preserve">Cross-reference with published range maps</w:t>
            </w:r>
          </w:p>
        </w:tc>
      </w:tr>
      <w:tr>
        <w:tc>
          <w:tcPr>
            <w:tcW w:type="dxa" w:w="16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bCs/>
                <w:color w:val="1A5F7A"/>
                <w:sz w:val="20"/>
                <w:szCs w:val="20"/>
              </w:rPr>
              <w:t xml:space="preserve">H5 — Combined</w:t>
            </w:r>
          </w:p>
        </w:tc>
        <w:tc>
          <w:tcPr>
            <w:tcW w:type="dxa" w:w="24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All of the above</w:t>
            </w:r>
          </w:p>
        </w:tc>
        <w:tc>
          <w:tcPr>
            <w:tcW w:type="dxa" w:w="280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Partial — limited by H2 and H3</w:t>
            </w:r>
          </w:p>
        </w:tc>
        <w:tc>
          <w:tcPr>
            <w:tcW w:type="dxa" w:w="2560"/>
            <w:tcBorders>
              <w:top w:val="single" w:color="C5D8E2" w:sz="1"/>
              <w:left w:val="single" w:color="C5D8E2" w:sz="1"/>
              <w:bottom w:val="single" w:color="C5D8E2" w:sz="1"/>
              <w:right w:val="single" w:color="C5D8E2" w:sz="1"/>
            </w:tcBorders>
            <w:shd w:fill="F4F8FA" w:val="clear"/>
            <w:tcMar>
              <w:top w:type="dxa" w:w="80"/>
              <w:left w:type="dxa" w:w="120"/>
              <w:bottom w:type="dxa" w:w="80"/>
              <w:right w:type="dxa" w:w="80"/>
            </w:tcMar>
          </w:tcPr>
          <w:p>
            <w:r>
              <w:rPr>
                <w:rFonts w:ascii="Arial" w:cs="Arial" w:eastAsia="Arial" w:hAnsi="Arial"/>
                <w:b w:val="false"/>
                <w:bCs w:val="false"/>
                <w:color w:val="0D1F2D"/>
                <w:sz w:val="20"/>
                <w:szCs w:val="20"/>
              </w:rPr>
              <w:t xml:space="preserve">Phased — H1/H4 first, H2/H3 pending access</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7. Scientific Significance</w:t>
      </w:r>
    </w:p>
    <w:p>
      <w:pPr>
        <w:pStyle w:val="Heading2"/>
        <w:spacing w:before="240" w:after="80"/>
      </w:pPr>
      <w:r>
        <w:rPr>
          <w:rFonts w:ascii="Arial" w:cs="Arial" w:eastAsia="Arial" w:hAnsi="Arial"/>
          <w:b/>
          <w:bCs/>
          <w:color w:val="1A5F7A"/>
          <w:sz w:val="26"/>
          <w:szCs w:val="26"/>
        </w:rPr>
        <w:t xml:space="preserve">If the hypotheses are confirmed:</w:t>
      </w:r>
    </w:p>
    <w:p>
      <w:pPr>
        <w:pStyle w:val="ListParagraph"/>
        <w:numPr>
          <w:ilvl w:val="0"/>
          <w:numId w:val="2"/>
        </w:numPr>
        <w:spacing w:before="40" w:after="40"/>
      </w:pPr>
      <w:r>
        <w:rPr>
          <w:rFonts w:ascii="Arial" w:cs="Arial" w:eastAsia="Arial" w:hAnsi="Arial"/>
          <w:color w:val="0D1F2D"/>
          <w:sz w:val="22"/>
          <w:szCs w:val="22"/>
        </w:rPr>
        <w:t xml:space="preserve">We identify the second information channel that cetaceans use to resolve acoustic ambiguity in their own behavioral communication — a finding that advances the constraint-driven coordination protocol framework</w:t>
      </w:r>
    </w:p>
    <w:p>
      <w:pPr>
        <w:pStyle w:val="ListParagraph"/>
        <w:numPr>
          <w:ilvl w:val="0"/>
          <w:numId w:val="2"/>
        </w:numPr>
        <w:spacing w:before="40" w:after="40"/>
      </w:pPr>
      <w:r>
        <w:rPr>
          <w:rFonts w:ascii="Arial" w:cs="Arial" w:eastAsia="Arial" w:hAnsi="Arial"/>
          <w:color w:val="0D1F2D"/>
          <w:sz w:val="22"/>
          <w:szCs w:val="22"/>
        </w:rPr>
        <w:t xml:space="preserve">We demonstrate that acoustic-only behavioral classification has a precise, measurable physics limit, and that environmental context is the specific information needed to cross it</w:t>
      </w:r>
    </w:p>
    <w:p>
      <w:pPr>
        <w:pStyle w:val="ListParagraph"/>
        <w:numPr>
          <w:ilvl w:val="0"/>
          <w:numId w:val="2"/>
        </w:numPr>
        <w:spacing w:before="40" w:after="40"/>
      </w:pPr>
      <w:r>
        <w:rPr>
          <w:rFonts w:ascii="Arial" w:cs="Arial" w:eastAsia="Arial" w:hAnsi="Arial"/>
          <w:color w:val="0D1F2D"/>
          <w:sz w:val="22"/>
          <w:szCs w:val="22"/>
        </w:rPr>
        <w:t xml:space="preserve">We establish the feature set for a field-deployable behavioral classifier: acoustic parameters + GPS + date + depth + sequence window</w:t>
      </w:r>
    </w:p>
    <w:p>
      <w:pPr>
        <w:pStyle w:val="ListParagraph"/>
        <w:numPr>
          <w:ilvl w:val="0"/>
          <w:numId w:val="2"/>
        </w:numPr>
        <w:spacing w:before="40" w:after="40"/>
      </w:pPr>
      <w:r>
        <w:rPr>
          <w:rFonts w:ascii="Arial" w:cs="Arial" w:eastAsia="Arial" w:hAnsi="Arial"/>
          <w:color w:val="0D1F2D"/>
          <w:sz w:val="22"/>
          <w:szCs w:val="22"/>
        </w:rPr>
        <w:t xml:space="preserve">The result directly informs instrument design — the minimum sensor suite needed for real-time cetacean behavioral monitoring from autonomous platforms</w:t>
      </w:r>
    </w:p>
    <w:p>
      <w:pPr>
        <w:spacing w:before="80" w:after="0"/>
      </w:pPr>
      <w:r>
        <w:t xml:space="preserve"/>
      </w:r>
    </w:p>
    <w:p>
      <w:pPr>
        <w:pStyle w:val="Heading2"/>
        <w:spacing w:before="240" w:after="80"/>
      </w:pPr>
      <w:r>
        <w:rPr>
          <w:rFonts w:ascii="Arial" w:cs="Arial" w:eastAsia="Arial" w:hAnsi="Arial"/>
          <w:b/>
          <w:bCs/>
          <w:color w:val="1A5F7A"/>
          <w:sz w:val="26"/>
          <w:szCs w:val="26"/>
        </w:rPr>
        <w:t xml:space="preserve">If the hypotheses are falsified:</w:t>
      </w:r>
    </w:p>
    <w:p>
      <w:pPr>
        <w:pStyle w:val="ListParagraph"/>
        <w:numPr>
          <w:ilvl w:val="0"/>
          <w:numId w:val="2"/>
        </w:numPr>
        <w:spacing w:before="40" w:after="40"/>
      </w:pPr>
      <w:r>
        <w:rPr>
          <w:rFonts w:ascii="Arial" w:cs="Arial" w:eastAsia="Arial" w:hAnsi="Arial"/>
          <w:color w:val="0D1F2D"/>
          <w:sz w:val="22"/>
          <w:szCs w:val="22"/>
        </w:rPr>
        <w:t xml:space="preserve">We establish that residual ambiguity is intrinsic to the behavioral categories — some behaviors may not have discrete acoustic signatures even in full environmental context</w:t>
      </w:r>
    </w:p>
    <w:p>
      <w:pPr>
        <w:pStyle w:val="ListParagraph"/>
        <w:numPr>
          <w:ilvl w:val="0"/>
          <w:numId w:val="2"/>
        </w:numPr>
        <w:spacing w:before="40" w:after="40"/>
      </w:pPr>
      <w:r>
        <w:rPr>
          <w:rFonts w:ascii="Arial" w:cs="Arial" w:eastAsia="Arial" w:hAnsi="Arial"/>
          <w:color w:val="0D1F2D"/>
          <w:sz w:val="22"/>
          <w:szCs w:val="22"/>
        </w:rPr>
        <w:t xml:space="preserve">This would suggest that cetacean behavioral categories are gradient rather than discrete at the margin, which is itself a finding about the structure of their communication system</w:t>
      </w:r>
    </w:p>
    <w:p>
      <w:pPr>
        <w:pStyle w:val="ListParagraph"/>
        <w:numPr>
          <w:ilvl w:val="0"/>
          <w:numId w:val="2"/>
        </w:numPr>
        <w:spacing w:before="40" w:after="40"/>
      </w:pPr>
      <w:r>
        <w:rPr>
          <w:rFonts w:ascii="Arial" w:cs="Arial" w:eastAsia="Arial" w:hAnsi="Arial"/>
          <w:color w:val="0D1F2D"/>
          <w:sz w:val="22"/>
          <w:szCs w:val="22"/>
        </w:rPr>
        <w:t xml:space="preserve">The falsification evidence becomes the basis for a revised behavioral taxonomy — potentially splitting or merging categories at the ambiguous boundaries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F7A" w:val="clear"/>
          </w:tcPr>
          <w:p>
            <w:r>
              <w:t xml:space="preserve"/>
            </w:r>
          </w:p>
        </w:tc>
        <w:tc>
          <w:tcPr>
            <w:tcW w:type="dxa" w:w="9160"/>
            <w:tcBorders>
              <w:top w:val="none" w:color="FFFFFF" w:sz="0"/>
              <w:left w:val="none" w:color="FFFFFF" w:sz="0"/>
              <w:bottom w:val="none" w:color="FFFFFF" w:sz="0"/>
              <w:right w:val="none" w:color="FFFFFF" w:sz="0"/>
            </w:tcBorders>
            <w:shd w:fill="F4F8FA" w:val="clear"/>
            <w:tcMar>
              <w:top w:type="dxa" w:w="120"/>
              <w:left w:type="dxa" w:w="180"/>
              <w:bottom w:type="dxa" w:w="120"/>
              <w:right w:type="dxa" w:w="120"/>
            </w:tcMar>
          </w:tcPr>
          <w:p>
            <w:pPr>
              <w:spacing w:before="0" w:after="40"/>
            </w:pPr>
            <w:r>
              <w:rPr>
                <w:rFonts w:ascii="Arial" w:cs="Arial" w:eastAsia="Arial" w:hAnsi="Arial"/>
                <w:b/>
                <w:bCs/>
                <w:color w:val="1A5F7A"/>
                <w:spacing w:val="40"/>
                <w:sz w:val="17"/>
                <w:szCs w:val="17"/>
              </w:rPr>
              <w:t xml:space="preserve">BOTH OUTCOMES ARE PUBLISHABLE</w:t>
            </w:r>
          </w:p>
          <w:p>
            <w:pPr>
              <w:spacing w:before="0" w:after="0"/>
            </w:pPr>
            <w:r>
              <w:rPr>
                <w:rFonts w:ascii="Arial" w:cs="Arial" w:eastAsia="Arial" w:hAnsi="Arial"/>
                <w:color w:val="0D1F2D"/>
                <w:sz w:val="21"/>
                <w:szCs w:val="21"/>
              </w:rPr>
              <w:t xml:space="preserve">The experiment is designed so that confirmation and falsification both advance the field. We are not testing whether the classifier is good — it demonstrably is. We are probing the information-theoretic structure of cetacean behavioral communication at its acoustic ambiguity boundaries.</w:t>
            </w:r>
          </w:p>
        </w:tc>
      </w:tr>
    </w:tbl>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8. Immediate Next Steps</w:t>
      </w:r>
    </w:p>
    <w:p>
      <w:pPr>
        <w:spacing w:before="60" w:after="60"/>
      </w:pPr>
      <w:r>
        <w:rPr>
          <w:rFonts w:ascii="Arial" w:cs="Arial" w:eastAsia="Arial" w:hAnsi="Arial"/>
          <w:color w:val="0D1F2D"/>
          <w:sz w:val="22"/>
          <w:szCs w:val="22"/>
        </w:rPr>
        <w:t xml:space="preserve">The following steps are actionable with current resources and do not require additional data access:</w:t>
      </w:r>
    </w:p>
    <w:p>
      <w:pPr>
        <w:spacing w:before="80" w:after="0"/>
      </w:pPr>
      <w:r>
        <w:t xml:space="preserve"/>
      </w:r>
    </w:p>
    <w:p>
      <w:pPr>
        <w:pStyle w:val="ListParagraph"/>
        <w:numPr>
          <w:ilvl w:val="0"/>
          <w:numId w:val="3"/>
        </w:numPr>
        <w:spacing w:before="60" w:after="60"/>
      </w:pPr>
      <w:r>
        <w:rPr>
          <w:rFonts w:ascii="Arial" w:cs="Arial" w:eastAsia="Arial" w:hAnsi="Arial"/>
          <w:b/>
          <w:bCs/>
          <w:color w:val="0D1F2D"/>
          <w:sz w:val="22"/>
          <w:szCs w:val="22"/>
        </w:rPr>
        <w:t xml:space="preserve">Materialize the 41 error specimens. </w:t>
      </w:r>
      <w:r>
        <w:rPr>
          <w:rFonts w:ascii="Arial" w:cs="Arial" w:eastAsia="Arial" w:hAnsi="Arial"/>
          <w:color w:val="0D1F2D"/>
          <w:sz w:val="22"/>
          <w:szCs w:val="22"/>
        </w:rPr>
        <w:t xml:space="preserve">Run the full validation set with logging enabled, extract the error rows, and build the error specimen dataset as a structured CSV with full feature vectors and provenance.</w:t>
      </w:r>
    </w:p>
    <w:p>
      <w:pPr>
        <w:pStyle w:val="ListParagraph"/>
        <w:numPr>
          <w:ilvl w:val="0"/>
          <w:numId w:val="3"/>
        </w:numPr>
        <w:spacing w:before="60" w:after="60"/>
      </w:pPr>
      <w:r>
        <w:rPr>
          <w:rFonts w:ascii="Arial" w:cs="Arial" w:eastAsia="Arial" w:hAnsi="Arial"/>
          <w:b/>
          <w:bCs/>
          <w:color w:val="0D1F2D"/>
          <w:sz w:val="22"/>
          <w:szCs w:val="22"/>
        </w:rPr>
        <w:t xml:space="preserve">Build the Python pipeline scaffold. </w:t>
      </w:r>
      <w:r>
        <w:rPr>
          <w:rFonts w:ascii="Arial" w:cs="Arial" w:eastAsia="Arial" w:hAnsi="Arial"/>
          <w:color w:val="0D1F2D"/>
          <w:sz w:val="22"/>
          <w:szCs w:val="22"/>
        </w:rPr>
        <w:t xml:space="preserve">Implement the audio ingestion, feature extraction, and context-channel architecture so that Phase 2 and 3 can proceed as soon as data access is confirmed.</w:t>
      </w:r>
    </w:p>
    <w:p>
      <w:pPr>
        <w:pStyle w:val="ListParagraph"/>
        <w:numPr>
          <w:ilvl w:val="0"/>
          <w:numId w:val="3"/>
        </w:numPr>
        <w:spacing w:before="60" w:after="60"/>
      </w:pPr>
      <w:r>
        <w:rPr>
          <w:rFonts w:ascii="Arial" w:cs="Arial" w:eastAsia="Arial" w:hAnsi="Arial"/>
          <w:b/>
          <w:bCs/>
          <w:color w:val="0D1F2D"/>
          <w:sz w:val="22"/>
          <w:szCs w:val="22"/>
        </w:rPr>
        <w:t xml:space="preserve">Execute H1 and H4 immediately. </w:t>
      </w:r>
      <w:r>
        <w:rPr>
          <w:rFonts w:ascii="Arial" w:cs="Arial" w:eastAsia="Arial" w:hAnsi="Arial"/>
          <w:color w:val="0D1F2D"/>
          <w:sz w:val="22"/>
          <w:szCs w:val="22"/>
        </w:rPr>
        <w:t xml:space="preserve">Spatiotemporal and population identity features are already available in existing source metadata. These hypotheses can be tested now, producing first results without any additional data access.</w:t>
      </w:r>
    </w:p>
    <w:p>
      <w:pPr>
        <w:pStyle w:val="ListParagraph"/>
        <w:numPr>
          <w:ilvl w:val="0"/>
          <w:numId w:val="3"/>
        </w:numPr>
        <w:spacing w:before="60" w:after="60"/>
      </w:pPr>
      <w:r>
        <w:rPr>
          <w:rFonts w:ascii="Arial" w:cs="Arial" w:eastAsia="Arial" w:hAnsi="Arial"/>
          <w:b/>
          <w:bCs/>
          <w:color w:val="0D1F2D"/>
          <w:sz w:val="22"/>
          <w:szCs w:val="22"/>
        </w:rPr>
        <w:t xml:space="preserve">File formal data access requests for H2 and H3. </w:t>
      </w:r>
      <w:r>
        <w:rPr>
          <w:rFonts w:ascii="Arial" w:cs="Arial" w:eastAsia="Arial" w:hAnsi="Arial"/>
          <w:color w:val="0D1F2D"/>
          <w:sz w:val="22"/>
          <w:szCs w:val="22"/>
        </w:rPr>
        <w:t xml:space="preserve">NOAA NEFSC DTAG archives and SanctSound full session recordings are the primary targets. The hypothesis document serves as the scientific justification for these requests.</w:t>
      </w:r>
    </w:p>
    <w:p>
      <w:pPr>
        <w:pStyle w:val="ListParagraph"/>
        <w:numPr>
          <w:ilvl w:val="0"/>
          <w:numId w:val="3"/>
        </w:numPr>
        <w:spacing w:before="60" w:after="60"/>
      </w:pPr>
      <w:r>
        <w:rPr>
          <w:rFonts w:ascii="Arial" w:cs="Arial" w:eastAsia="Arial" w:hAnsi="Arial"/>
          <w:b/>
          <w:bCs/>
          <w:color w:val="0D1F2D"/>
          <w:sz w:val="22"/>
          <w:szCs w:val="22"/>
        </w:rPr>
        <w:t xml:space="preserve">Present to collaborators. </w:t>
      </w:r>
      <w:r>
        <w:rPr>
          <w:rFonts w:ascii="Arial" w:cs="Arial" w:eastAsia="Arial" w:hAnsi="Arial"/>
          <w:color w:val="0D1F2D"/>
          <w:sz w:val="22"/>
          <w:szCs w:val="22"/>
        </w:rPr>
        <w:t xml:space="preserve">This document and the CetaSignal live demo provide the full scientific context for proposing collaborative research with institutions holding DTAG and full-session acoustic archives.</w:t>
      </w:r>
    </w:p>
    <w:p>
      <w:pPr>
        <w:pBdr>
          <w:bottom w:val="single" w:color="C5D8E2" w:sz="4" w:space="1"/>
        </w:pBdr>
        <w:spacing w:before="160" w:after="160"/>
      </w:pPr>
      <w:r>
        <w:t xml:space="preserve"/>
      </w:r>
    </w:p>
    <w:p>
      <w:pPr>
        <w:pStyle w:val="Heading1"/>
        <w:spacing w:before="320" w:after="120"/>
      </w:pPr>
      <w:r>
        <w:rPr>
          <w:rFonts w:ascii="Arial" w:cs="Arial" w:eastAsia="Arial" w:hAnsi="Arial"/>
          <w:b/>
          <w:bCs/>
          <w:color w:val="0D1F2D"/>
          <w:sz w:val="32"/>
          <w:szCs w:val="32"/>
        </w:rPr>
        <w:t xml:space="preserve">References</w:t>
      </w:r>
    </w:p>
    <w:p>
      <w:pPr>
        <w:spacing w:before="60" w:after="30"/>
      </w:pPr>
      <w:r>
        <w:rPr>
          <w:rFonts w:ascii="Arial" w:cs="Arial" w:eastAsia="Arial" w:hAnsi="Arial"/>
          <w:color w:val="4A6572"/>
          <w:sz w:val="20"/>
          <w:szCs w:val="20"/>
        </w:rPr>
        <w:t xml:space="preserve">[1]  Cerchio, S. et al. (2015). Omura's whales (Balaenoptera omurai) off northwest Madagascar. Royal Society Open Science.</w:t>
      </w:r>
    </w:p>
    <w:p>
      <w:pPr>
        <w:spacing w:before="60" w:after="30"/>
      </w:pPr>
      <w:r>
        <w:rPr>
          <w:rFonts w:ascii="Arial" w:cs="Arial" w:eastAsia="Arial" w:hAnsi="Arial"/>
          <w:color w:val="4A6572"/>
          <w:sz w:val="20"/>
          <w:szCs w:val="20"/>
        </w:rPr>
        <w:t xml:space="preserve">[2]  Johnson, M.P. et al. (2004). Beaked whales echolocate on prey. Proceedings of the Royal Society B, 271, 383–386.</w:t>
      </w:r>
    </w:p>
    <w:p>
      <w:pPr>
        <w:spacing w:before="60" w:after="30"/>
      </w:pPr>
      <w:r>
        <w:rPr>
          <w:rFonts w:ascii="Arial" w:cs="Arial" w:eastAsia="Arial" w:hAnsi="Arial"/>
          <w:color w:val="4A6572"/>
          <w:sz w:val="20"/>
          <w:szCs w:val="20"/>
        </w:rPr>
        <w:t xml:space="preserve">[3]  Lewis, L.A. et al. (2018). Vocalizations of the Antarctic blue whale (Balaenoptera musculus intermedia). JASA, 144(4), 2328.</w:t>
      </w:r>
    </w:p>
    <w:p>
      <w:pPr>
        <w:spacing w:before="60" w:after="30"/>
      </w:pPr>
      <w:r>
        <w:rPr>
          <w:rFonts w:ascii="Arial" w:cs="Arial" w:eastAsia="Arial" w:hAnsi="Arial"/>
          <w:color w:val="4A6572"/>
          <w:sz w:val="20"/>
          <w:szCs w:val="20"/>
        </w:rPr>
        <w:t xml:space="preserve">[4]  Madsen, P.T. et al. (2004). Biosonar performance of foraging beaked whales. Journal of Experimental Biology, 208, 181–194.</w:t>
      </w:r>
    </w:p>
    <w:p>
      <w:pPr>
        <w:spacing w:before="60" w:after="30"/>
      </w:pPr>
      <w:r>
        <w:rPr>
          <w:rFonts w:ascii="Arial" w:cs="Arial" w:eastAsia="Arial" w:hAnsi="Arial"/>
          <w:color w:val="4A6572"/>
          <w:sz w:val="20"/>
          <w:szCs w:val="20"/>
        </w:rPr>
        <w:t xml:space="preserve">[5]  Noad, M.J. et al. (2000). Cultural revolution in whale songs. Nature, 408, 537.</w:t>
      </w:r>
    </w:p>
    <w:p>
      <w:pPr>
        <w:spacing w:before="60" w:after="30"/>
      </w:pPr>
      <w:r>
        <w:rPr>
          <w:rFonts w:ascii="Arial" w:cs="Arial" w:eastAsia="Arial" w:hAnsi="Arial"/>
          <w:color w:val="4A6572"/>
          <w:sz w:val="20"/>
          <w:szCs w:val="20"/>
        </w:rPr>
        <w:t xml:space="preserve">[6]  Payne, R.S. &amp; McVay, S. (1971). Songs of humpback whales. Science, 173(3997), 585–597.</w:t>
      </w:r>
    </w:p>
    <w:p>
      <w:pPr>
        <w:spacing w:before="60" w:after="30"/>
      </w:pPr>
      <w:r>
        <w:rPr>
          <w:rFonts w:ascii="Arial" w:cs="Arial" w:eastAsia="Arial" w:hAnsi="Arial"/>
          <w:color w:val="4A6572"/>
          <w:sz w:val="20"/>
          <w:szCs w:val="20"/>
        </w:rPr>
        <w:t xml:space="preserve">[7]  Tyack, P.L. (1997). Development and social functions of signature whistles in bottlenose dolphins. Bioacoustics, 8(1–2), 21–46.</w:t>
      </w:r>
    </w:p>
    <w:p>
      <w:pPr>
        <w:spacing w:before="60" w:after="30"/>
      </w:pPr>
      <w:r>
        <w:rPr>
          <w:rFonts w:ascii="Arial" w:cs="Arial" w:eastAsia="Arial" w:hAnsi="Arial"/>
          <w:color w:val="4A6572"/>
          <w:sz w:val="20"/>
          <w:szCs w:val="20"/>
        </w:rPr>
        <w:t xml:space="preserve">[8]  Watkins, W.A. et al. (1987). The 20-Hz signals of finback whales. Journal of the Acoustical Society of America, 82(6), 1901–1912.</w:t>
      </w:r>
    </w:p>
    <w:p>
      <w:pPr>
        <w:spacing w:before="60" w:after="30"/>
      </w:pPr>
      <w:r>
        <w:rPr>
          <w:rFonts w:ascii="Arial" w:cs="Arial" w:eastAsia="Arial" w:hAnsi="Arial"/>
          <w:color w:val="4A6572"/>
          <w:sz w:val="20"/>
          <w:szCs w:val="20"/>
        </w:rPr>
        <w:t xml:space="preserve">[9]  Zimmer, W.M.X. et al. (2005). Off-axis effects on the directionality of sperm whale clicks. JASA, 118(5), 3337–3345.</w:t>
      </w:r>
    </w:p>
    <w:p>
      <w:pPr>
        <w:spacing w:before="60" w:after="30"/>
      </w:pPr>
      <w:r>
        <w:rPr>
          <w:rFonts w:ascii="Arial" w:cs="Arial" w:eastAsia="Arial" w:hAnsi="Arial"/>
          <w:color w:val="4A6572"/>
          <w:sz w:val="20"/>
          <w:szCs w:val="20"/>
        </w:rPr>
        <w:t xml:space="preserve">[10]  Mistretta, D. (2025). CetaSignal v3.3: Cross-species behavioral classification of cetacean vocalizations via acoustic cadence features. Open Research Platform. https://github.com/djmistretta15/Cetacean-Thalassian-V1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FAAB8"/>
        <w:sz w:val="18"/>
        <w:szCs w:val="18"/>
      </w:rPr>
      <w:t xml:space="preserve">CetaSignal Research Proposal — Context Layer Investigation    |    </w:t>
    </w:r>
    <w:r>
      <w:rPr>
        <w:rFonts w:ascii="Arial" w:cs="Arial" w:eastAsia="Arial" w:hAnsi="Arial"/>
        <w:color w:val="8FAA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F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1F2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5F7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2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2026-03-09T03:22:52.294Z</dcterms:created>
  <dcterms:modified xsi:type="dcterms:W3CDTF">2026-03-09T03:22:52.295Z</dcterms:modified>
</cp:coreProperties>
</file>

<file path=docProps/custom.xml><?xml version="1.0" encoding="utf-8"?>
<Properties xmlns="http://schemas.openxmlformats.org/officeDocument/2006/custom-properties" xmlns:vt="http://schemas.openxmlformats.org/officeDocument/2006/docPropsVTypes"/>
</file>