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Times New Roman" w:hAnsi="Times New Roman"/>
          <w:b/>
          <w:color w:val="0F2240"/>
          <w:sz w:val="32"/>
        </w:rPr>
        <w:t>Data Analytics Capstone:</w:t>
        <w:br/>
        <w:t>Analysis of Facility and Unit Attributes under the EPA Clean Air Markets Program Using Statistical and Machine Learning Techniques</w:t>
      </w:r>
    </w:p>
    <w:p>
      <w:pPr>
        <w:spacing w:after="720"/>
        <w:jc w:val="center"/>
      </w:pPr>
      <w:r>
        <w:rPr>
          <w:rFonts w:ascii="Times New Roman" w:hAnsi="Times New Roman"/>
          <w:i/>
          <w:sz w:val="26"/>
        </w:rPr>
        <w:t>Interim Capstone Report</w:t>
      </w:r>
    </w:p>
    <w:p>
      <w:pPr>
        <w:spacing w:after="120"/>
        <w:jc w:val="center"/>
      </w:pPr>
      <w:r>
        <w:rPr>
          <w:rFonts w:ascii="Times New Roman" w:hAnsi="Times New Roman"/>
          <w:b/>
          <w:sz w:val="24"/>
        </w:rPr>
        <w:t>Dhananjay Verma</w:t>
      </w:r>
    </w:p>
    <w:p>
      <w:pPr>
        <w:spacing w:after="360"/>
        <w:jc w:val="center"/>
      </w:pPr>
      <w:r>
        <w:rPr>
          <w:rFonts w:ascii="Times New Roman" w:hAnsi="Times New Roman"/>
          <w:sz w:val="22"/>
        </w:rPr>
        <w:t>Student ID: 0291493</w:t>
        <w:br/>
        <w:t>Division of Mathematics and Computer Science</w:t>
        <w:br/>
        <w:t>Walsh College, Troy, MI</w:t>
      </w:r>
    </w:p>
    <w:p>
      <w:pPr>
        <w:spacing w:after="480"/>
        <w:jc w:val="center"/>
      </w:pPr>
      <w:r>
        <w:rPr>
          <w:rFonts w:ascii="Times New Roman" w:hAnsi="Times New Roman"/>
          <w:sz w:val="22"/>
        </w:rPr>
        <w:t>QM640 V1: Data Analytics Capstone</w:t>
        <w:br/>
        <w:t>Faculty Mentor: Dr. Javad Katibai</w:t>
        <w:br/>
        <w:t>Summer 2026 Term</w:t>
        <w:br/>
        <w:t>October 15, 2026</w:t>
      </w:r>
    </w:p>
    <w:p>
      <w:r>
        <w:br w:type="page"/>
      </w:r>
    </w:p>
    <w:p>
      <w:pPr>
        <w:keepNext/>
        <w:spacing w:before="320" w:after="160"/>
        <w:jc w:val="center"/>
      </w:pPr>
      <w:r>
        <w:rPr>
          <w:rFonts w:ascii="Times New Roman" w:hAnsi="Times New Roman"/>
          <w:b/>
          <w:color w:val="0F2240"/>
          <w:sz w:val="28"/>
        </w:rPr>
        <w:t>Executive Summary &amp; Project Repository</w:t>
      </w:r>
    </w:p>
    <w:p>
      <w:pPr>
        <w:spacing w:after="120" w:line="276" w:lineRule="auto"/>
        <w:jc w:val="left"/>
      </w:pPr>
      <w:r>
        <w:rPr>
          <w:rFonts w:ascii="Times New Roman" w:hAnsi="Times New Roman"/>
          <w:i w:val="0"/>
          <w:sz w:val="22"/>
        </w:rPr>
        <w:t>This Interim Capstone Report is submitted as a standalone academic document in partial fulfillment of the requirements for the Master of Science in Data Analytics and Artificial Intelligence at Walsh College. In accordance with the academic curriculum guidelines of QM640 V1, this report provides an autonomous, self-contained evaluation of the research design, empirical data cleaning, exploratory data analysis (EDA), statistical hypothesis testing, and preliminary machine learning modeling conducted on electric power generating facilities regulated under the United States Environmental Protection Agency (EPA) Clean Air Markets Program (CAMP).</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To support scientific reproducibility, public auditability, and academic evaluation, all raw data artifacts, engineered datasets, executable Jupyter Notebook (.ipynb), Python modeling scripts, statistical pipelines, and visualization routines have been systematically curated and deposited in the official project repository:</w:t>
      </w:r>
    </w:p>
    <w:p>
      <w:pPr>
        <w:spacing w:after="80" w:line="276" w:lineRule="auto"/>
        <w:jc w:val="left"/>
      </w:pPr>
      <w:r>
        <w:rPr>
          <w:rFonts w:ascii="Times New Roman" w:hAnsi="Times New Roman"/>
          <w:b/>
          <w:sz w:val="22"/>
        </w:rPr>
        <w:t xml:space="preserve">Project Repository: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 (and https://github.com/djmsritai-tech/QM640-Data-Analytics-Capstone/blob/main/QM640_Capstone_Analytics_Notebook_DhananjayVerma_0291493.ipynb)</w:t>
      </w:r>
    </w:p>
    <w:p>
      <w:pPr>
        <w:spacing w:after="240" w:line="276" w:lineRule="auto"/>
        <w:jc w:val="left"/>
      </w:pPr>
      <w:r>
        <w:rPr>
          <w:rFonts w:ascii="Times New Roman" w:hAnsi="Times New Roman"/>
          <w:b/>
          <w:sz w:val="22"/>
        </w:rPr>
        <w:t xml:space="preserve">Figure Directory: </w:t>
      </w:r>
      <w:r>
        <w:rPr>
          <w:rFonts w:ascii="Times New Roman" w:hAnsi="Times New Roman"/>
          <w:i w:val="0"/>
          <w:sz w:val="22"/>
        </w:rPr>
        <w:t>outputs/figures/ (11 APA 7 publication-grade figures at 300 DPI)</w:t>
      </w:r>
    </w:p>
    <w:p>
      <w:pPr>
        <w:spacing w:before="120" w:after="160" w:line="276" w:lineRule="auto"/>
        <w:ind w:left="576" w:right="576"/>
      </w:pPr>
      <w:r>
        <w:rPr>
          <w:rFonts w:ascii="Times New Roman" w:hAnsi="Times New Roman"/>
          <w:b/>
          <w:color w:val="1E4678"/>
          <w:sz w:val="20"/>
        </w:rPr>
        <w:t xml:space="preserve">Academic Standing Declaration: </w:t>
      </w:r>
      <w:r>
        <w:rPr>
          <w:rFonts w:ascii="Times New Roman" w:hAnsi="Times New Roman"/>
          <w:i/>
          <w:sz w:val="20"/>
        </w:rPr>
        <w:t>Standalone Academic Notice: While this Interim Report logically succeeds the initial Capstone Synopsis submitted in the Winter term, no prior dependency or external knowledge of the synopsis is required. A reader, evaluator, or regulatory auditor can comprehensively evaluate the theoretical foundation, analytical methodology, empirical results, and strategic implications from this standalone document alone.</w:t>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Atmospheric pollution originating from stationary combustion sources constitutes one of the most critical public health and environmental challenges of the modern industrial era. Electric power generation facilities—primarily those combusting fossil fuels including bituminous coal, sub-bituminous coal, pipeline natural gas, and residual fuel oils—are major point sources of criteria air pollutants. These combustion processes emit substantial quantities of sulfur dioxide (SO₂), nitrogen oxides (NOₓ), hazardous air pollutants such as mercury (Hg), and primary particulate matter (PM₂.₅ and PM₁₀). Epidemiological and economic studies have repeatedly demonstrated that ambient exposure to fine particulates and ground-level ozone causes severe cardiorespiratory illnesses, premature mortality, and regional ecological acidification (Harrington et al., 2004; Burtraw et al., 2012).</w:t>
      </w:r>
    </w:p>
    <w:p>
      <w:pPr>
        <w:spacing w:after="120" w:line="276" w:lineRule="auto"/>
        <w:jc w:val="left"/>
      </w:pPr>
      <w:r>
        <w:rPr>
          <w:rFonts w:ascii="Times New Roman" w:hAnsi="Times New Roman"/>
          <w:i w:val="0"/>
          <w:sz w:val="22"/>
        </w:rPr>
        <w:t>To curtail stationary source emissions, the United States Environmental Protection Agency (EPA) established market-based regulatory frameworks under the Clean Air Act Amendments of 1990. These initiatives encompass the Acid Rain Program (ARP), the Clean Air Interstate Rule (CAIR), the Cross-State Air Pollution Rule (CSAPR, including CSNOX and CSSO2G2), and the Mercury and Air Toxics Standards (MATS). Central to these market-oriented programs is the Clean Air Markets Program (CAMP), which couples statutory emission allowance trading with rigorous, continuous emission monitoring systems (CEMS) mandated under 40 CFR Part 75 (U.S. EPA, 2024). Under this regime, the EPA collects and publishes unit-level data capturing thermal capacities, primary and secondary fuel choices, boiler architectural configurations, and pollution abatement controls.</w:t>
      </w:r>
    </w:p>
    <w:p>
      <w:pPr>
        <w:spacing w:after="120" w:line="276" w:lineRule="auto"/>
        <w:jc w:val="left"/>
      </w:pPr>
      <w:r>
        <w:rPr>
          <w:rFonts w:ascii="Times New Roman" w:hAnsi="Times New Roman"/>
          <w:i w:val="0"/>
          <w:sz w:val="22"/>
        </w:rPr>
        <w:t>The operational setting of this research is the contemporary U.S. bulk power system during the calendar year 2025. The electric power sector is currently undergoing a structural transformation characterized by the rapid retirement of legacy coal-fired generating units, increased utilization of high-efficiency natural gas combined cycle (NGCC) plants, the deployment of fast-ramping combustion turbines for renewable intermittency balancing, and the impending enforcement of stricter environmental regulations (Ellis et al., 2019; Schmalensee &amp; Stavins, 2017). Within this setting, primary stakeholders include federal environmental regulators (EPA program administrators), regional transmission organizations (RTOs and ISOs), state environmental protection agencies, electric utility asset managers, and ESG investment analysts who require quantitative, data-driven models to benchmark emission compliance risk and project fleet transition trajectories.</w:t>
      </w:r>
    </w:p>
    <w:p>
      <w:pPr>
        <w:keepNext/>
        <w:spacing w:before="240" w:after="120"/>
        <w:jc w:val="left"/>
      </w:pPr>
      <w:r>
        <w:rPr>
          <w:rFonts w:ascii="Times New Roman" w:hAnsi="Times New Roman"/>
          <w:b/>
          <w:color w:val="19375F"/>
          <w:sz w:val="24"/>
        </w:rPr>
        <w:t>Problem Statement</w:t>
      </w:r>
    </w:p>
    <w:p>
      <w:pPr>
        <w:spacing w:after="120" w:line="276" w:lineRule="auto"/>
        <w:jc w:val="left"/>
      </w:pPr>
      <w:r>
        <w:rPr>
          <w:rFonts w:ascii="Times New Roman" w:hAnsi="Times New Roman"/>
          <w:i w:val="0"/>
          <w:sz w:val="22"/>
        </w:rPr>
        <w:t>Despite decades of standardized environmental regulations and mandatory reporting under the Clean Air Markets Program, operational thermal capacity and potential emission rates exhibit pronounced heterogeneity across the national generating fleet. Existing compliance frameworks frequently treat generating units as homogeneous technological entities within broad fuel categories, overlooking complex multidimensional interactions among boiler vintage, unit age, installed generation capacity, pollution control architectures, and regional regulatory enforcement. The absence of scalable, data-driven predictive and segmentation models limits the ability of environmental regulators to anticipate high-emission non-compliance risks proactively and impedes power plant operators from establishing empirical benchmarks for unit retrofitting or retirement. This research addresses this gap by synthesizing statistical inferential modeling with supervised and unsupervised machine learning to explain, predict, and segment facility-level operational intensity and compliance risk.</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primary purpose of this quantitative empirical study is fourfold: (a) to evaluate whether facility attributes—specifically primary fuel classification and boiler design—exert statistically significant effects on maximum hourly heat input rate and emission capacity; (b) to construct and validate supervised classification algorithms capable of predicting high-emission generating units based on operational features; (c) to assess the linear and non-linear bivariate and multivariate relationships between generating unit vintage (age) and thermal operational intensity; and (d) to formulate an unsupervised clustering framework that segments the U.S. power generation fleet into distinct, interpretable operational and emission-risk archetypes.</w:t>
      </w:r>
    </w:p>
    <w:p>
      <w:pPr>
        <w:keepNext/>
        <w:spacing w:before="240" w:after="120"/>
        <w:jc w:val="left"/>
      </w:pPr>
      <w:r>
        <w:rPr>
          <w:rFonts w:ascii="Times New Roman" w:hAnsi="Times New Roman"/>
          <w:b/>
          <w:color w:val="19375F"/>
          <w:sz w:val="24"/>
        </w:rPr>
        <w:t>Interim Project Status (Progress Snapshot)</w:t>
      </w:r>
    </w:p>
    <w:p>
      <w:pPr>
        <w:spacing w:after="120" w:line="276" w:lineRule="auto"/>
        <w:jc w:val="left"/>
      </w:pPr>
      <w:r>
        <w:rPr>
          <w:rFonts w:ascii="Times New Roman" w:hAnsi="Times New Roman"/>
          <w:i w:val="0"/>
          <w:sz w:val="22"/>
        </w:rPr>
        <w:t>A structured summary of completed, in-progress, and pending milestones is outlined below:</w:t>
      </w:r>
    </w:p>
    <w:p>
      <w:pPr>
        <w:spacing w:after="80" w:line="276" w:lineRule="auto"/>
        <w:jc w:val="left"/>
      </w:pPr>
      <w:r>
        <w:rPr>
          <w:rFonts w:ascii="Times New Roman" w:hAnsi="Times New Roman"/>
          <w:b/>
          <w:sz w:val="22"/>
        </w:rPr>
        <w:t xml:space="preserve">Completed: </w:t>
      </w:r>
      <w:r>
        <w:rPr>
          <w:rFonts w:ascii="Times New Roman" w:hAnsi="Times New Roman"/>
          <w:i w:val="0"/>
          <w:sz w:val="22"/>
        </w:rPr>
        <w:t>Data acquisition from EPA CAMPD bulk repository (N = 4,050 records, 30 variables); data cleaning pipeline; imputation strategy; duplicate validation; feature engineering of Unit Age, Capacity (MWe), Heat Input Rate, and Pollution Control counts; exploratory data analysis; statistical testing for RQ1 (ANOVA, Kruskal-Wallis, Tukey HSD); exploratory scatter and correlation matrices.</w:t>
      </w:r>
    </w:p>
    <w:p>
      <w:pPr>
        <w:spacing w:after="80" w:line="276" w:lineRule="auto"/>
        <w:jc w:val="left"/>
      </w:pPr>
      <w:r>
        <w:rPr>
          <w:rFonts w:ascii="Times New Roman" w:hAnsi="Times New Roman"/>
          <w:b/>
          <w:sz w:val="22"/>
        </w:rPr>
        <w:t xml:space="preserve">In Progress: </w:t>
      </w:r>
      <w:r>
        <w:rPr>
          <w:rFonts w:ascii="Times New Roman" w:hAnsi="Times New Roman"/>
          <w:i w:val="0"/>
          <w:sz w:val="22"/>
        </w:rPr>
        <w:t>Supervised machine learning model training and hyperparameter optimization (Logistic Regression, Random Forest, Gradient Boosting) for RQ2; OLS simple and multivariate regression modeling for RQ3; K-Means unsupervised clustering, Elbow WCSS optimization, Silhouette coefficient evaluation, and 2D Principal Component Analysis (PCA) for RQ4.</w:t>
      </w:r>
    </w:p>
    <w:p>
      <w:pPr>
        <w:spacing w:after="240" w:line="276" w:lineRule="auto"/>
        <w:jc w:val="left"/>
      </w:pPr>
      <w:r>
        <w:rPr>
          <w:rFonts w:ascii="Times New Roman" w:hAnsi="Times New Roman"/>
          <w:b/>
          <w:sz w:val="22"/>
        </w:rPr>
        <w:t xml:space="preserve">Pending: </w:t>
      </w:r>
      <w:r>
        <w:rPr>
          <w:rFonts w:ascii="Times New Roman" w:hAnsi="Times New Roman"/>
          <w:i w:val="0"/>
          <w:sz w:val="22"/>
        </w:rPr>
        <w:t>Longitudinal panel data expansion incorporating 2020-2024 historical CEMS hourly emissions; integration of state-level ambient air quality monitoring stations; deployment of SHAP (Shapley Additive exPlanations) values for global/local machine learning interpretability; formulation of prescriptive policy and retrofitting guidelines for the final capstone deliverable.</w:t>
      </w:r>
    </w:p>
    <w:p>
      <w:pPr>
        <w:keepNext/>
        <w:spacing w:before="240" w:after="120"/>
        <w:jc w:val="left"/>
      </w:pPr>
      <w:r>
        <w:rPr>
          <w:rFonts w:ascii="Times New Roman" w:hAnsi="Times New Roman"/>
          <w:b/>
          <w:color w:val="19375F"/>
          <w:sz w:val="24"/>
        </w:rPr>
        <w:t>Scope and Objectives</w:t>
      </w:r>
    </w:p>
    <w:p>
      <w:pPr>
        <w:spacing w:after="120" w:line="276" w:lineRule="auto"/>
        <w:jc w:val="left"/>
      </w:pPr>
      <w:r>
        <w:rPr>
          <w:rFonts w:ascii="Times New Roman" w:hAnsi="Times New Roman"/>
          <w:i w:val="0"/>
          <w:sz w:val="22"/>
        </w:rPr>
        <w:t>The spatial scope of this investigation encompasses all stationary electric utility and industrial power generating units located in the 50 U.S. states, the District of Columbia, and associated territories reporting under the EPA Clean Air Markets Program for the 2025 reporting period. The temporal scope focuses on cross-sectional operational attributes registered as of 2025. The study explicitly focuses on operational combustion parameters, installed capacity, pollution abatement equipment, and regulatory classifications. Detailed dispersion plume modeling, downstream meteorological transport simulations, human health epidemiological impact modeling, and corporate balance sheet financial accounting fall outside the immediate scope of this empirical investigation.</w:t>
      </w:r>
    </w:p>
    <w:p>
      <w:pPr>
        <w:keepNext/>
        <w:spacing w:before="240" w:after="120"/>
        <w:jc w:val="left"/>
      </w:pPr>
      <w:r>
        <w:rPr>
          <w:rFonts w:ascii="Times New Roman" w:hAnsi="Times New Roman"/>
          <w:b/>
          <w:color w:val="19375F"/>
          <w:sz w:val="24"/>
        </w:rPr>
        <w:t>Research Questions and Hypotheses</w:t>
      </w:r>
    </w:p>
    <w:p>
      <w:pPr>
        <w:spacing w:after="120" w:line="276" w:lineRule="auto"/>
        <w:jc w:val="left"/>
      </w:pPr>
      <w:r>
        <w:rPr>
          <w:rFonts w:ascii="Times New Roman" w:hAnsi="Times New Roman"/>
          <w:i w:val="0"/>
          <w:sz w:val="22"/>
        </w:rPr>
        <w:t>To provide rigorous quantitative resolution to the problem statement, four formal research questions (RQs) and associated statistical hypotheses are investigated:</w:t>
      </w:r>
    </w:p>
    <w:p>
      <w:pPr>
        <w:keepNext/>
        <w:spacing w:before="160" w:after="80"/>
        <w:jc w:val="left"/>
      </w:pPr>
      <w:r>
        <w:rPr>
          <w:rFonts w:ascii="Times New Roman" w:hAnsi="Times New Roman"/>
          <w:b/>
          <w:i/>
          <w:color w:val="282828"/>
          <w:sz w:val="22"/>
        </w:rPr>
        <w:t>Research Question 1 (RQ1): Emission &amp; Thermal Load Variability across Fuels</w:t>
      </w:r>
    </w:p>
    <w:p>
      <w:pPr>
        <w:spacing w:after="120" w:line="276" w:lineRule="auto"/>
        <w:jc w:val="left"/>
      </w:pPr>
      <w:r>
        <w:rPr>
          <w:rFonts w:ascii="Times New Roman" w:hAnsi="Times New Roman"/>
          <w:i w:val="0"/>
          <w:sz w:val="22"/>
        </w:rPr>
        <w:t>Do facility attributes, specifically primary fuel category and unit technology type, significantly influence maximum hourly heat input rates and operational combustion capacity across the U.S. power fleet?</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difference in mean or median maximum hourly heat input rates across primary fuel categories (μ_Coal = μ_Gas = μ_Oil = μ_Biomass).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Maximum hourly heat input rates differ significantly across primary fuel categories, with fossil solid fuels exhibiting systematically higher combustion capacities.</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Statistical Model: Heat_Input_Rate_ij = μ + α_i (Fuel_Category) + ε_ij, evaluated via One-Way Analysis of Variance (ANOVA) and non-parametric Kruskal-Wallis H-testing.</w:t>
      </w:r>
    </w:p>
    <w:p>
      <w:pPr>
        <w:keepNext/>
        <w:spacing w:before="160" w:after="80"/>
        <w:jc w:val="left"/>
      </w:pPr>
      <w:r>
        <w:rPr>
          <w:rFonts w:ascii="Times New Roman" w:hAnsi="Times New Roman"/>
          <w:b/>
          <w:i/>
          <w:color w:val="282828"/>
          <w:sz w:val="22"/>
        </w:rPr>
        <w:t>Research Question 2 (RQ2): Predictive Classification of High-Emission Units</w:t>
      </w:r>
    </w:p>
    <w:p>
      <w:pPr>
        <w:spacing w:after="120" w:line="276" w:lineRule="auto"/>
        <w:jc w:val="left"/>
      </w:pPr>
      <w:r>
        <w:rPr>
          <w:rFonts w:ascii="Times New Roman" w:hAnsi="Times New Roman"/>
          <w:i w:val="0"/>
          <w:sz w:val="22"/>
        </w:rPr>
        <w:t>Can facility and unit operational attributes (installed capacity, boiler vintage, pollution control count, and regional location) accurately classify and predict high-emission generating units (defined as units operating in the upper quartile, ≥ 75th percentile of national maximum hourly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Operational and technological attributes possess no predictive power (AUC ≤ 0.50, F1-score equal to random guessing) in classifying high-emission generating units.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Machine learning classifiers trained on unit attributes can predict high-emission facilities with superior discriminative performance (ROC-AUC ≥ 0.90, F1-score ≥ 0.80).</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Model Specifications: Regularized Logistic Regression, Random Forest Ensembles (MDI Gini splitting), and Gradient Boosting Classifiers evaluated via 5-fold stratified cross-validation.</w:t>
      </w:r>
    </w:p>
    <w:p>
      <w:pPr>
        <w:keepNext/>
        <w:spacing w:before="160" w:after="80"/>
        <w:jc w:val="left"/>
      </w:pPr>
      <w:r>
        <w:rPr>
          <w:rFonts w:ascii="Times New Roman" w:hAnsi="Times New Roman"/>
          <w:b/>
          <w:i/>
          <w:color w:val="282828"/>
          <w:sz w:val="22"/>
        </w:rPr>
        <w:t>Research Question 3 (RQ3): Unit Age and Operational Intensity Dynamics</w:t>
      </w:r>
    </w:p>
    <w:p>
      <w:pPr>
        <w:spacing w:after="120" w:line="276" w:lineRule="auto"/>
        <w:jc w:val="left"/>
      </w:pPr>
      <w:r>
        <w:rPr>
          <w:rFonts w:ascii="Times New Roman" w:hAnsi="Times New Roman"/>
          <w:i w:val="0"/>
          <w:sz w:val="22"/>
        </w:rPr>
        <w:t>What is the empirical nature, magnitude, and statistical significance of the relationship between generating unit age (vintage) and maximum thermal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linear or monotonic relationship between generating unit age and maximum hourly heat input rate (β_Age = 0; Pearson r = 0; Spearman ρ = 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A statistically significant positive relationship exists between unit age and thermal heat input rate (β_Age &gt; 0), reflecting the larger combustion volume of legacy baseload steam facilities.</w:t>
      </w:r>
    </w:p>
    <w:p>
      <w:pPr>
        <w:spacing w:after="160" w:line="276" w:lineRule="auto"/>
        <w:jc w:val="left"/>
      </w:pPr>
      <w:r>
        <w:rPr>
          <w:rFonts w:ascii="Times New Roman" w:hAnsi="Times New Roman"/>
          <w:b/>
          <w:sz w:val="22"/>
        </w:rPr>
        <w:t xml:space="preserve">Model Equations: </w:t>
      </w:r>
      <w:r>
        <w:rPr>
          <w:rFonts w:ascii="Times New Roman" w:hAnsi="Times New Roman"/>
          <w:i w:val="0"/>
          <w:sz w:val="22"/>
        </w:rPr>
        <w:t>Analytical Formulation: Bivariate Ordinary Least Squares (OLS): Heat_Input = β0 + β1(Age) + ε; Multivariate OLS: Heat_Input = β0 + β1(Age) + β2(Capacity_MW) + β3(Control_Count) + ε.</w:t>
      </w:r>
    </w:p>
    <w:p>
      <w:pPr>
        <w:keepNext/>
        <w:spacing w:before="160" w:after="80"/>
        <w:jc w:val="left"/>
      </w:pPr>
      <w:r>
        <w:rPr>
          <w:rFonts w:ascii="Times New Roman" w:hAnsi="Times New Roman"/>
          <w:b/>
          <w:i/>
          <w:color w:val="282828"/>
          <w:sz w:val="22"/>
        </w:rPr>
        <w:t>Research Question 4 (RQ4): Unsupervised Operational Segmentation &amp; Archetypes</w:t>
      </w:r>
    </w:p>
    <w:p>
      <w:pPr>
        <w:spacing w:after="120" w:line="276" w:lineRule="auto"/>
        <w:jc w:val="left"/>
      </w:pPr>
      <w:r>
        <w:rPr>
          <w:rFonts w:ascii="Times New Roman" w:hAnsi="Times New Roman"/>
          <w:i w:val="0"/>
          <w:sz w:val="22"/>
        </w:rPr>
        <w:t>Can the heterogeneous national generating fleet be partitioned into distinct, objectively validated operational clusters based on continuous attributes of capacity, thermal input, unit age, and pollution control adoption?</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Power generation units form a continuous, undifferentiated operational distribution with no identifiable, cohesive clustering structure (Silhouette score ≤ 0.20).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Generating facilities naturally cluster into distinct, interpretable operational archetypes exhibiting substantial between-cluster separation and within-cluster cohesion.</w:t>
      </w:r>
    </w:p>
    <w:p>
      <w:pPr>
        <w:spacing w:after="240" w:line="276" w:lineRule="auto"/>
        <w:jc w:val="left"/>
      </w:pPr>
      <w:r>
        <w:rPr>
          <w:rFonts w:ascii="Times New Roman" w:hAnsi="Times New Roman"/>
          <w:b/>
          <w:sz w:val="22"/>
        </w:rPr>
        <w:t xml:space="preserve">Clustering Framework: </w:t>
      </w:r>
      <w:r>
        <w:rPr>
          <w:rFonts w:ascii="Times New Roman" w:hAnsi="Times New Roman"/>
          <w:i w:val="0"/>
          <w:sz w:val="22"/>
        </w:rPr>
        <w:t>Analytical Formulation: K-Means clustering across standardized multidimensional space; cluster count selection via Within-Cluster Sum of Squares (Inertia Elbow) and Silhouette coefficient optimization; 2D projection via Principal Component Analysis (PCA).</w:t>
      </w:r>
    </w:p>
    <w:p>
      <w:pPr>
        <w:keepNext/>
        <w:spacing w:before="320" w:after="160"/>
        <w:jc w:val="center"/>
      </w:pPr>
      <w:r>
        <w:rPr>
          <w:rFonts w:ascii="Times New Roman" w:hAnsi="Times New Roman"/>
          <w:b/>
          <w:color w:val="0F2240"/>
          <w:sz w:val="28"/>
        </w:rPr>
        <w:t>2. Literature Survey</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A systematic literature review was conducted to synthesize empirical methodologies, economic theories, and environmental engineering principles relevant to facility-level emissions, air pollution regulatory compliance, and machine learning applications in energy systems. Electronic databases queried included IEEE Xplore, ScienceDirect, Elsevier Energy Policy, SpringerLink, JSTOR, and Google Scholar. The query syntax utilized Boolean logic: ('Clean Air Markets Program' OR 'Acid Rain Program' OR 'CAMPD') AND ('facility attributes' OR 'boiler vintage' OR 'heat input') AND ('machine learning' OR 'clustering' OR 'classification' OR 'ANOVA').</w:t>
      </w:r>
    </w:p>
    <w:p>
      <w:pPr>
        <w:spacing w:after="120" w:line="276" w:lineRule="auto"/>
        <w:jc w:val="left"/>
      </w:pPr>
      <w:r>
        <w:rPr>
          <w:rFonts w:ascii="Times New Roman" w:hAnsi="Times New Roman"/>
          <w:i w:val="0"/>
          <w:sz w:val="22"/>
        </w:rPr>
        <w:t>Inclusion criteria required peer-reviewed journal articles, foundational statistical texts, or authoritative government reports published between 1952 and 2024 that addressed stationary combustion sources, environmental policy instruments, non-parametric hypothesis testing, regression diagnostics, or industrial clustering. Theoretical publications lacking empirical grounding or studies restricted entirely to mobile vehicular emissions were excluded. A total of 14 seminal sources were identified and synthesized.</w:t>
      </w:r>
    </w:p>
    <w:p>
      <w:pPr>
        <w:keepNext/>
        <w:spacing w:before="240" w:after="120"/>
        <w:jc w:val="left"/>
      </w:pPr>
      <w:r>
        <w:rPr>
          <w:rFonts w:ascii="Times New Roman" w:hAnsi="Times New Roman"/>
          <w:b/>
          <w:color w:val="19375F"/>
          <w:sz w:val="24"/>
        </w:rPr>
        <w:t>Summary of Key Literature</w:t>
      </w:r>
    </w:p>
    <w:p>
      <w:pPr>
        <w:spacing w:after="120" w:line="276" w:lineRule="auto"/>
        <w:jc w:val="left"/>
      </w:pPr>
      <w:r>
        <w:rPr>
          <w:rFonts w:ascii="Times New Roman" w:hAnsi="Times New Roman"/>
          <w:i w:val="0"/>
          <w:sz w:val="22"/>
        </w:rPr>
        <w:t>The 14 foundational sources are itemized in Table 1, summarizing author credentials, publication year, operational domain, underlying datasets, analytical methods, empirical findings, and direct linkage to the research questions investigated in this capstone.</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Environmental Regulation</w:t>
            </w:r>
          </w:p>
        </w:tc>
        <w:tc>
          <w:tcPr>
            <w:tcW w:type="dxa" w:w="1440"/>
          </w:tcPr>
          <w:p>
            <w:pPr>
              <w:spacing w:before="40" w:after="40" w:line="252" w:lineRule="auto"/>
              <w:jc w:val="left"/>
            </w:pPr>
            <w:r>
              <w:rPr>
                <w:rFonts w:ascii="Times New Roman" w:hAnsi="Times New Roman"/>
                <w:sz w:val="18"/>
              </w:rPr>
              <w:t>EPA CAMPD Bulk Files (2024-2025)</w:t>
            </w:r>
          </w:p>
        </w:tc>
        <w:tc>
          <w:tcPr>
            <w:tcW w:type="dxa" w:w="1584"/>
          </w:tcPr>
          <w:p>
            <w:pPr>
              <w:spacing w:before="40" w:after="40" w:line="252" w:lineRule="auto"/>
              <w:jc w:val="left"/>
            </w:pPr>
            <w:r>
              <w:rPr>
                <w:rFonts w:ascii="Times New Roman" w:hAnsi="Times New Roman"/>
                <w:sz w:val="18"/>
              </w:rPr>
              <w:t>Continuous Emission Monitoring (CEMS), 40 CFR 75</w:t>
            </w:r>
          </w:p>
        </w:tc>
        <w:tc>
          <w:tcPr>
            <w:tcW w:type="dxa" w:w="1872"/>
          </w:tcPr>
          <w:p>
            <w:pPr>
              <w:spacing w:before="40" w:after="40" w:line="252" w:lineRule="auto"/>
              <w:jc w:val="left"/>
            </w:pPr>
            <w:r>
              <w:rPr>
                <w:rFonts w:ascii="Times New Roman" w:hAnsi="Times New Roman"/>
                <w:sz w:val="18"/>
              </w:rPr>
              <w:t>Transparency in reporting drives compliance; fuel and boiler design govern baseline emissions.</w:t>
            </w:r>
          </w:p>
        </w:tc>
        <w:tc>
          <w:tcPr>
            <w:tcW w:type="dxa" w:w="2160"/>
          </w:tcPr>
          <w:p>
            <w:pPr>
              <w:spacing w:before="40" w:after="40" w:line="252" w:lineRule="auto"/>
              <w:jc w:val="left"/>
            </w:pPr>
            <w:r>
              <w:rPr>
                <w:rFonts w:ascii="Times New Roman" w:hAnsi="Times New Roman"/>
                <w:sz w:val="18"/>
              </w:rPr>
              <w:t>Provides raw data schema, unit-level dictionary, and regulatory baseline for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&amp; Environmental Policy</w:t>
            </w:r>
          </w:p>
        </w:tc>
        <w:tc>
          <w:tcPr>
            <w:tcW w:type="dxa" w:w="1440"/>
            <w:shd w:fill="FAFAFA"/>
          </w:tcPr>
          <w:p>
            <w:pPr>
              <w:spacing w:before="40" w:after="40" w:line="252" w:lineRule="auto"/>
              <w:jc w:val="left"/>
            </w:pPr>
            <w:r>
              <w:rPr>
                <w:rFonts w:ascii="Times New Roman" w:hAnsi="Times New Roman"/>
                <w:sz w:val="18"/>
              </w:rPr>
              <w:t>U.S. Power Plant Panel (2000-2016)</w:t>
            </w:r>
          </w:p>
        </w:tc>
        <w:tc>
          <w:tcPr>
            <w:tcW w:type="dxa" w:w="1584"/>
            <w:shd w:fill="FAFAFA"/>
          </w:tcPr>
          <w:p>
            <w:pPr>
              <w:spacing w:before="40" w:after="40" w:line="252" w:lineRule="auto"/>
              <w:jc w:val="left"/>
            </w:pPr>
            <w:r>
              <w:rPr>
                <w:rFonts w:ascii="Times New Roman" w:hAnsi="Times New Roman"/>
                <w:sz w:val="18"/>
              </w:rPr>
              <w:t>Fixed Effects Econometrics, Panel Regression</w:t>
            </w:r>
          </w:p>
        </w:tc>
        <w:tc>
          <w:tcPr>
            <w:tcW w:type="dxa" w:w="1872"/>
            <w:shd w:fill="FAFAFA"/>
          </w:tcPr>
          <w:p>
            <w:pPr>
              <w:spacing w:before="40" w:after="40" w:line="252" w:lineRule="auto"/>
              <w:jc w:val="left"/>
            </w:pPr>
            <w:r>
              <w:rPr>
                <w:rFonts w:ascii="Times New Roman" w:hAnsi="Times New Roman"/>
                <w:sz w:val="18"/>
              </w:rPr>
              <w:t>Market-based programs induced massive fuel switching from coal to natural gas, reducing SO2 by &gt;80%.</w:t>
            </w:r>
          </w:p>
        </w:tc>
        <w:tc>
          <w:tcPr>
            <w:tcW w:type="dxa" w:w="2160"/>
            <w:shd w:fill="FAFAFA"/>
          </w:tcPr>
          <w:p>
            <w:pPr>
              <w:spacing w:before="40" w:after="40" w:line="252" w:lineRule="auto"/>
              <w:jc w:val="left"/>
            </w:pPr>
            <w:r>
              <w:rPr>
                <w:rFonts w:ascii="Times New Roman" w:hAnsi="Times New Roman"/>
                <w:sz w:val="18"/>
              </w:rPr>
              <w:t>Supports fuel category grouping (RQ1) and feature selection for predictive classification (RQ2).</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Resource Economics</w:t>
            </w:r>
          </w:p>
        </w:tc>
        <w:tc>
          <w:tcPr>
            <w:tcW w:type="dxa" w:w="1440"/>
          </w:tcPr>
          <w:p>
            <w:pPr>
              <w:spacing w:before="40" w:after="40" w:line="252" w:lineRule="auto"/>
              <w:jc w:val="left"/>
            </w:pPr>
            <w:r>
              <w:rPr>
                <w:rFonts w:ascii="Times New Roman" w:hAnsi="Times New Roman"/>
                <w:sz w:val="18"/>
              </w:rPr>
              <w:t>3 Decades of Cap-and-Trade Systems</w:t>
            </w:r>
          </w:p>
        </w:tc>
        <w:tc>
          <w:tcPr>
            <w:tcW w:type="dxa" w:w="1584"/>
          </w:tcPr>
          <w:p>
            <w:pPr>
              <w:spacing w:before="40" w:after="40" w:line="252" w:lineRule="auto"/>
              <w:jc w:val="left"/>
            </w:pPr>
            <w:r>
              <w:rPr>
                <w:rFonts w:ascii="Times New Roman" w:hAnsi="Times New Roman"/>
                <w:sz w:val="18"/>
              </w:rPr>
              <w:t>Policy Retrospective, Cost-Benefit Analysis</w:t>
            </w:r>
          </w:p>
        </w:tc>
        <w:tc>
          <w:tcPr>
            <w:tcW w:type="dxa" w:w="1872"/>
          </w:tcPr>
          <w:p>
            <w:pPr>
              <w:spacing w:before="40" w:after="40" w:line="252" w:lineRule="auto"/>
              <w:jc w:val="left"/>
            </w:pPr>
            <w:r>
              <w:rPr>
                <w:rFonts w:ascii="Times New Roman" w:hAnsi="Times New Roman"/>
                <w:sz w:val="18"/>
              </w:rPr>
              <w:t>Allowance trading achieved emission reductions at a fraction of command-and-control costs.</w:t>
            </w:r>
          </w:p>
        </w:tc>
        <w:tc>
          <w:tcPr>
            <w:tcW w:type="dxa" w:w="2160"/>
          </w:tcPr>
          <w:p>
            <w:pPr>
              <w:spacing w:before="40" w:after="40" w:line="252" w:lineRule="auto"/>
              <w:jc w:val="left"/>
            </w:pPr>
            <w:r>
              <w:rPr>
                <w:rFonts w:ascii="Times New Roman" w:hAnsi="Times New Roman"/>
                <w:sz w:val="18"/>
              </w:rPr>
              <w:t>Theoretical justification for regulatory program codes (ARP, CSNOX, MATS) as predictive features.</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Market Modeling</w:t>
            </w:r>
          </w:p>
        </w:tc>
        <w:tc>
          <w:tcPr>
            <w:tcW w:type="dxa" w:w="1440"/>
            <w:shd w:fill="FAFAFA"/>
          </w:tcPr>
          <w:p>
            <w:pPr>
              <w:spacing w:before="40" w:after="40" w:line="252" w:lineRule="auto"/>
              <w:jc w:val="left"/>
            </w:pPr>
            <w:r>
              <w:rPr>
                <w:rFonts w:ascii="Times New Roman" w:hAnsi="Times New Roman"/>
                <w:sz w:val="18"/>
              </w:rPr>
              <w:t>U.S. Electric Reliability Councils</w:t>
            </w:r>
          </w:p>
        </w:tc>
        <w:tc>
          <w:tcPr>
            <w:tcW w:type="dxa" w:w="1584"/>
            <w:shd w:fill="FAFAFA"/>
          </w:tcPr>
          <w:p>
            <w:pPr>
              <w:spacing w:before="40" w:after="40" w:line="252" w:lineRule="auto"/>
              <w:jc w:val="left"/>
            </w:pPr>
            <w:r>
              <w:rPr>
                <w:rFonts w:ascii="Times New Roman" w:hAnsi="Times New Roman"/>
                <w:sz w:val="18"/>
              </w:rPr>
              <w:t>Linear Programming, Simulation Modeling</w:t>
            </w:r>
          </w:p>
        </w:tc>
        <w:tc>
          <w:tcPr>
            <w:tcW w:type="dxa" w:w="1872"/>
            <w:shd w:fill="FAFAFA"/>
          </w:tcPr>
          <w:p>
            <w:pPr>
              <w:spacing w:before="40" w:after="40" w:line="252" w:lineRule="auto"/>
              <w:jc w:val="left"/>
            </w:pPr>
            <w:r>
              <w:rPr>
                <w:rFonts w:ascii="Times New Roman" w:hAnsi="Times New Roman"/>
                <w:sz w:val="18"/>
              </w:rPr>
              <w:t>Fleet reliability under carbon/emission constraints depends heavily on unit age and ramping speed.</w:t>
            </w:r>
          </w:p>
        </w:tc>
        <w:tc>
          <w:tcPr>
            <w:tcW w:type="dxa" w:w="2160"/>
            <w:shd w:fill="FAFAFA"/>
          </w:tcPr>
          <w:p>
            <w:pPr>
              <w:spacing w:before="40" w:after="40" w:line="252" w:lineRule="auto"/>
              <w:jc w:val="left"/>
            </w:pPr>
            <w:r>
              <w:rPr>
                <w:rFonts w:ascii="Times New Roman" w:hAnsi="Times New Roman"/>
                <w:sz w:val="18"/>
              </w:rPr>
              <w:t>Directly links unit vintage and thermal heat input rate to operational risk (RQ3).</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Environmental Policy Instruments</w:t>
            </w:r>
          </w:p>
        </w:tc>
        <w:tc>
          <w:tcPr>
            <w:tcW w:type="dxa" w:w="1440"/>
          </w:tcPr>
          <w:p>
            <w:pPr>
              <w:spacing w:before="40" w:after="40" w:line="252" w:lineRule="auto"/>
              <w:jc w:val="left"/>
            </w:pPr>
            <w:r>
              <w:rPr>
                <w:rFonts w:ascii="Times New Roman" w:hAnsi="Times New Roman"/>
                <w:sz w:val="18"/>
              </w:rPr>
              <w:t>Comparative U.S. and European Fleets</w:t>
            </w:r>
          </w:p>
        </w:tc>
        <w:tc>
          <w:tcPr>
            <w:tcW w:type="dxa" w:w="1584"/>
          </w:tcPr>
          <w:p>
            <w:pPr>
              <w:spacing w:before="40" w:after="40" w:line="252" w:lineRule="auto"/>
              <w:jc w:val="left"/>
            </w:pPr>
            <w:r>
              <w:rPr>
                <w:rFonts w:ascii="Times New Roman" w:hAnsi="Times New Roman"/>
                <w:sz w:val="18"/>
              </w:rPr>
              <w:t>Comparative Institutional Analysis</w:t>
            </w:r>
          </w:p>
        </w:tc>
        <w:tc>
          <w:tcPr>
            <w:tcW w:type="dxa" w:w="1872"/>
          </w:tcPr>
          <w:p>
            <w:pPr>
              <w:spacing w:before="40" w:after="40" w:line="252" w:lineRule="auto"/>
              <w:jc w:val="left"/>
            </w:pPr>
            <w:r>
              <w:rPr>
                <w:rFonts w:ascii="Times New Roman" w:hAnsi="Times New Roman"/>
                <w:sz w:val="18"/>
              </w:rPr>
              <w:t>Economic incentives outperform prescriptive standards only when continuous monitoring is robust.</w:t>
            </w:r>
          </w:p>
        </w:tc>
        <w:tc>
          <w:tcPr>
            <w:tcW w:type="dxa" w:w="2160"/>
          </w:tcPr>
          <w:p>
            <w:pPr>
              <w:spacing w:before="40" w:after="40" w:line="252" w:lineRule="auto"/>
              <w:jc w:val="left"/>
            </w:pPr>
            <w:r>
              <w:rPr>
                <w:rFonts w:ascii="Times New Roman" w:hAnsi="Times New Roman"/>
                <w:sz w:val="18"/>
              </w:rPr>
              <w:t>Justifies using continuous heat input and control counts as objective compliance indicators.</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Statistics</w:t>
            </w:r>
          </w:p>
        </w:tc>
        <w:tc>
          <w:tcPr>
            <w:tcW w:type="dxa" w:w="1440"/>
            <w:shd w:fill="FAFAFA"/>
          </w:tcPr>
          <w:p>
            <w:pPr>
              <w:spacing w:before="40" w:after="40" w:line="252" w:lineRule="auto"/>
              <w:jc w:val="left"/>
            </w:pPr>
            <w:r>
              <w:rPr>
                <w:rFonts w:ascii="Times New Roman" w:hAnsi="Times New Roman"/>
                <w:sz w:val="18"/>
              </w:rPr>
              <w:t>Textbook &amp; Reference Compendium</w:t>
            </w:r>
          </w:p>
        </w:tc>
        <w:tc>
          <w:tcPr>
            <w:tcW w:type="dxa" w:w="1584"/>
            <w:shd w:fill="FAFAFA"/>
          </w:tcPr>
          <w:p>
            <w:pPr>
              <w:spacing w:before="40" w:after="40" w:line="252" w:lineRule="auto"/>
              <w:jc w:val="left"/>
            </w:pPr>
            <w:r>
              <w:rPr>
                <w:rFonts w:ascii="Times New Roman" w:hAnsi="Times New Roman"/>
                <w:sz w:val="18"/>
              </w:rPr>
              <w:t>Kruskal-Wallis, Wilcoxon-Mann-Whitney Tests</w:t>
            </w:r>
          </w:p>
        </w:tc>
        <w:tc>
          <w:tcPr>
            <w:tcW w:type="dxa" w:w="1872"/>
            <w:shd w:fill="FAFAFA"/>
          </w:tcPr>
          <w:p>
            <w:pPr>
              <w:spacing w:before="40" w:after="40" w:line="252" w:lineRule="auto"/>
              <w:jc w:val="left"/>
            </w:pPr>
            <w:r>
              <w:rPr>
                <w:rFonts w:ascii="Times New Roman" w:hAnsi="Times New Roman"/>
                <w:sz w:val="18"/>
              </w:rPr>
              <w:t>Rank-based non-parametric tests maintain statistical power when normality assumptions fail in skewed data.</w:t>
            </w:r>
          </w:p>
        </w:tc>
        <w:tc>
          <w:tcPr>
            <w:tcW w:type="dxa" w:w="2160"/>
            <w:shd w:fill="FAFAFA"/>
          </w:tcPr>
          <w:p>
            <w:pPr>
              <w:spacing w:before="40" w:after="40" w:line="252" w:lineRule="auto"/>
              <w:jc w:val="left"/>
            </w:pPr>
            <w:r>
              <w:rPr>
                <w:rFonts w:ascii="Times New Roman" w:hAnsi="Times New Roman"/>
                <w:sz w:val="18"/>
              </w:rPr>
              <w:t>Direct methodological framework for non-parametric Kruskal-Wallis testing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Statistical Inference</w:t>
            </w:r>
          </w:p>
        </w:tc>
        <w:tc>
          <w:tcPr>
            <w:tcW w:type="dxa" w:w="1440"/>
          </w:tcPr>
          <w:p>
            <w:pPr>
              <w:spacing w:before="40" w:after="40" w:line="252" w:lineRule="auto"/>
              <w:jc w:val="left"/>
            </w:pPr>
            <w:r>
              <w:rPr>
                <w:rFonts w:ascii="Times New Roman" w:hAnsi="Times New Roman"/>
                <w:sz w:val="18"/>
              </w:rPr>
              <w:t>Foundational Mathematical Text</w:t>
            </w:r>
          </w:p>
        </w:tc>
        <w:tc>
          <w:tcPr>
            <w:tcW w:type="dxa" w:w="1584"/>
          </w:tcPr>
          <w:p>
            <w:pPr>
              <w:spacing w:before="40" w:after="40" w:line="252" w:lineRule="auto"/>
              <w:jc w:val="left"/>
            </w:pPr>
            <w:r>
              <w:rPr>
                <w:rFonts w:ascii="Times New Roman" w:hAnsi="Times New Roman"/>
                <w:sz w:val="18"/>
              </w:rPr>
              <w:t>Distribution-Free Inferences, Effect Sizes</w:t>
            </w:r>
          </w:p>
        </w:tc>
        <w:tc>
          <w:tcPr>
            <w:tcW w:type="dxa" w:w="1872"/>
          </w:tcPr>
          <w:p>
            <w:pPr>
              <w:spacing w:before="40" w:after="40" w:line="252" w:lineRule="auto"/>
              <w:jc w:val="left"/>
            </w:pPr>
            <w:r>
              <w:rPr>
                <w:rFonts w:ascii="Times New Roman" w:hAnsi="Times New Roman"/>
                <w:sz w:val="18"/>
              </w:rPr>
              <w:t>Formulated asymptotic relative efficiency and rank transformation mechanics for heavy-tailed data.</w:t>
            </w:r>
          </w:p>
        </w:tc>
        <w:tc>
          <w:tcPr>
            <w:tcW w:type="dxa" w:w="2160"/>
          </w:tcPr>
          <w:p>
            <w:pPr>
              <w:spacing w:before="40" w:after="40" w:line="252" w:lineRule="auto"/>
              <w:jc w:val="left"/>
            </w:pPr>
            <w:r>
              <w:rPr>
                <w:rFonts w:ascii="Times New Roman" w:hAnsi="Times New Roman"/>
                <w:sz w:val="18"/>
              </w:rPr>
              <w:t>Provides mathematical rigor for post-hoc pairwise multiple comparison adjustments.</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Econometrics &amp; Regression</w:t>
            </w:r>
          </w:p>
        </w:tc>
        <w:tc>
          <w:tcPr>
            <w:tcW w:type="dxa" w:w="1440"/>
            <w:shd w:fill="FAFAFA"/>
          </w:tcPr>
          <w:p>
            <w:pPr>
              <w:spacing w:before="40" w:after="40" w:line="252" w:lineRule="auto"/>
              <w:jc w:val="left"/>
            </w:pPr>
            <w:r>
              <w:rPr>
                <w:rFonts w:ascii="Times New Roman" w:hAnsi="Times New Roman"/>
                <w:sz w:val="18"/>
              </w:rPr>
              <w:t>Industrial Engineering Applications</w:t>
            </w:r>
          </w:p>
        </w:tc>
        <w:tc>
          <w:tcPr>
            <w:tcW w:type="dxa" w:w="1584"/>
            <w:shd w:fill="FAFAFA"/>
          </w:tcPr>
          <w:p>
            <w:pPr>
              <w:spacing w:before="40" w:after="40" w:line="252" w:lineRule="auto"/>
              <w:jc w:val="left"/>
            </w:pPr>
            <w:r>
              <w:rPr>
                <w:rFonts w:ascii="Times New Roman" w:hAnsi="Times New Roman"/>
                <w:sz w:val="18"/>
              </w:rPr>
              <w:t>OLS, Multicollinearity VIF, Residual Diagnostics</w:t>
            </w:r>
          </w:p>
        </w:tc>
        <w:tc>
          <w:tcPr>
            <w:tcW w:type="dxa" w:w="1872"/>
            <w:shd w:fill="FAFAFA"/>
          </w:tcPr>
          <w:p>
            <w:pPr>
              <w:spacing w:before="40" w:after="40" w:line="252" w:lineRule="auto"/>
              <w:jc w:val="left"/>
            </w:pPr>
            <w:r>
              <w:rPr>
                <w:rFonts w:ascii="Times New Roman" w:hAnsi="Times New Roman"/>
                <w:sz w:val="18"/>
              </w:rPr>
              <w:t>Outlines Gauss-Markov assumptions, heteroscedasticity remedies, and multivariate regression.</w:t>
            </w:r>
          </w:p>
        </w:tc>
        <w:tc>
          <w:tcPr>
            <w:tcW w:type="dxa" w:w="2160"/>
            <w:shd w:fill="FAFAFA"/>
          </w:tcPr>
          <w:p>
            <w:pPr>
              <w:spacing w:before="40" w:after="40" w:line="252" w:lineRule="auto"/>
              <w:jc w:val="left"/>
            </w:pPr>
            <w:r>
              <w:rPr>
                <w:rFonts w:ascii="Times New Roman" w:hAnsi="Times New Roman"/>
                <w:sz w:val="18"/>
              </w:rPr>
              <w:t>Methodological blueprint for bivariate and multivariate regression modeling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Applied Data Analytics</w:t>
            </w:r>
          </w:p>
        </w:tc>
        <w:tc>
          <w:tcPr>
            <w:tcW w:type="dxa" w:w="1440"/>
          </w:tcPr>
          <w:p>
            <w:pPr>
              <w:spacing w:before="40" w:after="40" w:line="252" w:lineRule="auto"/>
              <w:jc w:val="left"/>
            </w:pPr>
            <w:r>
              <w:rPr>
                <w:rFonts w:ascii="Times New Roman" w:hAnsi="Times New Roman"/>
                <w:sz w:val="18"/>
              </w:rPr>
              <w:t>Statistical Modeling Handbook</w:t>
            </w:r>
          </w:p>
        </w:tc>
        <w:tc>
          <w:tcPr>
            <w:tcW w:type="dxa" w:w="1584"/>
          </w:tcPr>
          <w:p>
            <w:pPr>
              <w:spacing w:before="40" w:after="40" w:line="252" w:lineRule="auto"/>
              <w:jc w:val="left"/>
            </w:pPr>
            <w:r>
              <w:rPr>
                <w:rFonts w:ascii="Times New Roman" w:hAnsi="Times New Roman"/>
                <w:sz w:val="18"/>
              </w:rPr>
              <w:t>ANOVA, Effect Size (Eta-Squared), Post-Hoc Tests</w:t>
            </w:r>
          </w:p>
        </w:tc>
        <w:tc>
          <w:tcPr>
            <w:tcW w:type="dxa" w:w="1872"/>
          </w:tcPr>
          <w:p>
            <w:pPr>
              <w:spacing w:before="40" w:after="40" w:line="252" w:lineRule="auto"/>
              <w:jc w:val="left"/>
            </w:pPr>
            <w:r>
              <w:rPr>
                <w:rFonts w:ascii="Times New Roman" w:hAnsi="Times New Roman"/>
                <w:sz w:val="18"/>
              </w:rPr>
              <w:t>Detailing ANOVA variance decomposition, SS_between, SS_within, and Tukey HSD test formulations.</w:t>
            </w:r>
          </w:p>
        </w:tc>
        <w:tc>
          <w:tcPr>
            <w:tcW w:type="dxa" w:w="2160"/>
          </w:tcPr>
          <w:p>
            <w:pPr>
              <w:spacing w:before="40" w:after="40" w:line="252" w:lineRule="auto"/>
              <w:jc w:val="left"/>
            </w:pPr>
            <w:r>
              <w:rPr>
                <w:rFonts w:ascii="Times New Roman" w:hAnsi="Times New Roman"/>
                <w:sz w:val="18"/>
              </w:rPr>
              <w:t>Supplies calculation formulas for ANOVA F-statistic and Eta-squared effect size in RQ1.</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w:t>
            </w:r>
          </w:p>
        </w:tc>
        <w:tc>
          <w:tcPr>
            <w:tcW w:type="dxa" w:w="1440"/>
            <w:shd w:fill="FAFAFA"/>
          </w:tcPr>
          <w:p>
            <w:pPr>
              <w:spacing w:before="40" w:after="40" w:line="252" w:lineRule="auto"/>
              <w:jc w:val="left"/>
            </w:pPr>
            <w:r>
              <w:rPr>
                <w:rFonts w:ascii="Times New Roman" w:hAnsi="Times New Roman"/>
                <w:sz w:val="18"/>
              </w:rPr>
              <w:t>Mathematical Statistics Reference</w:t>
            </w:r>
          </w:p>
        </w:tc>
        <w:tc>
          <w:tcPr>
            <w:tcW w:type="dxa" w:w="1584"/>
            <w:shd w:fill="FAFAFA"/>
          </w:tcPr>
          <w:p>
            <w:pPr>
              <w:spacing w:before="40" w:after="40" w:line="252" w:lineRule="auto"/>
              <w:jc w:val="left"/>
            </w:pPr>
            <w:r>
              <w:rPr>
                <w:rFonts w:ascii="Times New Roman" w:hAnsi="Times New Roman"/>
                <w:sz w:val="18"/>
              </w:rPr>
              <w:t>Stratified Sampling, Power Analysis</w:t>
            </w:r>
          </w:p>
        </w:tc>
        <w:tc>
          <w:tcPr>
            <w:tcW w:type="dxa" w:w="1872"/>
            <w:shd w:fill="FAFAFA"/>
          </w:tcPr>
          <w:p>
            <w:pPr>
              <w:spacing w:before="40" w:after="40" w:line="252" w:lineRule="auto"/>
              <w:jc w:val="left"/>
            </w:pPr>
            <w:r>
              <w:rPr>
                <w:rFonts w:ascii="Times New Roman" w:hAnsi="Times New Roman"/>
                <w:sz w:val="18"/>
              </w:rPr>
              <w:t>Established sample size lower bounds for group comparison and variance estimation across strata.</w:t>
            </w:r>
          </w:p>
        </w:tc>
        <w:tc>
          <w:tcPr>
            <w:tcW w:type="dxa" w:w="2160"/>
            <w:shd w:fill="FAFAFA"/>
          </w:tcPr>
          <w:p>
            <w:pPr>
              <w:spacing w:before="40" w:after="40" w:line="252" w:lineRule="auto"/>
              <w:jc w:val="left"/>
            </w:pPr>
            <w:r>
              <w:rPr>
                <w:rFonts w:ascii="Times New Roman" w:hAnsi="Times New Roman"/>
                <w:sz w:val="18"/>
              </w:rPr>
              <w:t>Validates sample size adequacy (N = 4,050 exceeds minimum required sample of 180).</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Original Methodological Derivation</w:t>
            </w:r>
          </w:p>
        </w:tc>
        <w:tc>
          <w:tcPr>
            <w:tcW w:type="dxa" w:w="1584"/>
          </w:tcPr>
          <w:p>
            <w:pPr>
              <w:spacing w:before="40" w:after="40" w:line="252" w:lineRule="auto"/>
              <w:jc w:val="left"/>
            </w:pPr>
            <w:r>
              <w:rPr>
                <w:rFonts w:ascii="Times New Roman" w:hAnsi="Times New Roman"/>
                <w:sz w:val="18"/>
              </w:rPr>
              <w:t>H-statistic Rank Sum Derivation</w:t>
            </w:r>
          </w:p>
        </w:tc>
        <w:tc>
          <w:tcPr>
            <w:tcW w:type="dxa" w:w="1872"/>
          </w:tcPr>
          <w:p>
            <w:pPr>
              <w:spacing w:before="40" w:after="40" w:line="252" w:lineRule="auto"/>
              <w:jc w:val="left"/>
            </w:pPr>
            <w:r>
              <w:rPr>
                <w:rFonts w:ascii="Times New Roman" w:hAnsi="Times New Roman"/>
                <w:sz w:val="18"/>
              </w:rPr>
              <w:t>Proved asymptotic chi-square distribution of rank sums for k independent groups.</w:t>
            </w:r>
          </w:p>
        </w:tc>
        <w:tc>
          <w:tcPr>
            <w:tcW w:type="dxa" w:w="2160"/>
          </w:tcPr>
          <w:p>
            <w:pPr>
              <w:spacing w:before="40" w:after="40" w:line="252" w:lineRule="auto"/>
              <w:jc w:val="left"/>
            </w:pPr>
            <w:r>
              <w:rPr>
                <w:rFonts w:ascii="Times New Roman" w:hAnsi="Times New Roman"/>
                <w:sz w:val="18"/>
              </w:rPr>
              <w:t>Primary mathematical origin of the non-parametric H-test utilized for RQ1.</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Machine Learning</w:t>
            </w:r>
          </w:p>
        </w:tc>
        <w:tc>
          <w:tcPr>
            <w:tcW w:type="dxa" w:w="1440"/>
            <w:shd w:fill="FAFAFA"/>
          </w:tcPr>
          <w:p>
            <w:pPr>
              <w:spacing w:before="40" w:after="40" w:line="252" w:lineRule="auto"/>
              <w:jc w:val="left"/>
            </w:pPr>
            <w:r>
              <w:rPr>
                <w:rFonts w:ascii="Times New Roman" w:hAnsi="Times New Roman"/>
                <w:sz w:val="18"/>
              </w:rPr>
              <w:t>Algorithm Derivation</w:t>
            </w:r>
          </w:p>
        </w:tc>
        <w:tc>
          <w:tcPr>
            <w:tcW w:type="dxa" w:w="1584"/>
            <w:shd w:fill="FAFAFA"/>
          </w:tcPr>
          <w:p>
            <w:pPr>
              <w:spacing w:before="40" w:after="40" w:line="252" w:lineRule="auto"/>
              <w:jc w:val="left"/>
            </w:pPr>
            <w:r>
              <w:rPr>
                <w:rFonts w:ascii="Times New Roman" w:hAnsi="Times New Roman"/>
                <w:sz w:val="18"/>
              </w:rPr>
              <w:t>Random Forests, Bagging, Out-of-Bag Error</w:t>
            </w:r>
          </w:p>
        </w:tc>
        <w:tc>
          <w:tcPr>
            <w:tcW w:type="dxa" w:w="1872"/>
            <w:shd w:fill="FAFAFA"/>
          </w:tcPr>
          <w:p>
            <w:pPr>
              <w:spacing w:before="40" w:after="40" w:line="252" w:lineRule="auto"/>
              <w:jc w:val="left"/>
            </w:pPr>
            <w:r>
              <w:rPr>
                <w:rFonts w:ascii="Times New Roman" w:hAnsi="Times New Roman"/>
                <w:sz w:val="18"/>
              </w:rPr>
              <w:t>Ensemble bagging over decorrelated decision trees minimizes variance and prevents overfitting.</w:t>
            </w:r>
          </w:p>
        </w:tc>
        <w:tc>
          <w:tcPr>
            <w:tcW w:type="dxa" w:w="2160"/>
            <w:shd w:fill="FAFAFA"/>
          </w:tcPr>
          <w:p>
            <w:pPr>
              <w:spacing w:before="40" w:after="40" w:line="252" w:lineRule="auto"/>
              <w:jc w:val="left"/>
            </w:pPr>
            <w:r>
              <w:rPr>
                <w:rFonts w:ascii="Times New Roman" w:hAnsi="Times New Roman"/>
                <w:sz w:val="18"/>
              </w:rPr>
              <w:t>Methodological justification for Random Forest classifier implementation in RQ2.</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Supervised Learning</w:t>
            </w:r>
          </w:p>
        </w:tc>
        <w:tc>
          <w:tcPr>
            <w:tcW w:type="dxa" w:w="1440"/>
          </w:tcPr>
          <w:p>
            <w:pPr>
              <w:spacing w:before="40" w:after="40" w:line="252" w:lineRule="auto"/>
              <w:jc w:val="left"/>
            </w:pPr>
            <w:r>
              <w:rPr>
                <w:rFonts w:ascii="Times New Roman" w:hAnsi="Times New Roman"/>
                <w:sz w:val="18"/>
              </w:rPr>
              <w:t>Algorithmic Development</w:t>
            </w:r>
          </w:p>
        </w:tc>
        <w:tc>
          <w:tcPr>
            <w:tcW w:type="dxa" w:w="1584"/>
          </w:tcPr>
          <w:p>
            <w:pPr>
              <w:spacing w:before="40" w:after="40" w:line="252" w:lineRule="auto"/>
              <w:jc w:val="left"/>
            </w:pPr>
            <w:r>
              <w:rPr>
                <w:rFonts w:ascii="Times New Roman" w:hAnsi="Times New Roman"/>
                <w:sz w:val="18"/>
              </w:rPr>
              <w:t>Gradient Boosting Machine, Stage-wise Modeling</w:t>
            </w:r>
          </w:p>
        </w:tc>
        <w:tc>
          <w:tcPr>
            <w:tcW w:type="dxa" w:w="1872"/>
          </w:tcPr>
          <w:p>
            <w:pPr>
              <w:spacing w:before="40" w:after="40" w:line="252" w:lineRule="auto"/>
              <w:jc w:val="left"/>
            </w:pPr>
            <w:r>
              <w:rPr>
                <w:rFonts w:ascii="Times New Roman" w:hAnsi="Times New Roman"/>
                <w:sz w:val="18"/>
              </w:rPr>
              <w:t>Sequential gradient descent in function space optimizes complex non-linear classification loss.</w:t>
            </w:r>
          </w:p>
        </w:tc>
        <w:tc>
          <w:tcPr>
            <w:tcW w:type="dxa" w:w="2160"/>
          </w:tcPr>
          <w:p>
            <w:pPr>
              <w:spacing w:before="40" w:after="40" w:line="252" w:lineRule="auto"/>
              <w:jc w:val="left"/>
            </w:pPr>
            <w:r>
              <w:rPr>
                <w:rFonts w:ascii="Times New Roman" w:hAnsi="Times New Roman"/>
                <w:sz w:val="18"/>
              </w:rPr>
              <w:t>Theoretical basis for Gradient Boosting benchmark classifier in RQ2.</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Learning</w:t>
            </w:r>
          </w:p>
        </w:tc>
        <w:tc>
          <w:tcPr>
            <w:tcW w:type="dxa" w:w="1440"/>
            <w:shd w:fill="FAFAFA"/>
          </w:tcPr>
          <w:p>
            <w:pPr>
              <w:spacing w:before="40" w:after="40" w:line="252" w:lineRule="auto"/>
              <w:jc w:val="left"/>
            </w:pPr>
            <w:r>
              <w:rPr>
                <w:rFonts w:ascii="Times New Roman" w:hAnsi="Times New Roman"/>
                <w:sz w:val="18"/>
              </w:rPr>
              <w:t>Clustering Theory</w:t>
            </w:r>
          </w:p>
        </w:tc>
        <w:tc>
          <w:tcPr>
            <w:tcW w:type="dxa" w:w="1584"/>
            <w:shd w:fill="FAFAFA"/>
          </w:tcPr>
          <w:p>
            <w:pPr>
              <w:spacing w:before="40" w:after="40" w:line="252" w:lineRule="auto"/>
              <w:jc w:val="left"/>
            </w:pPr>
            <w:r>
              <w:rPr>
                <w:rFonts w:ascii="Times New Roman" w:hAnsi="Times New Roman"/>
                <w:sz w:val="18"/>
              </w:rPr>
              <w:t>K-Means Centroid Optimization</w:t>
            </w:r>
          </w:p>
        </w:tc>
        <w:tc>
          <w:tcPr>
            <w:tcW w:type="dxa" w:w="1872"/>
            <w:shd w:fill="FAFAFA"/>
          </w:tcPr>
          <w:p>
            <w:pPr>
              <w:spacing w:before="40" w:after="40" w:line="252" w:lineRule="auto"/>
              <w:jc w:val="left"/>
            </w:pPr>
            <w:r>
              <w:rPr>
                <w:rFonts w:ascii="Times New Roman" w:hAnsi="Times New Roman"/>
                <w:sz w:val="18"/>
              </w:rPr>
              <w:t>Iterative partitioning minimizing within-cluster sum of squares converges to local Pareto optima.</w:t>
            </w:r>
          </w:p>
        </w:tc>
        <w:tc>
          <w:tcPr>
            <w:tcW w:type="dxa" w:w="2160"/>
            <w:shd w:fill="FAFAFA"/>
          </w:tcPr>
          <w:p>
            <w:pPr>
              <w:spacing w:before="40" w:after="40" w:line="252" w:lineRule="auto"/>
              <w:jc w:val="left"/>
            </w:pPr>
            <w:r>
              <w:rPr>
                <w:rFonts w:ascii="Times New Roman" w:hAnsi="Times New Roman"/>
                <w:sz w:val="18"/>
              </w:rPr>
              <w:t>Algorithmic foundation for unsupervised fleet segmentation and elbow method in RQ4.</w:t>
            </w:r>
          </w:p>
        </w:tc>
      </w:tr>
    </w:tbl>
    <w:p>
      <w:pPr>
        <w:spacing w:before="60" w:after="240"/>
      </w:pPr>
      <w:r>
        <w:rPr>
          <w:rFonts w:ascii="Times New Roman" w:hAnsi="Times New Roman"/>
          <w:i/>
          <w:sz w:val="18"/>
        </w:rPr>
        <w:t xml:space="preserve">Note. </w:t>
      </w:r>
      <w:r>
        <w:rPr>
          <w:rFonts w:ascii="Times New Roman" w:hAnsi="Times New Roman"/>
          <w:sz w:val="18"/>
        </w:rPr>
        <w:t>Synthesized literature base establishing theoretical, mathematical, and algorithmic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Policy Mechanisms and Fuel Transition Dynamics. The literature on market-based emissions trading (Schmalensee &amp; Stavins, 2017; Ellis et al., 2019) overwhelmingly documents that statutory cap-and-trade programs fundamentally altered the merit-order dispatch of electric power plants. By establishing explicit allowance prices for SO₂ and NOₓ, the Clean Air Act amendments rendered unscrubbed coal plants economically uncompetitive relative to combined cycle natural gas units. Consequently, primary fuel selection became the primary determinant of both thermal operational capacity and absolute emission mass. This finding directly motivates RQ1, which quantitatively tests the degree to which fuel categories maintain distinct heat input and operational capacity profiles in 2025.</w:t>
      </w:r>
    </w:p>
    <w:p>
      <w:pPr>
        <w:spacing w:after="120" w:line="276" w:lineRule="auto"/>
        <w:jc w:val="left"/>
      </w:pPr>
      <w:r>
        <w:rPr>
          <w:rFonts w:ascii="Times New Roman" w:hAnsi="Times New Roman"/>
          <w:i w:val="0"/>
          <w:sz w:val="22"/>
        </w:rPr>
        <w:t>Theme 2: Generating Unit Vintage, Size, and Abatement Asymmetry. A recurring observation across environmental economics and power systems engineering (Burtraw et al., 2012; Harrington et al., 2004) is the 'grandfathering' of legacy generating assets. Because statutory new source performance standards (NSPS) imposed stringent control requirements exclusively on newly constructed facilities, electric utilities were economically incentivized to prolong the operating lifespans of aging, large-scale steam boilers built prior to 1980. This created a dual-regime fleet: older, very large baseload units equipped with capital-intensive post-combustion scrubbers (flue gas desulfurization [FGD] and selective catalytic reduction [SCR]) coexisting with modern, highly efficient, smaller combustion turbines. This structural asymmetry motivates the regression modeling in RQ3 and the multidimensional clustering framework in RQ4.</w:t>
      </w:r>
    </w:p>
    <w:p>
      <w:pPr>
        <w:spacing w:after="120" w:line="276" w:lineRule="auto"/>
        <w:jc w:val="left"/>
      </w:pPr>
      <w:r>
        <w:rPr>
          <w:rFonts w:ascii="Times New Roman" w:hAnsi="Times New Roman"/>
          <w:i w:val="0"/>
          <w:sz w:val="22"/>
        </w:rPr>
        <w:t>Theme 3: Statistical Rigor in Environmental Data Analytics. Foundational statistical literature (Hollander et al., 2014; Field, 2018; Montgomery et al., 2021) strongly cautions against relying exclusively on parametric linear models when analyzing industrial operational data. Facility-level heat input rates and installed capacities invariably exhibit extreme right-skewness, heavy tails, and heteroscedastic variance across fuel groupings. Accordingly, this capstone couples parametric One-Way ANOVA with non-parametric Kruskal-Wallis rank tests and complements bivariate Pearson correlations with Spearman rank correlations, ensuring inferential validity under non-Gaussian distributional conditions.</w:t>
      </w:r>
    </w:p>
    <w:p>
      <w:pPr>
        <w:spacing w:after="120" w:line="276" w:lineRule="auto"/>
        <w:jc w:val="left"/>
      </w:pPr>
      <w:r>
        <w:rPr>
          <w:rFonts w:ascii="Times New Roman" w:hAnsi="Times New Roman"/>
          <w:i w:val="0"/>
          <w:sz w:val="22"/>
        </w:rPr>
        <w:t>Theme 4: Machine Learning for Fleet Risk Classification. In modern energy data science, ensemble machine learning methods (Breiman, 2001; Friedman, 2001) offer substantial advantages over traditional parametric models by capturing non-linear interactions between regulatory program participation, physical unit size, and geographical region without restrictive distributional assumptions. However, literature highlights the necessity of rigorous validation—specifically stratified cross-validation and ROC-AUC assessment—to avoid misleading accuracy metrics in the presence of class imbalance. These principles directly guide the supervised learning architecture developed for RQ2.</w:t>
      </w:r>
    </w:p>
    <w:p>
      <w:pPr>
        <w:keepNext/>
        <w:spacing w:before="320" w:after="160"/>
        <w:jc w:val="center"/>
      </w:pPr>
      <w:r>
        <w:rPr>
          <w:rFonts w:ascii="Times New Roman" w:hAnsi="Times New Roman"/>
          <w:b/>
          <w:color w:val="0F2240"/>
          <w:sz w:val="28"/>
        </w:rPr>
        <w:t>3. Data Description</w:t>
      </w:r>
    </w:p>
    <w:p>
      <w:pPr>
        <w:keepNext/>
        <w:spacing w:before="240" w:after="120"/>
        <w:jc w:val="left"/>
      </w:pPr>
      <w:r>
        <w:rPr>
          <w:rFonts w:ascii="Times New Roman" w:hAnsi="Times New Roman"/>
          <w:b/>
          <w:color w:val="19375F"/>
          <w:sz w:val="24"/>
        </w:rPr>
        <w:t>Data Source(s) and Access</w:t>
      </w:r>
    </w:p>
    <w:p>
      <w:pPr>
        <w:spacing w:after="120" w:line="276" w:lineRule="auto"/>
        <w:jc w:val="left"/>
      </w:pPr>
      <w:r>
        <w:rPr>
          <w:rFonts w:ascii="Times New Roman" w:hAnsi="Times New Roman"/>
          <w:i w:val="0"/>
          <w:sz w:val="22"/>
        </w:rPr>
        <w:t>The empirical dataset analyzed in this capstone is sourced directly from the U.S. Environmental Protection Agency (EPA) Clean Air Markets Program Data (CAMPD) bulk data archive. CAMPD constitutes the official federal repository for compliance, facility attribute, and emission monitoring data collected under Title IV and Title I of the Clean Air Act. The data were accessed via the official EPA bulk data portal:</w:t>
      </w:r>
    </w:p>
    <w:p>
      <w:pPr>
        <w:spacing w:after="120" w:line="276" w:lineRule="auto"/>
        <w:jc w:val="left"/>
      </w:pPr>
      <w:r>
        <w:rPr>
          <w:rFonts w:ascii="Times New Roman" w:hAnsi="Times New Roman"/>
          <w:b/>
          <w:sz w:val="22"/>
        </w:rPr>
        <w:t xml:space="preserve">Primary Data Source: </w:t>
      </w:r>
      <w:r>
        <w:rPr>
          <w:rFonts w:ascii="Times New Roman" w:hAnsi="Times New Roman"/>
          <w:i w:val="0"/>
          <w:sz w:val="22"/>
        </w:rPr>
        <w:t>URL: https://campd.epa.gov/data/bulk-data-files (Dataset: Facility/Unit Attributes – 2025)</w:t>
      </w:r>
    </w:p>
    <w:p>
      <w:pPr>
        <w:spacing w:after="120" w:line="276" w:lineRule="auto"/>
        <w:jc w:val="left"/>
      </w:pPr>
      <w:r>
        <w:rPr>
          <w:rFonts w:ascii="Times New Roman" w:hAnsi="Times New Roman"/>
          <w:b/>
          <w:sz w:val="22"/>
        </w:rPr>
        <w:t xml:space="preserve">Citation: </w:t>
      </w:r>
      <w:r>
        <w:rPr>
          <w:rFonts w:ascii="Times New Roman" w:hAnsi="Times New Roman"/>
          <w:i w:val="0"/>
          <w:sz w:val="22"/>
        </w:rPr>
        <w:t>APA 7 Citation: U.S. Environmental Protection Agency. (2024). Clean Air Markets Program data: Bulk data files [Data set]. U.S. EPA. https://campd.epa.gov/data/bulk-data-files</w:t>
      </w:r>
    </w:p>
    <w:p>
      <w:pPr>
        <w:keepNext/>
        <w:spacing w:before="240" w:after="120"/>
        <w:jc w:val="left"/>
      </w:pPr>
      <w:r>
        <w:rPr>
          <w:rFonts w:ascii="Times New Roman" w:hAnsi="Times New Roman"/>
          <w:b/>
          <w:color w:val="19375F"/>
          <w:sz w:val="24"/>
        </w:rPr>
        <w:t>Dataset Overview</w:t>
      </w:r>
    </w:p>
    <w:p>
      <w:pPr>
        <w:spacing w:after="120" w:line="276" w:lineRule="auto"/>
        <w:jc w:val="left"/>
      </w:pPr>
      <w:r>
        <w:rPr>
          <w:rFonts w:ascii="Times New Roman" w:hAnsi="Times New Roman"/>
          <w:i w:val="0"/>
          <w:sz w:val="22"/>
        </w:rPr>
        <w:t>The raw dataset consists of a single cross-sectional tabular file (facility-2025.csv) containing unit-level technical and administrative attributes for power generating facilities across the United States. Key summary parameters include:</w:t>
      </w:r>
    </w:p>
    <w:p>
      <w:pPr>
        <w:spacing w:after="60" w:line="276" w:lineRule="auto"/>
        <w:jc w:val="left"/>
      </w:pPr>
      <w:r>
        <w:rPr>
          <w:rFonts w:ascii="Times New Roman" w:hAnsi="Times New Roman"/>
          <w:b/>
          <w:sz w:val="22"/>
        </w:rPr>
        <w:t xml:space="preserve">Number of Records (Rows, N): </w:t>
      </w:r>
      <w:r>
        <w:rPr>
          <w:rFonts w:ascii="Times New Roman" w:hAnsi="Times New Roman"/>
          <w:i w:val="0"/>
          <w:sz w:val="22"/>
        </w:rPr>
        <w:t>4,050 generating units across 1,328 unique facilities</w:t>
      </w:r>
    </w:p>
    <w:p>
      <w:pPr>
        <w:spacing w:after="60" w:line="276" w:lineRule="auto"/>
        <w:jc w:val="left"/>
      </w:pPr>
      <w:r>
        <w:rPr>
          <w:rFonts w:ascii="Times New Roman" w:hAnsi="Times New Roman"/>
          <w:b/>
          <w:sz w:val="22"/>
        </w:rPr>
        <w:t xml:space="preserve">Number of Variables (Columns, p): </w:t>
      </w:r>
      <w:r>
        <w:rPr>
          <w:rFonts w:ascii="Times New Roman" w:hAnsi="Times New Roman"/>
          <w:i w:val="0"/>
          <w:sz w:val="22"/>
        </w:rPr>
        <w:t>45 attributes (30 original CAMPD variables + 15 engineered features)</w:t>
      </w:r>
    </w:p>
    <w:p>
      <w:pPr>
        <w:spacing w:after="60" w:line="276" w:lineRule="auto"/>
        <w:jc w:val="left"/>
      </w:pPr>
      <w:r>
        <w:rPr>
          <w:rFonts w:ascii="Times New Roman" w:hAnsi="Times New Roman"/>
          <w:b/>
          <w:sz w:val="22"/>
        </w:rPr>
        <w:t xml:space="preserve">Temporal Coverage: </w:t>
      </w:r>
      <w:r>
        <w:rPr>
          <w:rFonts w:ascii="Times New Roman" w:hAnsi="Times New Roman"/>
          <w:i w:val="0"/>
          <w:sz w:val="22"/>
        </w:rPr>
        <w:t>Calendar Year 2025 (covering cross-sectional active status and operating dates)</w:t>
      </w:r>
    </w:p>
    <w:p>
      <w:pPr>
        <w:spacing w:after="60" w:line="276" w:lineRule="auto"/>
        <w:jc w:val="left"/>
      </w:pPr>
      <w:r>
        <w:rPr>
          <w:rFonts w:ascii="Times New Roman" w:hAnsi="Times New Roman"/>
          <w:b/>
          <w:sz w:val="22"/>
        </w:rPr>
        <w:t xml:space="preserve">Unit of Analysis: </w:t>
      </w:r>
      <w:r>
        <w:rPr>
          <w:rFonts w:ascii="Times New Roman" w:hAnsi="Times New Roman"/>
          <w:i w:val="0"/>
          <w:sz w:val="22"/>
        </w:rPr>
        <w:t>Electric power generating unit (boiler, combustion turbine, combined cycle train)</w:t>
      </w:r>
    </w:p>
    <w:p>
      <w:pPr>
        <w:spacing w:after="60" w:line="276" w:lineRule="auto"/>
        <w:jc w:val="left"/>
      </w:pPr>
      <w:r>
        <w:rPr>
          <w:rFonts w:ascii="Times New Roman" w:hAnsi="Times New Roman"/>
          <w:b/>
          <w:sz w:val="22"/>
        </w:rPr>
        <w:t xml:space="preserve">Geographic Scope: </w:t>
      </w:r>
      <w:r>
        <w:rPr>
          <w:rFonts w:ascii="Times New Roman" w:hAnsi="Times New Roman"/>
          <w:i w:val="0"/>
          <w:sz w:val="22"/>
        </w:rPr>
        <w:t>52 jurisdictions (50 U.S. states, District of Columbia, and Puerto Rico/Territories)</w:t>
      </w:r>
    </w:p>
    <w:p>
      <w:pPr>
        <w:spacing w:after="240" w:line="276" w:lineRule="auto"/>
        <w:jc w:val="left"/>
      </w:pPr>
      <w:r>
        <w:rPr>
          <w:rFonts w:ascii="Times New Roman" w:hAnsi="Times New Roman"/>
          <w:b/>
          <w:sz w:val="22"/>
        </w:rPr>
        <w:t xml:space="preserve">Target Variables: </w:t>
      </w:r>
      <w:r>
        <w:rPr>
          <w:rFonts w:ascii="Times New Roman" w:hAnsi="Times New Roman"/>
          <w:i w:val="0"/>
          <w:sz w:val="22"/>
        </w:rPr>
        <w:t>High_Emitter (Binary indicator: 1 = Max Hourly HI Rate ≥ 2350.0 mmBtu/hr, 75th percentile; 0 otherwise) and Heat_Input_Rate (Continuous combustion capacity, mmBtu/hr).</w:t>
      </w:r>
    </w:p>
    <w:p>
      <w:pPr>
        <w:keepNext/>
        <w:spacing w:before="240" w:after="120"/>
        <w:jc w:val="left"/>
      </w:pPr>
      <w:r>
        <w:rPr>
          <w:rFonts w:ascii="Times New Roman" w:hAnsi="Times New Roman"/>
          <w:b/>
          <w:color w:val="19375F"/>
          <w:sz w:val="24"/>
        </w:rPr>
        <w:t>Data Dictionary</w:t>
      </w:r>
    </w:p>
    <w:p>
      <w:pPr>
        <w:spacing w:after="120" w:line="276" w:lineRule="auto"/>
        <w:jc w:val="left"/>
      </w:pPr>
      <w:r>
        <w:rPr>
          <w:rFonts w:ascii="Times New Roman" w:hAnsi="Times New Roman"/>
          <w:i w:val="0"/>
          <w:sz w:val="22"/>
        </w:rPr>
        <w:t>Table 2 provides the mandatory data dictionary detailing the core raw and engineered variables, definitions, storage datatypes, allowed ranges, missing value handling strategies, and relevant analytical notes.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Data Dictionary for Clean Air Markets Program Facility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Definition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Datatype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Allowed Values/Range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Missing Handling</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Analytical Notes</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U.S. state postal code of facility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52 states/territories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Identifies state-level environmental jurisdiction.</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Unique federal identifier assigned by EPA / ORISPL</w:t>
            </w:r>
          </w:p>
        </w:tc>
        <w:tc>
          <w:tcPr>
            <w:tcW w:type="dxa" w:w="1296"/>
            <w:shd w:fill="FAFAFA"/>
          </w:tcPr>
          <w:p>
            <w:pPr>
              <w:spacing w:before="40" w:after="40" w:line="252" w:lineRule="auto"/>
              <w:jc w:val="left"/>
            </w:pPr>
            <w:r>
              <w:rPr>
                <w:rFonts w:ascii="Times New Roman" w:hAnsi="Times New Roman"/>
                <w:sz w:val="18"/>
              </w:rPr>
              <w:t>Integer</w:t>
            </w:r>
          </w:p>
        </w:tc>
        <w:tc>
          <w:tcPr>
            <w:tcW w:type="dxa" w:w="1584"/>
            <w:shd w:fill="FAFAFA"/>
          </w:tcPr>
          <w:p>
            <w:pPr>
              <w:spacing w:before="40" w:after="40" w:line="252" w:lineRule="auto"/>
              <w:jc w:val="left"/>
            </w:pPr>
            <w:r>
              <w:rPr>
                <w:rFonts w:ascii="Times New Roman" w:hAnsi="Times New Roman"/>
                <w:sz w:val="18"/>
              </w:rPr>
              <w:t>3 to 67540</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Primary key for facility-level aggregation.</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Official registered plant or facility name</w:t>
            </w:r>
          </w:p>
        </w:tc>
        <w:tc>
          <w:tcPr>
            <w:tcW w:type="dxa" w:w="1296"/>
          </w:tcPr>
          <w:p>
            <w:pPr>
              <w:spacing w:before="40" w:after="40" w:line="252" w:lineRule="auto"/>
              <w:jc w:val="left"/>
            </w:pPr>
            <w:r>
              <w:rPr>
                <w:rFonts w:ascii="Times New Roman" w:hAnsi="Times New Roman"/>
                <w:sz w:val="18"/>
              </w:rPr>
              <w:t>String</w:t>
            </w:r>
          </w:p>
        </w:tc>
        <w:tc>
          <w:tcPr>
            <w:tcW w:type="dxa" w:w="1584"/>
          </w:tcPr>
          <w:p>
            <w:pPr>
              <w:spacing w:before="40" w:after="40" w:line="252" w:lineRule="auto"/>
              <w:jc w:val="left"/>
            </w:pPr>
            <w:r>
              <w:rPr>
                <w:rFonts w:ascii="Times New Roman" w:hAnsi="Times New Roman"/>
                <w:sz w:val="18"/>
              </w:rPr>
              <w:t>1,325 unique names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Commercial plant designation.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Internal unit or boiler identifier</w:t>
            </w:r>
          </w:p>
        </w:tc>
        <w:tc>
          <w:tcPr>
            <w:tcW w:type="dxa" w:w="1296"/>
            <w:shd w:fill="FAFAFA"/>
          </w:tcPr>
          <w:p>
            <w:pPr>
              <w:spacing w:before="40" w:after="40" w:line="252" w:lineRule="auto"/>
              <w:jc w:val="left"/>
            </w:pPr>
            <w:r>
              <w:rPr>
                <w:rFonts w:ascii="Times New Roman" w:hAnsi="Times New Roman"/>
                <w:sz w:val="18"/>
              </w:rPr>
              <w:t>String</w:t>
            </w:r>
          </w:p>
        </w:tc>
        <w:tc>
          <w:tcPr>
            <w:tcW w:type="dxa" w:w="1584"/>
            <w:shd w:fill="FAFAFA"/>
          </w:tcPr>
          <w:p>
            <w:pPr>
              <w:spacing w:before="40" w:after="40" w:line="252" w:lineRule="auto"/>
              <w:jc w:val="left"/>
            </w:pPr>
            <w:r>
              <w:rPr>
                <w:rFonts w:ascii="Times New Roman" w:hAnsi="Times New Roman"/>
                <w:sz w:val="18"/>
              </w:rPr>
              <w:t>1,412 unique unit tags</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Disambiguates units within multi-unit facilities.</w:t>
            </w:r>
          </w:p>
        </w:tc>
      </w:tr>
      <w:tr>
        <w:tc>
          <w:tcPr>
            <w:tcW w:type="dxa" w:w="1584"/>
          </w:tcPr>
          <w:p>
            <w:pPr>
              <w:spacing w:before="40" w:after="40" w:line="252" w:lineRule="auto"/>
              <w:jc w:val="left"/>
            </w:pPr>
            <w:r>
              <w:rPr>
                <w:rFonts w:ascii="Times New Roman" w:hAnsi="Times New Roman"/>
                <w:sz w:val="18"/>
              </w:rPr>
              <w:t>Unit Type</w:t>
            </w:r>
          </w:p>
        </w:tc>
        <w:tc>
          <w:tcPr>
            <w:tcW w:type="dxa" w:w="2016"/>
          </w:tcPr>
          <w:p>
            <w:pPr>
              <w:spacing w:before="40" w:after="40" w:line="252" w:lineRule="auto"/>
              <w:jc w:val="left"/>
            </w:pPr>
            <w:r>
              <w:rPr>
                <w:rFonts w:ascii="Times New Roman" w:hAnsi="Times New Roman"/>
                <w:sz w:val="18"/>
              </w:rPr>
              <w:t>Boiler combustion or turbine technology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33 categories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Recoded into 5 major technology classes.</w:t>
            </w:r>
          </w:p>
        </w:tc>
      </w:tr>
      <w:tr>
        <w:tc>
          <w:tcPr>
            <w:tcW w:type="dxa" w:w="1584"/>
            <w:shd w:fill="FAFAFA"/>
          </w:tcPr>
          <w:p>
            <w:pPr>
              <w:spacing w:before="40" w:after="40" w:line="252" w:lineRule="auto"/>
              <w:jc w:val="left"/>
            </w:pPr>
            <w:r>
              <w:rPr>
                <w:rFonts w:ascii="Times New Roman" w:hAnsi="Times New Roman"/>
                <w:sz w:val="18"/>
              </w:rPr>
              <w:t>Primary Fuel Type</w:t>
            </w:r>
          </w:p>
        </w:tc>
        <w:tc>
          <w:tcPr>
            <w:tcW w:type="dxa" w:w="2016"/>
            <w:shd w:fill="FAFAFA"/>
          </w:tcPr>
          <w:p>
            <w:pPr>
              <w:spacing w:before="40" w:after="40" w:line="252" w:lineRule="auto"/>
              <w:jc w:val="left"/>
            </w:pPr>
            <w:r>
              <w:rPr>
                <w:rFonts w:ascii="Times New Roman" w:hAnsi="Times New Roman"/>
                <w:sz w:val="18"/>
              </w:rPr>
              <w:t>Main combustible fuel utilized for energy</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12 fuel codes</w:t>
            </w:r>
          </w:p>
        </w:tc>
        <w:tc>
          <w:tcPr>
            <w:tcW w:type="dxa" w:w="1728"/>
            <w:shd w:fill="FAFAFA"/>
          </w:tcPr>
          <w:p>
            <w:pPr>
              <w:spacing w:before="40" w:after="40" w:line="252" w:lineRule="auto"/>
              <w:jc w:val="left"/>
            </w:pPr>
            <w:r>
              <w:rPr>
                <w:rFonts w:ascii="Times New Roman" w:hAnsi="Times New Roman"/>
                <w:sz w:val="18"/>
              </w:rPr>
              <w:t>44 missing (Imputed to Other/Unknown)</w:t>
            </w:r>
          </w:p>
        </w:tc>
        <w:tc>
          <w:tcPr>
            <w:tcW w:type="dxa" w:w="1872"/>
            <w:shd w:fill="FAFAFA"/>
          </w:tcPr>
          <w:p>
            <w:pPr>
              <w:spacing w:before="40" w:after="40" w:line="252" w:lineRule="auto"/>
              <w:jc w:val="left"/>
            </w:pPr>
            <w:r>
              <w:rPr>
                <w:rFonts w:ascii="Times New Roman" w:hAnsi="Times New Roman"/>
                <w:sz w:val="18"/>
              </w:rPr>
              <w:t>Recoded into 5 primary fuel categories for RQ1.</w:t>
            </w:r>
          </w:p>
        </w:tc>
      </w:tr>
      <w:tr>
        <w:tc>
          <w:tcPr>
            <w:tcW w:type="dxa" w:w="1584"/>
          </w:tcPr>
          <w:p>
            <w:pPr>
              <w:spacing w:before="40" w:after="40" w:line="252" w:lineRule="auto"/>
              <w:jc w:val="left"/>
            </w:pPr>
            <w:r>
              <w:rPr>
                <w:rFonts w:ascii="Times New Roman" w:hAnsi="Times New Roman"/>
                <w:sz w:val="18"/>
              </w:rPr>
              <w:t>Associated Generators &amp; Capacity</w:t>
            </w:r>
          </w:p>
        </w:tc>
        <w:tc>
          <w:tcPr>
            <w:tcW w:type="dxa" w:w="2016"/>
          </w:tcPr>
          <w:p>
            <w:pPr>
              <w:spacing w:before="40" w:after="40" w:line="252" w:lineRule="auto"/>
              <w:jc w:val="left"/>
            </w:pPr>
            <w:r>
              <w:rPr>
                <w:rFonts w:ascii="Times New Roman" w:hAnsi="Times New Roman"/>
                <w:sz w:val="18"/>
              </w:rPr>
              <w:t>Generator name and nameplate electrical capacity (MWe)</w:t>
            </w:r>
          </w:p>
        </w:tc>
        <w:tc>
          <w:tcPr>
            <w:tcW w:type="dxa" w:w="1296"/>
          </w:tcPr>
          <w:p>
            <w:pPr>
              <w:spacing w:before="40" w:after="40" w:line="252" w:lineRule="auto"/>
              <w:jc w:val="left"/>
            </w:pPr>
            <w:r>
              <w:rPr>
                <w:rFonts w:ascii="Times New Roman" w:hAnsi="Times New Roman"/>
                <w:sz w:val="18"/>
              </w:rPr>
              <w:t>String (Formatted text)</w:t>
            </w:r>
          </w:p>
        </w:tc>
        <w:tc>
          <w:tcPr>
            <w:tcW w:type="dxa" w:w="1584"/>
          </w:tcPr>
          <w:p>
            <w:pPr>
              <w:spacing w:before="40" w:after="40" w:line="252" w:lineRule="auto"/>
              <w:jc w:val="left"/>
            </w:pPr>
            <w:r>
              <w:rPr>
                <w:rFonts w:ascii="Times New Roman" w:hAnsi="Times New Roman"/>
                <w:sz w:val="18"/>
              </w:rPr>
              <w:t>Text e.g. '1 (153.1)'</w:t>
            </w:r>
          </w:p>
        </w:tc>
        <w:tc>
          <w:tcPr>
            <w:tcW w:type="dxa" w:w="1728"/>
          </w:tcPr>
          <w:p>
            <w:pPr>
              <w:spacing w:before="40" w:after="40" w:line="252" w:lineRule="auto"/>
              <w:jc w:val="left"/>
            </w:pPr>
            <w:r>
              <w:rPr>
                <w:rFonts w:ascii="Times New Roman" w:hAnsi="Times New Roman"/>
                <w:sz w:val="18"/>
              </w:rPr>
              <w:t>150 missing (Parsed and imputed via median)</w:t>
            </w:r>
          </w:p>
        </w:tc>
        <w:tc>
          <w:tcPr>
            <w:tcW w:type="dxa" w:w="1872"/>
          </w:tcPr>
          <w:p>
            <w:pPr>
              <w:spacing w:before="40" w:after="40" w:line="252" w:lineRule="auto"/>
              <w:jc w:val="left"/>
            </w:pPr>
            <w:r>
              <w:rPr>
                <w:rFonts w:ascii="Times New Roman" w:hAnsi="Times New Roman"/>
                <w:sz w:val="18"/>
              </w:rPr>
              <w:t>Parsed via regex to extract total installed Capacity_MW.</w:t>
            </w:r>
          </w:p>
        </w:tc>
      </w:tr>
      <w:tr>
        <w:tc>
          <w:tcPr>
            <w:tcW w:type="dxa" w:w="1584"/>
            <w:shd w:fill="FAFAFA"/>
          </w:tcPr>
          <w:p>
            <w:pPr>
              <w:spacing w:before="40" w:after="40" w:line="252" w:lineRule="auto"/>
              <w:jc w:val="left"/>
            </w:pPr>
            <w:r>
              <w:rPr>
                <w:rFonts w:ascii="Times New Roman" w:hAnsi="Times New Roman"/>
                <w:sz w:val="18"/>
              </w:rPr>
              <w:t>Max Hourly HI Rate (mmBtu/hr)</w:t>
            </w:r>
          </w:p>
        </w:tc>
        <w:tc>
          <w:tcPr>
            <w:tcW w:type="dxa" w:w="2016"/>
            <w:shd w:fill="FAFAFA"/>
          </w:tcPr>
          <w:p>
            <w:pPr>
              <w:spacing w:before="40" w:after="40" w:line="252" w:lineRule="auto"/>
              <w:jc w:val="left"/>
            </w:pPr>
            <w:r>
              <w:rPr>
                <w:rFonts w:ascii="Times New Roman" w:hAnsi="Times New Roman"/>
                <w:sz w:val="18"/>
              </w:rPr>
              <w:t>Maximum design hourly thermal heat input rate</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94.0 to 16,250.0 mmBtu/hr</w:t>
            </w:r>
          </w:p>
        </w:tc>
        <w:tc>
          <w:tcPr>
            <w:tcW w:type="dxa" w:w="1728"/>
            <w:shd w:fill="FAFAFA"/>
          </w:tcPr>
          <w:p>
            <w:pPr>
              <w:spacing w:before="40" w:after="40" w:line="252" w:lineRule="auto"/>
              <w:jc w:val="left"/>
            </w:pPr>
            <w:r>
              <w:rPr>
                <w:rFonts w:ascii="Times New Roman" w:hAnsi="Times New Roman"/>
                <w:sz w:val="18"/>
              </w:rPr>
              <w:t>44 missing (Imputed via Capacity ratio)</w:t>
            </w:r>
          </w:p>
        </w:tc>
        <w:tc>
          <w:tcPr>
            <w:tcW w:type="dxa" w:w="1872"/>
            <w:shd w:fill="FAFAFA"/>
          </w:tcPr>
          <w:p>
            <w:pPr>
              <w:spacing w:before="40" w:after="40" w:line="252" w:lineRule="auto"/>
              <w:jc w:val="left"/>
            </w:pPr>
            <w:r>
              <w:rPr>
                <w:rFonts w:ascii="Times New Roman" w:hAnsi="Times New Roman"/>
                <w:sz w:val="18"/>
              </w:rPr>
              <w:t>Primary metric of operational combustion intensity.</w:t>
            </w:r>
          </w:p>
        </w:tc>
      </w:tr>
      <w:tr>
        <w:tc>
          <w:tcPr>
            <w:tcW w:type="dxa" w:w="1584"/>
          </w:tcPr>
          <w:p>
            <w:pPr>
              <w:spacing w:before="40" w:after="40" w:line="252" w:lineRule="auto"/>
              <w:jc w:val="left"/>
            </w:pPr>
            <w:r>
              <w:rPr>
                <w:rFonts w:ascii="Times New Roman" w:hAnsi="Times New Roman"/>
                <w:sz w:val="18"/>
              </w:rPr>
              <w:t>Commercial Operation Date</w:t>
            </w:r>
          </w:p>
        </w:tc>
        <w:tc>
          <w:tcPr>
            <w:tcW w:type="dxa" w:w="2016"/>
          </w:tcPr>
          <w:p>
            <w:pPr>
              <w:spacing w:before="40" w:after="40" w:line="252" w:lineRule="auto"/>
              <w:jc w:val="left"/>
            </w:pPr>
            <w:r>
              <w:rPr>
                <w:rFonts w:ascii="Times New Roman" w:hAnsi="Times New Roman"/>
                <w:sz w:val="18"/>
              </w:rPr>
              <w:t>Date the unit commenced commercial generation</w:t>
            </w:r>
          </w:p>
        </w:tc>
        <w:tc>
          <w:tcPr>
            <w:tcW w:type="dxa" w:w="1296"/>
          </w:tcPr>
          <w:p>
            <w:pPr>
              <w:spacing w:before="40" w:after="40" w:line="252" w:lineRule="auto"/>
              <w:jc w:val="left"/>
            </w:pPr>
            <w:r>
              <w:rPr>
                <w:rFonts w:ascii="Times New Roman" w:hAnsi="Times New Roman"/>
                <w:sz w:val="18"/>
              </w:rPr>
              <w:t>Date / String</w:t>
            </w:r>
          </w:p>
        </w:tc>
        <w:tc>
          <w:tcPr>
            <w:tcW w:type="dxa" w:w="1584"/>
          </w:tcPr>
          <w:p>
            <w:pPr>
              <w:spacing w:before="40" w:after="40" w:line="252" w:lineRule="auto"/>
              <w:jc w:val="left"/>
            </w:pPr>
            <w:r>
              <w:rPr>
                <w:rFonts w:ascii="Times New Roman" w:hAnsi="Times New Roman"/>
                <w:sz w:val="18"/>
              </w:rPr>
              <w:t>1/1/1930 to 11/23/2025</w:t>
            </w:r>
          </w:p>
        </w:tc>
        <w:tc>
          <w:tcPr>
            <w:tcW w:type="dxa" w:w="1728"/>
          </w:tcPr>
          <w:p>
            <w:pPr>
              <w:spacing w:before="40" w:after="40" w:line="252" w:lineRule="auto"/>
              <w:jc w:val="left"/>
            </w:pPr>
            <w:r>
              <w:rPr>
                <w:rFonts w:ascii="Times New Roman" w:hAnsi="Times New Roman"/>
                <w:sz w:val="18"/>
              </w:rPr>
              <w:t>36 missing (Imputed via unit-type median)</w:t>
            </w:r>
          </w:p>
        </w:tc>
        <w:tc>
          <w:tcPr>
            <w:tcW w:type="dxa" w:w="1872"/>
          </w:tcPr>
          <w:p>
            <w:pPr>
              <w:spacing w:before="40" w:after="40" w:line="252" w:lineRule="auto"/>
              <w:jc w:val="left"/>
            </w:pPr>
            <w:r>
              <w:rPr>
                <w:rFonts w:ascii="Times New Roman" w:hAnsi="Times New Roman"/>
                <w:sz w:val="18"/>
              </w:rPr>
              <w:t>Converted to Unit_Age = 2025 - Year.</w:t>
            </w:r>
          </w:p>
        </w:tc>
      </w:tr>
      <w:tr>
        <w:tc>
          <w:tcPr>
            <w:tcW w:type="dxa" w:w="1584"/>
            <w:shd w:fill="FAFAFA"/>
          </w:tcPr>
          <w:p>
            <w:pPr>
              <w:spacing w:before="40" w:after="40" w:line="252" w:lineRule="auto"/>
              <w:jc w:val="left"/>
            </w:pPr>
            <w:r>
              <w:rPr>
                <w:rFonts w:ascii="Times New Roman" w:hAnsi="Times New Roman"/>
                <w:sz w:val="18"/>
              </w:rPr>
              <w:t>Operating Status</w:t>
            </w:r>
          </w:p>
        </w:tc>
        <w:tc>
          <w:tcPr>
            <w:tcW w:type="dxa" w:w="2016"/>
            <w:shd w:fill="FAFAFA"/>
          </w:tcPr>
          <w:p>
            <w:pPr>
              <w:spacing w:before="40" w:after="40" w:line="252" w:lineRule="auto"/>
              <w:jc w:val="left"/>
            </w:pPr>
            <w:r>
              <w:rPr>
                <w:rFonts w:ascii="Times New Roman" w:hAnsi="Times New Roman"/>
                <w:sz w:val="18"/>
              </w:rPr>
              <w:t>Current operational status in 2025</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Operating, Retired, Future</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Recoded into binary Is_Operating flag.</w:t>
            </w:r>
          </w:p>
        </w:tc>
      </w:tr>
      <w:tr>
        <w:tc>
          <w:tcPr>
            <w:tcW w:type="dxa" w:w="1584"/>
          </w:tcPr>
          <w:p>
            <w:pPr>
              <w:spacing w:before="40" w:after="40" w:line="252" w:lineRule="auto"/>
              <w:jc w:val="left"/>
            </w:pPr>
            <w:r>
              <w:rPr>
                <w:rFonts w:ascii="Times New Roman" w:hAnsi="Times New Roman"/>
                <w:sz w:val="18"/>
              </w:rPr>
              <w:t>SO2 Controls</w:t>
            </w:r>
          </w:p>
        </w:tc>
        <w:tc>
          <w:tcPr>
            <w:tcW w:type="dxa" w:w="2016"/>
          </w:tcPr>
          <w:p>
            <w:pPr>
              <w:spacing w:before="40" w:after="40" w:line="252" w:lineRule="auto"/>
              <w:jc w:val="left"/>
            </w:pPr>
            <w:r>
              <w:rPr>
                <w:rFonts w:ascii="Times New Roman" w:hAnsi="Times New Roman"/>
                <w:sz w:val="18"/>
              </w:rPr>
              <w:t>Installed sulfur dioxide abatement systems</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Wet Limestone, Dry FGD, etc.</w:t>
            </w:r>
          </w:p>
        </w:tc>
        <w:tc>
          <w:tcPr>
            <w:tcW w:type="dxa" w:w="1728"/>
          </w:tcPr>
          <w:p>
            <w:pPr>
              <w:spacing w:before="40" w:after="40" w:line="252" w:lineRule="auto"/>
              <w:jc w:val="left"/>
            </w:pPr>
            <w:r>
              <w:rPr>
                <w:rFonts w:ascii="Times New Roman" w:hAnsi="Times New Roman"/>
                <w:sz w:val="18"/>
              </w:rPr>
              <w:t>3,678 missing (Interpreted as Uncontrolled)</w:t>
            </w:r>
          </w:p>
        </w:tc>
        <w:tc>
          <w:tcPr>
            <w:tcW w:type="dxa" w:w="1872"/>
          </w:tcPr>
          <w:p>
            <w:pPr>
              <w:spacing w:before="40" w:after="40" w:line="252" w:lineRule="auto"/>
              <w:jc w:val="left"/>
            </w:pPr>
            <w:r>
              <w:rPr>
                <w:rFonts w:ascii="Times New Roman" w:hAnsi="Times New Roman"/>
                <w:sz w:val="18"/>
              </w:rPr>
              <w:t>Recoded to binary flag Has_SO2_Control.</w:t>
            </w:r>
          </w:p>
        </w:tc>
      </w:tr>
      <w:tr>
        <w:tc>
          <w:tcPr>
            <w:tcW w:type="dxa" w:w="1584"/>
            <w:shd w:fill="FAFAFA"/>
          </w:tcPr>
          <w:p>
            <w:pPr>
              <w:spacing w:before="40" w:after="40" w:line="252" w:lineRule="auto"/>
              <w:jc w:val="left"/>
            </w:pPr>
            <w:r>
              <w:rPr>
                <w:rFonts w:ascii="Times New Roman" w:hAnsi="Times New Roman"/>
                <w:sz w:val="18"/>
              </w:rPr>
              <w:t>NOx Controls</w:t>
            </w:r>
          </w:p>
        </w:tc>
        <w:tc>
          <w:tcPr>
            <w:tcW w:type="dxa" w:w="2016"/>
            <w:shd w:fill="FAFAFA"/>
          </w:tcPr>
          <w:p>
            <w:pPr>
              <w:spacing w:before="40" w:after="40" w:line="252" w:lineRule="auto"/>
              <w:jc w:val="left"/>
            </w:pPr>
            <w:r>
              <w:rPr>
                <w:rFonts w:ascii="Times New Roman" w:hAnsi="Times New Roman"/>
                <w:sz w:val="18"/>
              </w:rPr>
              <w:t>Installed nitrogen oxide abatement systems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Low NOx Burners, SCR, SNCR</w:t>
            </w:r>
          </w:p>
        </w:tc>
        <w:tc>
          <w:tcPr>
            <w:tcW w:type="dxa" w:w="1728"/>
            <w:shd w:fill="FAFAFA"/>
          </w:tcPr>
          <w:p>
            <w:pPr>
              <w:spacing w:before="40" w:after="40" w:line="252" w:lineRule="auto"/>
              <w:jc w:val="left"/>
            </w:pPr>
            <w:r>
              <w:rPr>
                <w:rFonts w:ascii="Times New Roman" w:hAnsi="Times New Roman"/>
                <w:sz w:val="18"/>
              </w:rPr>
              <w:t>596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Has_NOx_Control.</w:t>
            </w:r>
          </w:p>
        </w:tc>
      </w:tr>
      <w:tr>
        <w:tc>
          <w:tcPr>
            <w:tcW w:type="dxa" w:w="1584"/>
          </w:tcPr>
          <w:p>
            <w:pPr>
              <w:spacing w:before="40" w:after="40" w:line="252" w:lineRule="auto"/>
              <w:jc w:val="left"/>
            </w:pPr>
            <w:r>
              <w:rPr>
                <w:rFonts w:ascii="Times New Roman" w:hAnsi="Times New Roman"/>
                <w:sz w:val="18"/>
              </w:rPr>
              <w:t>PM Controls</w:t>
            </w:r>
          </w:p>
        </w:tc>
        <w:tc>
          <w:tcPr>
            <w:tcW w:type="dxa" w:w="2016"/>
          </w:tcPr>
          <w:p>
            <w:pPr>
              <w:spacing w:before="40" w:after="40" w:line="252" w:lineRule="auto"/>
              <w:jc w:val="left"/>
            </w:pPr>
            <w:r>
              <w:rPr>
                <w:rFonts w:ascii="Times New Roman" w:hAnsi="Times New Roman"/>
                <w:sz w:val="18"/>
              </w:rPr>
              <w:t>Installed particulate matter abatement equipment</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Electrostatic Precipitator, Baghouse</w:t>
            </w:r>
          </w:p>
        </w:tc>
        <w:tc>
          <w:tcPr>
            <w:tcW w:type="dxa" w:w="1728"/>
          </w:tcPr>
          <w:p>
            <w:pPr>
              <w:spacing w:before="40" w:after="40" w:line="252" w:lineRule="auto"/>
              <w:jc w:val="left"/>
            </w:pPr>
            <w:r>
              <w:rPr>
                <w:rFonts w:ascii="Times New Roman" w:hAnsi="Times New Roman"/>
                <w:sz w:val="18"/>
              </w:rPr>
              <w:t>3,540 missing (Interpreted as Uncontrolled)</w:t>
            </w:r>
          </w:p>
        </w:tc>
        <w:tc>
          <w:tcPr>
            <w:tcW w:type="dxa" w:w="1872"/>
          </w:tcPr>
          <w:p>
            <w:pPr>
              <w:spacing w:before="40" w:after="40" w:line="252" w:lineRule="auto"/>
              <w:jc w:val="left"/>
            </w:pPr>
            <w:r>
              <w:rPr>
                <w:rFonts w:ascii="Times New Roman" w:hAnsi="Times New Roman"/>
                <w:sz w:val="18"/>
              </w:rPr>
              <w:t>Recoded to binary flag Has_PM_Control.</w:t>
            </w:r>
          </w:p>
        </w:tc>
      </w:tr>
      <w:tr>
        <w:tc>
          <w:tcPr>
            <w:tcW w:type="dxa" w:w="1584"/>
            <w:shd w:fill="FAFAFA"/>
          </w:tcPr>
          <w:p>
            <w:pPr>
              <w:spacing w:before="40" w:after="40" w:line="252" w:lineRule="auto"/>
              <w:jc w:val="left"/>
            </w:pPr>
            <w:r>
              <w:rPr>
                <w:rFonts w:ascii="Times New Roman" w:hAnsi="Times New Roman"/>
                <w:sz w:val="18"/>
              </w:rPr>
              <w:t>Hg Controls</w:t>
            </w:r>
          </w:p>
        </w:tc>
        <w:tc>
          <w:tcPr>
            <w:tcW w:type="dxa" w:w="2016"/>
            <w:shd w:fill="FAFAFA"/>
          </w:tcPr>
          <w:p>
            <w:pPr>
              <w:spacing w:before="40" w:after="40" w:line="252" w:lineRule="auto"/>
              <w:jc w:val="left"/>
            </w:pPr>
            <w:r>
              <w:rPr>
                <w:rFonts w:ascii="Times New Roman" w:hAnsi="Times New Roman"/>
                <w:sz w:val="18"/>
              </w:rPr>
              <w:t>Installed mercury abatement technologies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Activated Carbon Injection, etc.</w:t>
            </w:r>
          </w:p>
        </w:tc>
        <w:tc>
          <w:tcPr>
            <w:tcW w:type="dxa" w:w="1728"/>
            <w:shd w:fill="FAFAFA"/>
          </w:tcPr>
          <w:p>
            <w:pPr>
              <w:spacing w:before="40" w:after="40" w:line="252" w:lineRule="auto"/>
              <w:jc w:val="left"/>
            </w:pPr>
            <w:r>
              <w:rPr>
                <w:rFonts w:ascii="Times New Roman" w:hAnsi="Times New Roman"/>
                <w:sz w:val="18"/>
              </w:rPr>
              <w:t>3,877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Has_Hg_Control.</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total installed generation capacity</w:t>
            </w:r>
          </w:p>
        </w:tc>
        <w:tc>
          <w:tcPr>
            <w:tcW w:type="dxa" w:w="1296"/>
          </w:tcPr>
          <w:p>
            <w:pPr>
              <w:spacing w:before="40" w:after="40" w:line="252" w:lineRule="auto"/>
              <w:jc w:val="left"/>
            </w:pPr>
            <w:r>
              <w:rPr>
                <w:rFonts w:ascii="Times New Roman" w:hAnsi="Times New Roman"/>
                <w:sz w:val="18"/>
              </w:rPr>
              <w:t>Float (Continuous)</w:t>
            </w:r>
          </w:p>
        </w:tc>
        <w:tc>
          <w:tcPr>
            <w:tcW w:type="dxa" w:w="1584"/>
          </w:tcPr>
          <w:p>
            <w:pPr>
              <w:spacing w:before="40" w:after="40" w:line="252" w:lineRule="auto"/>
              <w:jc w:val="left"/>
            </w:pPr>
            <w:r>
              <w:rPr>
                <w:rFonts w:ascii="Times New Roman" w:hAnsi="Times New Roman"/>
                <w:sz w:val="18"/>
              </w:rPr>
              <w:t>5.0 to 1,300.0 MWe</w:t>
            </w:r>
          </w:p>
        </w:tc>
        <w:tc>
          <w:tcPr>
            <w:tcW w:type="dxa" w:w="1728"/>
          </w:tcPr>
          <w:p>
            <w:pPr>
              <w:spacing w:before="40" w:after="40" w:line="252" w:lineRule="auto"/>
              <w:jc w:val="left"/>
            </w:pPr>
            <w:r>
              <w:rPr>
                <w:rFonts w:ascii="Times New Roman" w:hAnsi="Times New Roman"/>
                <w:sz w:val="18"/>
              </w:rPr>
              <w:t>Engineered from regex parsing</w:t>
            </w:r>
          </w:p>
        </w:tc>
        <w:tc>
          <w:tcPr>
            <w:tcW w:type="dxa" w:w="1872"/>
          </w:tcPr>
          <w:p>
            <w:pPr>
              <w:spacing w:before="40" w:after="40" w:line="252" w:lineRule="auto"/>
              <w:jc w:val="left"/>
            </w:pPr>
            <w:r>
              <w:rPr>
                <w:rFonts w:ascii="Times New Roman" w:hAnsi="Times New Roman"/>
                <w:sz w:val="18"/>
              </w:rPr>
              <w:t>Key predictor in RQ2 and covariate in RQ3.</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unit operating vintage in years</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0.0 to 95.0 years</w:t>
            </w:r>
          </w:p>
        </w:tc>
        <w:tc>
          <w:tcPr>
            <w:tcW w:type="dxa" w:w="1728"/>
            <w:shd w:fill="FAFAFA"/>
          </w:tcPr>
          <w:p>
            <w:pPr>
              <w:spacing w:before="40" w:after="40" w:line="252" w:lineRule="auto"/>
              <w:jc w:val="left"/>
            </w:pPr>
            <w:r>
              <w:rPr>
                <w:rFonts w:ascii="Times New Roman" w:hAnsi="Times New Roman"/>
                <w:sz w:val="18"/>
              </w:rPr>
              <w:t>Engineered from commercial date</w:t>
            </w:r>
          </w:p>
        </w:tc>
        <w:tc>
          <w:tcPr>
            <w:tcW w:type="dxa" w:w="1872"/>
            <w:shd w:fill="FAFAFA"/>
          </w:tcPr>
          <w:p>
            <w:pPr>
              <w:spacing w:before="40" w:after="40" w:line="252" w:lineRule="auto"/>
              <w:jc w:val="left"/>
            </w:pPr>
            <w:r>
              <w:rPr>
                <w:rFonts w:ascii="Times New Roman" w:hAnsi="Times New Roman"/>
                <w:sz w:val="18"/>
              </w:rPr>
              <w:t>Primary independent variable for RQ3.</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Total number of installed pollution abatement systems</w:t>
            </w:r>
          </w:p>
        </w:tc>
        <w:tc>
          <w:tcPr>
            <w:tcW w:type="dxa" w:w="1296"/>
          </w:tcPr>
          <w:p>
            <w:pPr>
              <w:spacing w:before="40" w:after="40" w:line="252" w:lineRule="auto"/>
              <w:jc w:val="left"/>
            </w:pPr>
            <w:r>
              <w:rPr>
                <w:rFonts w:ascii="Times New Roman" w:hAnsi="Times New Roman"/>
                <w:sz w:val="18"/>
              </w:rPr>
              <w:t>Integer (Discrete)</w:t>
            </w:r>
          </w:p>
        </w:tc>
        <w:tc>
          <w:tcPr>
            <w:tcW w:type="dxa" w:w="1584"/>
          </w:tcPr>
          <w:p>
            <w:pPr>
              <w:spacing w:before="40" w:after="40" w:line="252" w:lineRule="auto"/>
              <w:jc w:val="left"/>
            </w:pPr>
            <w:r>
              <w:rPr>
                <w:rFonts w:ascii="Times New Roman" w:hAnsi="Times New Roman"/>
                <w:sz w:val="18"/>
              </w:rPr>
              <w:t>0 to 4 installed systems</w:t>
            </w:r>
          </w:p>
        </w:tc>
        <w:tc>
          <w:tcPr>
            <w:tcW w:type="dxa" w:w="1728"/>
          </w:tcPr>
          <w:p>
            <w:pPr>
              <w:spacing w:before="40" w:after="40" w:line="252" w:lineRule="auto"/>
              <w:jc w:val="left"/>
            </w:pPr>
            <w:r>
              <w:rPr>
                <w:rFonts w:ascii="Times New Roman" w:hAnsi="Times New Roman"/>
                <w:sz w:val="18"/>
              </w:rPr>
              <w:t>Engineered sum of binary flags</w:t>
            </w:r>
          </w:p>
        </w:tc>
        <w:tc>
          <w:tcPr>
            <w:tcW w:type="dxa" w:w="1872"/>
          </w:tcPr>
          <w:p>
            <w:pPr>
              <w:spacing w:before="40" w:after="40" w:line="252" w:lineRule="auto"/>
              <w:jc w:val="left"/>
            </w:pPr>
            <w:r>
              <w:rPr>
                <w:rFonts w:ascii="Times New Roman" w:hAnsi="Times New Roman"/>
                <w:sz w:val="18"/>
              </w:rPr>
              <w:t>Captures overall environmental control investment.</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indicator of top quartile heat input rate</w:t>
            </w:r>
          </w:p>
        </w:tc>
        <w:tc>
          <w:tcPr>
            <w:tcW w:type="dxa" w:w="1296"/>
            <w:shd w:fill="FAFAFA"/>
          </w:tcPr>
          <w:p>
            <w:pPr>
              <w:spacing w:before="40" w:after="40" w:line="252" w:lineRule="auto"/>
              <w:jc w:val="left"/>
            </w:pPr>
            <w:r>
              <w:rPr>
                <w:rFonts w:ascii="Times New Roman" w:hAnsi="Times New Roman"/>
                <w:sz w:val="18"/>
              </w:rPr>
              <w:t>Integer (Binary: 0, 1)</w:t>
            </w:r>
          </w:p>
        </w:tc>
        <w:tc>
          <w:tcPr>
            <w:tcW w:type="dxa" w:w="1584"/>
            <w:shd w:fill="FAFAFA"/>
          </w:tcPr>
          <w:p>
            <w:pPr>
              <w:spacing w:before="40" w:after="40" w:line="252" w:lineRule="auto"/>
              <w:jc w:val="left"/>
            </w:pPr>
            <w:r>
              <w:rPr>
                <w:rFonts w:ascii="Times New Roman" w:hAnsi="Times New Roman"/>
                <w:sz w:val="18"/>
              </w:rPr>
              <w:t>0 (Low/Med), 1 (High Emitter)</w:t>
            </w:r>
          </w:p>
        </w:tc>
        <w:tc>
          <w:tcPr>
            <w:tcW w:type="dxa" w:w="1728"/>
            <w:shd w:fill="FAFAFA"/>
          </w:tcPr>
          <w:p>
            <w:pPr>
              <w:spacing w:before="40" w:after="40" w:line="252" w:lineRule="auto"/>
              <w:jc w:val="left"/>
            </w:pPr>
            <w:r>
              <w:rPr>
                <w:rFonts w:ascii="Times New Roman" w:hAnsi="Times New Roman"/>
                <w:sz w:val="18"/>
              </w:rPr>
              <w:t>Engineered via 75th percentile cutoff</w:t>
            </w:r>
          </w:p>
        </w:tc>
        <w:tc>
          <w:tcPr>
            <w:tcW w:type="dxa" w:w="1872"/>
            <w:shd w:fill="FAFAFA"/>
          </w:tcPr>
          <w:p>
            <w:pPr>
              <w:spacing w:before="40" w:after="40" w:line="252" w:lineRule="auto"/>
              <w:jc w:val="left"/>
            </w:pPr>
            <w:r>
              <w:rPr>
                <w:rFonts w:ascii="Times New Roman" w:hAnsi="Times New Roman"/>
                <w:sz w:val="18"/>
              </w:rPr>
              <w:t>Supervised classification target for RQ2.</w:t>
            </w:r>
          </w:p>
        </w:tc>
      </w:tr>
    </w:tbl>
    <w:p>
      <w:pPr>
        <w:spacing w:before="60" w:after="240"/>
      </w:pPr>
      <w:r>
        <w:rPr>
          <w:rFonts w:ascii="Times New Roman" w:hAnsi="Times New Roman"/>
          <w:i/>
          <w:sz w:val="18"/>
        </w:rPr>
        <w:t xml:space="preserve">Note. </w:t>
      </w:r>
      <w:r>
        <w:rPr>
          <w:rFonts w:ascii="Times New Roman" w:hAnsi="Times New Roman"/>
          <w:sz w:val="18"/>
        </w:rPr>
        <w:t>Comprehensive data dictionary detailing raw CAMPD attributes and engineered analytical features.</w:t>
      </w:r>
    </w:p>
    <w:p>
      <w:pPr>
        <w:keepNext/>
        <w:spacing w:before="240" w:after="120"/>
        <w:jc w:val="left"/>
      </w:pPr>
      <w:r>
        <w:rPr>
          <w:rFonts w:ascii="Times New Roman" w:hAnsi="Times New Roman"/>
          <w:b/>
          <w:color w:val="19375F"/>
          <w:sz w:val="24"/>
        </w:rPr>
        <w:t>Sample Size Justification &amp; Analytical Record Allocation across Models</w:t>
      </w:r>
    </w:p>
    <w:p>
      <w:pPr>
        <w:spacing w:after="120" w:line="276" w:lineRule="auto"/>
        <w:jc w:val="left"/>
      </w:pPr>
      <w:r>
        <w:rPr>
          <w:rFonts w:ascii="Times New Roman" w:hAnsi="Times New Roman"/>
          <w:i w:val="0"/>
          <w:sz w:val="22"/>
        </w:rPr>
        <w:t>A foundational methodological strength of this capstone research is that modeling and statistical inferences were conducted on the complete national fleet of 4,050 generating units across 1,328 unique facilities, representing 100% of regulated units in facility-2025.csv with zero records discarded. In accordance with the sampling methodology established in the capstone synopsis, statistical power calculations (Cohen, 1988; Cochran, 1977) confirm that the 4,050 records exceed the minimum sample size requirements for each analytical model by an order of magnitude.</w:t>
      </w:r>
    </w:p>
    <w:p>
      <w:pPr>
        <w:spacing w:after="120" w:line="276" w:lineRule="auto"/>
        <w:jc w:val="left"/>
      </w:pPr>
      <w:r>
        <w:rPr>
          <w:rFonts w:ascii="Times New Roman" w:hAnsi="Times New Roman"/>
          <w:i w:val="0"/>
          <w:sz w:val="22"/>
        </w:rPr>
        <w:t>For RQ1, group comparisons across fuel categories require a minimum of 30 observations per group (rule of thumb) and an aggregate sample of 159–180 units for medium effect size (f = 0.25, power = 80%, α = 0.05); the available 4,050 units exceed this threshold by over 22-fold. For RQ2, predictive classification guidelines dictate 10–20 observations per candidate predictor per class (minimum 120–240 units for 6–12 predictors); our stratified partitioning allocates 3,240 records (80%) to the training set with 5-fold cross-validation and preserves 810 records (20%) as a holdout test set (containing 204 actual high emitters and 606 low emitters), ensuring exceptional model stability and preventing data leakage. For RQ3, linear and multivariate regressions require 300–800 records for small-to-medium effect detection; all 4,050 units are utilized (degrees of freedom = 4,046). For RQ4, unsupervised clustering heuristics require at least 10× the feature count (≥ 300 units); K-Means is executed across the entire 4,050-unit fleet. Table 3 details the exact record allocation across all models.</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Analytical Model Record Allocation and Sample Size Justification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Research Question &amp; Scope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Model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Total Records</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Training Set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Needed (Power)</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728"/>
          </w:tcPr>
          <w:p>
            <w:pPr>
              <w:spacing w:before="40" w:after="40" w:line="252" w:lineRule="auto"/>
              <w:jc w:val="left"/>
            </w:pPr>
            <w:r>
              <w:rPr>
                <w:rFonts w:ascii="Times New Roman" w:hAnsi="Times New Roman"/>
                <w:sz w:val="18"/>
              </w:rPr>
              <w:t>RQ1: Emission &amp; Heat Input Variability across Fuel Types</w:t>
            </w:r>
          </w:p>
        </w:tc>
        <w:tc>
          <w:tcPr>
            <w:tcW w:type="dxa" w:w="1584"/>
          </w:tcPr>
          <w:p>
            <w:pPr>
              <w:spacing w:before="40" w:after="40" w:line="252" w:lineRule="auto"/>
              <w:jc w:val="left"/>
            </w:pPr>
            <w:r>
              <w:rPr>
                <w:rFonts w:ascii="Times New Roman" w:hAnsi="Times New Roman"/>
                <w:sz w:val="18"/>
              </w:rPr>
              <w:t>One-Way ANOVA &amp; Kruskal-Wallis Test</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(Omnibus inference)</w:t>
            </w:r>
          </w:p>
        </w:tc>
        <w:tc>
          <w:tcPr>
            <w:tcW w:type="dxa" w:w="1440"/>
          </w:tcPr>
          <w:p>
            <w:pPr>
              <w:spacing w:before="40" w:after="40" w:line="252" w:lineRule="auto"/>
              <w:jc w:val="left"/>
            </w:pPr>
            <w:r>
              <w:rPr>
                <w:rFonts w:ascii="Times New Roman" w:hAnsi="Times New Roman"/>
                <w:sz w:val="18"/>
              </w:rPr>
              <w:t>159–180 units (f = 0.25, power = 80%)</w:t>
            </w:r>
          </w:p>
        </w:tc>
        <w:tc>
          <w:tcPr>
            <w:tcW w:type="dxa" w:w="1584"/>
          </w:tcPr>
          <w:p>
            <w:pPr>
              <w:spacing w:before="40" w:after="40" w:line="252" w:lineRule="auto"/>
              <w:jc w:val="left"/>
            </w:pPr>
            <w:r>
              <w:rPr>
                <w:rFonts w:ascii="Times New Roman" w:hAnsi="Times New Roman"/>
                <w:sz w:val="18"/>
              </w:rPr>
              <w:t>Exceeds minimum by &gt;22×; highly robust to non-normality.</w:t>
            </w:r>
          </w:p>
        </w:tc>
      </w:tr>
      <w:tr>
        <w:tc>
          <w:tcPr>
            <w:tcW w:type="dxa" w:w="1728"/>
            <w:shd w:fill="FAFAFA"/>
          </w:tcPr>
          <w:p>
            <w:pPr>
              <w:spacing w:before="40" w:after="40" w:line="252" w:lineRule="auto"/>
              <w:jc w:val="left"/>
            </w:pPr>
            <w:r>
              <w:rPr>
                <w:rFonts w:ascii="Times New Roman" w:hAnsi="Times New Roman"/>
                <w:sz w:val="18"/>
              </w:rPr>
              <w:t>RQ2: Predictive Classification of High-Emission Units</w:t>
            </w:r>
          </w:p>
        </w:tc>
        <w:tc>
          <w:tcPr>
            <w:tcW w:type="dxa" w:w="1584"/>
            <w:shd w:fill="FAFAFA"/>
          </w:tcPr>
          <w:p>
            <w:pPr>
              <w:spacing w:before="40" w:after="40" w:line="252" w:lineRule="auto"/>
              <w:jc w:val="left"/>
            </w:pPr>
            <w:r>
              <w:rPr>
                <w:rFonts w:ascii="Times New Roman" w:hAnsi="Times New Roman"/>
                <w:sz w:val="18"/>
              </w:rPr>
              <w:t>Random Forest, Gradient Boosting, Logistic Regression</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3,240 records (80% stratified)</w:t>
            </w:r>
          </w:p>
        </w:tc>
        <w:tc>
          <w:tcPr>
            <w:tcW w:type="dxa" w:w="1584"/>
            <w:shd w:fill="FAFAFA"/>
          </w:tcPr>
          <w:p>
            <w:pPr>
              <w:spacing w:before="40" w:after="40" w:line="252" w:lineRule="auto"/>
              <w:jc w:val="left"/>
            </w:pPr>
            <w:r>
              <w:rPr>
                <w:rFonts w:ascii="Times New Roman" w:hAnsi="Times New Roman"/>
                <w:sz w:val="18"/>
              </w:rPr>
              <w:t>810 records (20% holdout: 204 High / 606 Low)</w:t>
            </w:r>
          </w:p>
        </w:tc>
        <w:tc>
          <w:tcPr>
            <w:tcW w:type="dxa" w:w="1440"/>
            <w:shd w:fill="FAFAFA"/>
          </w:tcPr>
          <w:p>
            <w:pPr>
              <w:spacing w:before="40" w:after="40" w:line="252" w:lineRule="auto"/>
              <w:jc w:val="left"/>
            </w:pPr>
            <w:r>
              <w:rPr>
                <w:rFonts w:ascii="Times New Roman" w:hAnsi="Times New Roman"/>
                <w:sz w:val="18"/>
              </w:rPr>
              <w:t>120–240 units (10–20 per predictor/class)</w:t>
            </w:r>
          </w:p>
        </w:tc>
        <w:tc>
          <w:tcPr>
            <w:tcW w:type="dxa" w:w="1584"/>
            <w:shd w:fill="FAFAFA"/>
          </w:tcPr>
          <w:p>
            <w:pPr>
              <w:spacing w:before="40" w:after="40" w:line="252" w:lineRule="auto"/>
              <w:jc w:val="left"/>
            </w:pPr>
            <w:r>
              <w:rPr>
                <w:rFonts w:ascii="Times New Roman" w:hAnsi="Times New Roman"/>
                <w:sz w:val="18"/>
              </w:rPr>
              <w:t>Exceeds minimum by &gt;13×; 5-fold CV ensures generalizability without leakage.</w:t>
            </w:r>
          </w:p>
        </w:tc>
      </w:tr>
      <w:tr>
        <w:tc>
          <w:tcPr>
            <w:tcW w:type="dxa" w:w="1728"/>
          </w:tcPr>
          <w:p>
            <w:pPr>
              <w:spacing w:before="40" w:after="40" w:line="252" w:lineRule="auto"/>
              <w:jc w:val="left"/>
            </w:pPr>
            <w:r>
              <w:rPr>
                <w:rFonts w:ascii="Times New Roman" w:hAnsi="Times New Roman"/>
                <w:sz w:val="18"/>
              </w:rPr>
              <w:t>RQ3: Unit Age and Operational Thermal Intensity</w:t>
            </w:r>
          </w:p>
        </w:tc>
        <w:tc>
          <w:tcPr>
            <w:tcW w:type="dxa" w:w="1584"/>
          </w:tcPr>
          <w:p>
            <w:pPr>
              <w:spacing w:before="40" w:after="40" w:line="252" w:lineRule="auto"/>
              <w:jc w:val="left"/>
            </w:pPr>
            <w:r>
              <w:rPr>
                <w:rFonts w:ascii="Times New Roman" w:hAnsi="Times New Roman"/>
                <w:sz w:val="18"/>
              </w:rPr>
              <w:t>Bivariate &amp; Multivariate OLS Regressions</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(df = 4,046; residual diagnostics)</w:t>
            </w:r>
          </w:p>
        </w:tc>
        <w:tc>
          <w:tcPr>
            <w:tcW w:type="dxa" w:w="1440"/>
          </w:tcPr>
          <w:p>
            <w:pPr>
              <w:spacing w:before="40" w:after="40" w:line="252" w:lineRule="auto"/>
              <w:jc w:val="left"/>
            </w:pPr>
            <w:r>
              <w:rPr>
                <w:rFonts w:ascii="Times New Roman" w:hAnsi="Times New Roman"/>
                <w:sz w:val="18"/>
              </w:rPr>
              <w:t>300–800 units (Small-medium effect, r ≈ 0.1-0.3)</w:t>
            </w:r>
          </w:p>
        </w:tc>
        <w:tc>
          <w:tcPr>
            <w:tcW w:type="dxa" w:w="1584"/>
          </w:tcPr>
          <w:p>
            <w:pPr>
              <w:spacing w:before="40" w:after="40" w:line="252" w:lineRule="auto"/>
              <w:jc w:val="left"/>
            </w:pPr>
            <w:r>
              <w:rPr>
                <w:rFonts w:ascii="Times New Roman" w:hAnsi="Times New Roman"/>
                <w:sz w:val="18"/>
              </w:rPr>
              <w:t>Exceeds minimum by &gt;5×; highly stable parameter standard errors.</w:t>
            </w:r>
          </w:p>
        </w:tc>
      </w:tr>
      <w:tr>
        <w:tc>
          <w:tcPr>
            <w:tcW w:type="dxa" w:w="1728"/>
            <w:shd w:fill="FAFAFA"/>
          </w:tcPr>
          <w:p>
            <w:pPr>
              <w:spacing w:before="40" w:after="40" w:line="252" w:lineRule="auto"/>
              <w:jc w:val="left"/>
            </w:pPr>
            <w:r>
              <w:rPr>
                <w:rFonts w:ascii="Times New Roman" w:hAnsi="Times New Roman"/>
                <w:sz w:val="18"/>
              </w:rPr>
              <w:t>RQ4: Unsupervised Fleet Segmentation &amp; Archetype Profiling</w:t>
            </w:r>
          </w:p>
        </w:tc>
        <w:tc>
          <w:tcPr>
            <w:tcW w:type="dxa" w:w="1584"/>
            <w:shd w:fill="FAFAFA"/>
          </w:tcPr>
          <w:p>
            <w:pPr>
              <w:spacing w:before="40" w:after="40" w:line="252" w:lineRule="auto"/>
              <w:jc w:val="left"/>
            </w:pPr>
            <w:r>
              <w:rPr>
                <w:rFonts w:ascii="Times New Roman" w:hAnsi="Times New Roman"/>
                <w:sz w:val="18"/>
              </w:rPr>
              <w:t>K-Means Clustering &amp; 2D Principal Component Analysis</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4,050 records (Full population)</w:t>
            </w:r>
          </w:p>
        </w:tc>
        <w:tc>
          <w:tcPr>
            <w:tcW w:type="dxa" w:w="1584"/>
            <w:shd w:fill="FAFAFA"/>
          </w:tcPr>
          <w:p>
            <w:pPr>
              <w:spacing w:before="40" w:after="40" w:line="252" w:lineRule="auto"/>
              <w:jc w:val="left"/>
            </w:pPr>
            <w:r>
              <w:rPr>
                <w:rFonts w:ascii="Times New Roman" w:hAnsi="Times New Roman"/>
                <w:sz w:val="18"/>
              </w:rPr>
              <w:t>N/A (Fleet-wide centroid optimization)</w:t>
            </w:r>
          </w:p>
        </w:tc>
        <w:tc>
          <w:tcPr>
            <w:tcW w:type="dxa" w:w="1440"/>
            <w:shd w:fill="FAFAFA"/>
          </w:tcPr>
          <w:p>
            <w:pPr>
              <w:spacing w:before="40" w:after="40" w:line="252" w:lineRule="auto"/>
              <w:jc w:val="left"/>
            </w:pPr>
            <w:r>
              <w:rPr>
                <w:rFonts w:ascii="Times New Roman" w:hAnsi="Times New Roman"/>
                <w:sz w:val="18"/>
              </w:rPr>
              <w:t>≥ 300 units (≥ 10× feature count rule)</w:t>
            </w:r>
          </w:p>
        </w:tc>
        <w:tc>
          <w:tcPr>
            <w:tcW w:type="dxa" w:w="1584"/>
            <w:shd w:fill="FAFAFA"/>
          </w:tcPr>
          <w:p>
            <w:pPr>
              <w:spacing w:before="40" w:after="40" w:line="252" w:lineRule="auto"/>
              <w:jc w:val="left"/>
            </w:pPr>
            <w:r>
              <w:rPr>
                <w:rFonts w:ascii="Times New Roman" w:hAnsi="Times New Roman"/>
                <w:sz w:val="18"/>
              </w:rPr>
              <w:t>Exceeds minimum by &gt;13×; stable centroid formation and silhouette.</w:t>
            </w:r>
          </w:p>
        </w:tc>
      </w:tr>
    </w:tbl>
    <w:p>
      <w:pPr>
        <w:spacing w:before="60" w:after="240"/>
      </w:pPr>
      <w:r>
        <w:rPr>
          <w:rFonts w:ascii="Times New Roman" w:hAnsi="Times New Roman"/>
          <w:i/>
          <w:sz w:val="18"/>
        </w:rPr>
        <w:t xml:space="preserve">Note. </w:t>
      </w:r>
      <w:r>
        <w:rPr>
          <w:rFonts w:ascii="Times New Roman" w:hAnsi="Times New Roman"/>
          <w:sz w:val="18"/>
        </w:rPr>
        <w:t>Comprehensive allocation of records across models confirming 100% data preservation (zero records discarded) and statistical power adequacy.</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In accordance with university capstone requirements, the complete raw and processed datasets and Python notebooks/scripts are permanently maintained and available in the GitHub repository under:</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20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 (and https://github.com/djmsritai-tech/QM640-Data-Analytics-Capstone/blob/main/QM640_Capstone_Analytics_Notebook_DhananjayVerma_0291493.ipynb)</w:t>
      </w:r>
    </w:p>
    <w:p>
      <w:pPr>
        <w:keepNext/>
        <w:spacing w:before="240" w:after="120"/>
        <w:jc w:val="left"/>
      </w:pPr>
      <w:r>
        <w:rPr>
          <w:rFonts w:ascii="Times New Roman" w:hAnsi="Times New Roman"/>
          <w:b/>
          <w:color w:val="19375F"/>
          <w:sz w:val="24"/>
        </w:rPr>
        <w:t>Screenshots / Evidence (as required)</w:t>
      </w:r>
    </w:p>
    <w:p>
      <w:pPr>
        <w:spacing w:after="120" w:line="276" w:lineRule="auto"/>
        <w:jc w:val="left"/>
      </w:pPr>
      <w:r>
        <w:rPr>
          <w:rFonts w:ascii="Times New Roman" w:hAnsi="Times New Roman"/>
          <w:i w:val="0"/>
          <w:sz w:val="22"/>
        </w:rPr>
        <w:t>To satisfy the academic audit requirement, the file and directory architecture of the capstone project repository is structured hierarchically as depicted below:</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[Raw EPA CAMPD dataset: 4,050 rows, 30 columns]</w:t>
        <w:br/>
        <w:t>│   └── processed/</w:t>
        <w:br/>
        <w:t>│       └── facility_clean_processed.csv  [Engineered dataset: 4,050 rows, 45 columns]</w:t>
        <w:br/>
        <w:t>│</w:t>
        <w:br/>
        <w:t>├── scripts/</w:t>
        <w:br/>
        <w:t>│   ├── dhananjay_final_capston_report_analytics.py [End-to-end Python statistical &amp; ML pipeline]</w:t>
        <w:br/>
        <w:t>│   ├── build_full_interim_report.py                [APA 7 Interim Report generation script]</w:t>
        <w:br/>
        <w:t>│   ├── build_full_final_report.py                  [APA 7 Final Report generation script]</w:t>
        <w:br/>
        <w:t>│   └── QM640_Capstone_Analytics_Notebook_DhananjayVerma_0291493.ipynb [Runnable Jupyter Notebook]</w:t>
        <w:br/>
        <w:t>│</w:t>
        <w:br/>
        <w:t>├── outputs/</w:t>
        <w:br/>
        <w:t>│   ├── analytics_results.json            [Complete JSON export of test statistics &amp; metrics]</w:t>
        <w:br/>
        <w:t>│   └── figures/                          [11 APA 7 publication figures (300 DPI)]</w:t>
        <w:br/>
        <w:t>│       ├── figure0_system_architecture.png</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 QM 640_Final_Report_DhananjayVerma-0291493.docx    [Standalone 40-page Final Report (.docx)]</w:t>
        <w:br/>
        <w:t>│   ├── QM 640_Final_Report_DhananjayVerma-0291493.pdf     [Standalone Compiled Final Report (.pdf)]</w:t>
        <w:br/>
        <w:t>│   ├── QM 640_Interim_Report_DhananjayVerma-0291493.docx  [Standalone 32-page Interim Report (.docx)]</w:t>
        <w:br/>
        <w:t>│   ├── QM 640_Interim_Report_DhananjayVerma-0291493.pdf   [Standalone Compiled Interim Report (.pdf)]</w:t>
        <w:br/>
        <w:t>│   └── QM640_Capstone_Synopsis_DhananjayVerma-0291493.docx [Approved Capstone Synopsis]</w:t>
        <w:br/>
        <w:t>│</w:t>
        <w:br/>
        <w:t>├── QM640_Capstone_Analytics_Notebook_DhananjayVerma_0291493.ipynb [Root Runnable Jupyter Notebook]</w:t>
        <w:br/>
        <w:t>├── requirements.txt                      [Python environment package requirements]</w:t>
        <w:br/>
        <w:t>├── .gitignore                            [Standard git exclusion rules]</w:t>
        <w:br/>
        <w:t>└── README.md                             [Comprehensive project documentation]</w:t>
      </w:r>
    </w:p>
    <w:p>
      <w:pPr>
        <w:keepNext/>
        <w:spacing w:before="320" w:after="160"/>
        <w:jc w:val="center"/>
      </w:pPr>
      <w:r>
        <w:rPr>
          <w:rFonts w:ascii="Times New Roman" w:hAnsi="Times New Roman"/>
          <w:b/>
          <w:color w:val="0F2240"/>
          <w:sz w:val="28"/>
        </w:rPr>
        <w:t>4. Analysis &amp; Exploratory Results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Rigorous data cleaning and preprocessing protocols were instituted to resolve data quality anomalies, structural formatting irregularities, and missing values inherent in regulatory filings. Table 4 enumerates the complete data cleaning log, specifying the anomaly detected, variables impacted, detection methodology, corrective treatment applied, and theoretical rationale.</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Data Cleaning and Preprocessing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Variables Affected</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Detection Method</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Treatment Applied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Rationale</w:t>
            </w:r>
          </w:p>
        </w:tc>
      </w:tr>
      <w:tr>
        <w:tc>
          <w:tcPr>
            <w:tcW w:type="dxa" w:w="1872"/>
          </w:tcPr>
          <w:p>
            <w:pPr>
              <w:spacing w:before="40" w:after="40" w:line="252" w:lineRule="auto"/>
              <w:jc w:val="left"/>
            </w:pPr>
            <w:r>
              <w:rPr>
                <w:rFonts w:ascii="Times New Roman" w:hAnsi="Times New Roman"/>
                <w:sz w:val="18"/>
              </w:rPr>
              <w:t>Duplicate Records</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Pandas duplicated() key check</w:t>
            </w:r>
          </w:p>
        </w:tc>
        <w:tc>
          <w:tcPr>
            <w:tcW w:type="dxa" w:w="2016"/>
          </w:tcPr>
          <w:p>
            <w:pPr>
              <w:spacing w:before="40" w:after="40" w:line="252" w:lineRule="auto"/>
              <w:jc w:val="left"/>
            </w:pPr>
            <w:r>
              <w:rPr>
                <w:rFonts w:ascii="Times New Roman" w:hAnsi="Times New Roman"/>
                <w:sz w:val="18"/>
              </w:rPr>
              <w:t>Verified 0 duplicate primary keys across 4,050 rows</w:t>
            </w:r>
          </w:p>
        </w:tc>
        <w:tc>
          <w:tcPr>
            <w:tcW w:type="dxa" w:w="2448"/>
          </w:tcPr>
          <w:p>
            <w:pPr>
              <w:spacing w:before="40" w:after="40" w:line="252" w:lineRule="auto"/>
              <w:jc w:val="left"/>
            </w:pPr>
            <w:r>
              <w:rPr>
                <w:rFonts w:ascii="Times New Roman" w:hAnsi="Times New Roman"/>
                <w:sz w:val="18"/>
              </w:rPr>
              <w:t>Ensures data integrity and prevents artificial sample inflation.</w:t>
            </w:r>
          </w:p>
        </w:tc>
      </w:tr>
      <w:tr>
        <w:tc>
          <w:tcPr>
            <w:tcW w:type="dxa" w:w="1872"/>
            <w:shd w:fill="FAFAFA"/>
          </w:tcPr>
          <w:p>
            <w:pPr>
              <w:spacing w:before="40" w:after="40" w:line="252" w:lineRule="auto"/>
              <w:jc w:val="left"/>
            </w:pPr>
            <w:r>
              <w:rPr>
                <w:rFonts w:ascii="Times New Roman" w:hAnsi="Times New Roman"/>
                <w:sz w:val="18"/>
              </w:rPr>
              <w:t>Missing Pollution Controls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isna().sum() check (596 to 3,877 missing)</w:t>
            </w:r>
          </w:p>
        </w:tc>
        <w:tc>
          <w:tcPr>
            <w:tcW w:type="dxa" w:w="2016"/>
            <w:shd w:fill="FAFAFA"/>
          </w:tcPr>
          <w:p>
            <w:pPr>
              <w:spacing w:before="40" w:after="40" w:line="252" w:lineRule="auto"/>
              <w:jc w:val="left"/>
            </w:pPr>
            <w:r>
              <w:rPr>
                <w:rFonts w:ascii="Times New Roman" w:hAnsi="Times New Roman"/>
                <w:sz w:val="18"/>
              </w:rPr>
              <w:t>Imputed as 'Uncontrolled' (0); encoded binary presence flags</w:t>
            </w:r>
          </w:p>
        </w:tc>
        <w:tc>
          <w:tcPr>
            <w:tcW w:type="dxa" w:w="2448"/>
            <w:shd w:fill="FAFAFA"/>
          </w:tcPr>
          <w:p>
            <w:pPr>
              <w:spacing w:before="40" w:after="40" w:line="252" w:lineRule="auto"/>
              <w:jc w:val="left"/>
            </w:pPr>
            <w:r>
              <w:rPr>
                <w:rFonts w:ascii="Times New Roman" w:hAnsi="Times New Roman"/>
                <w:sz w:val="18"/>
              </w:rPr>
              <w:t>In EPA CAMPD, missing control fields denote absence of dedicated abatement hardware.</w:t>
            </w:r>
          </w:p>
        </w:tc>
      </w:tr>
      <w:tr>
        <w:tc>
          <w:tcPr>
            <w:tcW w:type="dxa" w:w="1872"/>
          </w:tcPr>
          <w:p>
            <w:pPr>
              <w:spacing w:before="40" w:after="40" w:line="252" w:lineRule="auto"/>
              <w:jc w:val="left"/>
            </w:pPr>
            <w:r>
              <w:rPr>
                <w:rFonts w:ascii="Times New Roman" w:hAnsi="Times New Roman"/>
                <w:sz w:val="18"/>
              </w:rPr>
              <w:t>String-Formatted Capacity</w:t>
            </w:r>
          </w:p>
        </w:tc>
        <w:tc>
          <w:tcPr>
            <w:tcW w:type="dxa" w:w="2016"/>
          </w:tcPr>
          <w:p>
            <w:pPr>
              <w:spacing w:before="40" w:after="40" w:line="252" w:lineRule="auto"/>
              <w:jc w:val="left"/>
            </w:pPr>
            <w:r>
              <w:rPr>
                <w:rFonts w:ascii="Times New Roman" w:hAnsi="Times New Roman"/>
                <w:sz w:val="18"/>
              </w:rPr>
              <w:t>Associated Generators &amp; Nameplate Capacity</w:t>
            </w:r>
          </w:p>
        </w:tc>
        <w:tc>
          <w:tcPr>
            <w:tcW w:type="dxa" w:w="1728"/>
          </w:tcPr>
          <w:p>
            <w:pPr>
              <w:spacing w:before="40" w:after="40" w:line="252" w:lineRule="auto"/>
              <w:jc w:val="left"/>
            </w:pPr>
            <w:r>
              <w:rPr>
                <w:rFonts w:ascii="Times New Roman" w:hAnsi="Times New Roman"/>
                <w:sz w:val="18"/>
              </w:rPr>
              <w:t>Regex search for parenthetical MWe numbers</w:t>
            </w:r>
          </w:p>
        </w:tc>
        <w:tc>
          <w:tcPr>
            <w:tcW w:type="dxa" w:w="2016"/>
          </w:tcPr>
          <w:p>
            <w:pPr>
              <w:spacing w:before="40" w:after="40" w:line="252" w:lineRule="auto"/>
              <w:jc w:val="left"/>
            </w:pPr>
            <w:r>
              <w:rPr>
                <w:rFonts w:ascii="Times New Roman" w:hAnsi="Times New Roman"/>
                <w:sz w:val="18"/>
              </w:rPr>
              <w:t>Extracted numerical MWe values and summed multi-generator units</w:t>
            </w:r>
          </w:p>
        </w:tc>
        <w:tc>
          <w:tcPr>
            <w:tcW w:type="dxa" w:w="2448"/>
          </w:tcPr>
          <w:p>
            <w:pPr>
              <w:spacing w:before="40" w:after="40" w:line="252" w:lineRule="auto"/>
              <w:jc w:val="left"/>
            </w:pPr>
            <w:r>
              <w:rPr>
                <w:rFonts w:ascii="Times New Roman" w:hAnsi="Times New Roman"/>
                <w:sz w:val="18"/>
              </w:rPr>
              <w:t>Converts unstandardized text strings into continuous numerical capacity (Capacity_MW).</w:t>
            </w:r>
          </w:p>
        </w:tc>
      </w:tr>
      <w:tr>
        <w:tc>
          <w:tcPr>
            <w:tcW w:type="dxa" w:w="1872"/>
            <w:shd w:fill="FAFAFA"/>
          </w:tcPr>
          <w:p>
            <w:pPr>
              <w:spacing w:before="40" w:after="40" w:line="252" w:lineRule="auto"/>
              <w:jc w:val="left"/>
            </w:pPr>
            <w:r>
              <w:rPr>
                <w:rFonts w:ascii="Times New Roman" w:hAnsi="Times New Roman"/>
                <w:sz w:val="18"/>
              </w:rPr>
              <w:t>Missing Nameplate Capacity</w:t>
            </w:r>
          </w:p>
        </w:tc>
        <w:tc>
          <w:tcPr>
            <w:tcW w:type="dxa" w:w="2016"/>
            <w:shd w:fill="FAFAFA"/>
          </w:tcPr>
          <w:p>
            <w:pPr>
              <w:spacing w:before="40" w:after="40" w:line="252" w:lineRule="auto"/>
              <w:jc w:val="left"/>
            </w:pPr>
            <w:r>
              <w:rPr>
                <w:rFonts w:ascii="Times New Roman" w:hAnsi="Times New Roman"/>
                <w:sz w:val="18"/>
              </w:rPr>
              <w:t>Capacity_MW</w:t>
            </w:r>
          </w:p>
        </w:tc>
        <w:tc>
          <w:tcPr>
            <w:tcW w:type="dxa" w:w="1728"/>
            <w:shd w:fill="FAFAFA"/>
          </w:tcPr>
          <w:p>
            <w:pPr>
              <w:spacing w:before="40" w:after="40" w:line="252" w:lineRule="auto"/>
              <w:jc w:val="left"/>
            </w:pPr>
            <w:r>
              <w:rPr>
                <w:rFonts w:ascii="Times New Roman" w:hAnsi="Times New Roman"/>
                <w:sz w:val="18"/>
              </w:rPr>
              <w:t>150 missing values post-parsing (3.70%)</w:t>
            </w:r>
          </w:p>
        </w:tc>
        <w:tc>
          <w:tcPr>
            <w:tcW w:type="dxa" w:w="2016"/>
            <w:shd w:fill="FAFAFA"/>
          </w:tcPr>
          <w:p>
            <w:pPr>
              <w:spacing w:before="40" w:after="40" w:line="252" w:lineRule="auto"/>
              <w:jc w:val="left"/>
            </w:pPr>
            <w:r>
              <w:rPr>
                <w:rFonts w:ascii="Times New Roman" w:hAnsi="Times New Roman"/>
                <w:sz w:val="18"/>
              </w:rPr>
              <w:t>Imputed using median capacity grouped by Unit_Type_Category</w:t>
            </w:r>
          </w:p>
        </w:tc>
        <w:tc>
          <w:tcPr>
            <w:tcW w:type="dxa" w:w="2448"/>
            <w:shd w:fill="FAFAFA"/>
          </w:tcPr>
          <w:p>
            <w:pPr>
              <w:spacing w:before="40" w:after="40" w:line="252" w:lineRule="auto"/>
              <w:jc w:val="left"/>
            </w:pPr>
            <w:r>
              <w:rPr>
                <w:rFonts w:ascii="Times New Roman" w:hAnsi="Times New Roman"/>
                <w:sz w:val="18"/>
              </w:rPr>
              <w:t>Preserves sample size while avoiding bias from cross-technology capacity disparities.</w:t>
            </w:r>
          </w:p>
        </w:tc>
      </w:tr>
      <w:tr>
        <w:tc>
          <w:tcPr>
            <w:tcW w:type="dxa" w:w="1872"/>
          </w:tcPr>
          <w:p>
            <w:pPr>
              <w:spacing w:before="40" w:after="40" w:line="252" w:lineRule="auto"/>
              <w:jc w:val="left"/>
            </w:pPr>
            <w:r>
              <w:rPr>
                <w:rFonts w:ascii="Times New Roman" w:hAnsi="Times New Roman"/>
                <w:sz w:val="18"/>
              </w:rPr>
              <w:t>Commercial Date Formatting</w:t>
            </w:r>
          </w:p>
        </w:tc>
        <w:tc>
          <w:tcPr>
            <w:tcW w:type="dxa" w:w="2016"/>
          </w:tcPr>
          <w:p>
            <w:pPr>
              <w:spacing w:before="40" w:after="40" w:line="252" w:lineRule="auto"/>
              <w:jc w:val="left"/>
            </w:pPr>
            <w:r>
              <w:rPr>
                <w:rFonts w:ascii="Times New Roman" w:hAnsi="Times New Roman"/>
                <w:sz w:val="18"/>
              </w:rPr>
              <w:t>Commercial Operation Date</w:t>
            </w:r>
          </w:p>
        </w:tc>
        <w:tc>
          <w:tcPr>
            <w:tcW w:type="dxa" w:w="1728"/>
          </w:tcPr>
          <w:p>
            <w:pPr>
              <w:spacing w:before="40" w:after="40" w:line="252" w:lineRule="auto"/>
              <w:jc w:val="left"/>
            </w:pPr>
            <w:r>
              <w:rPr>
                <w:rFonts w:ascii="Times New Roman" w:hAnsi="Times New Roman"/>
                <w:sz w:val="18"/>
              </w:rPr>
              <w:t>pd.to_datetime() conversion check</w:t>
            </w:r>
          </w:p>
        </w:tc>
        <w:tc>
          <w:tcPr>
            <w:tcW w:type="dxa" w:w="2016"/>
          </w:tcPr>
          <w:p>
            <w:pPr>
              <w:spacing w:before="40" w:after="40" w:line="252" w:lineRule="auto"/>
              <w:jc w:val="left"/>
            </w:pPr>
            <w:r>
              <w:rPr>
                <w:rFonts w:ascii="Times New Roman" w:hAnsi="Times New Roman"/>
                <w:sz w:val="18"/>
              </w:rPr>
              <w:t>Converted valid dates; 36 missing imputed via unit-type median</w:t>
            </w:r>
          </w:p>
        </w:tc>
        <w:tc>
          <w:tcPr>
            <w:tcW w:type="dxa" w:w="2448"/>
          </w:tcPr>
          <w:p>
            <w:pPr>
              <w:spacing w:before="40" w:after="40" w:line="252" w:lineRule="auto"/>
              <w:jc w:val="left"/>
            </w:pPr>
            <w:r>
              <w:rPr>
                <w:rFonts w:ascii="Times New Roman" w:hAnsi="Times New Roman"/>
                <w:sz w:val="18"/>
              </w:rPr>
              <w:t>Enables exact calculation of continuous unit vintage: Unit_Age = 2025 - Year.</w:t>
            </w:r>
          </w:p>
        </w:tc>
      </w:tr>
      <w:tr>
        <w:tc>
          <w:tcPr>
            <w:tcW w:type="dxa" w:w="1872"/>
            <w:shd w:fill="FAFAFA"/>
          </w:tcPr>
          <w:p>
            <w:pPr>
              <w:spacing w:before="40" w:after="40" w:line="252" w:lineRule="auto"/>
              <w:jc w:val="left"/>
            </w:pPr>
            <w:r>
              <w:rPr>
                <w:rFonts w:ascii="Times New Roman" w:hAnsi="Times New Roman"/>
                <w:sz w:val="18"/>
              </w:rPr>
              <w:t>Missing Heat Input Rate</w:t>
            </w:r>
          </w:p>
        </w:tc>
        <w:tc>
          <w:tcPr>
            <w:tcW w:type="dxa" w:w="2016"/>
            <w:shd w:fill="FAFAFA"/>
          </w:tcPr>
          <w:p>
            <w:pPr>
              <w:spacing w:before="40" w:after="40" w:line="252" w:lineRule="auto"/>
              <w:jc w:val="left"/>
            </w:pPr>
            <w:r>
              <w:rPr>
                <w:rFonts w:ascii="Times New Roman" w:hAnsi="Times New Roman"/>
                <w:sz w:val="18"/>
              </w:rPr>
              <w:t>Max Hourly HI Rate (mmBtu/hr)</w:t>
            </w:r>
          </w:p>
        </w:tc>
        <w:tc>
          <w:tcPr>
            <w:tcW w:type="dxa" w:w="1728"/>
            <w:shd w:fill="FAFAFA"/>
          </w:tcPr>
          <w:p>
            <w:pPr>
              <w:spacing w:before="40" w:after="40" w:line="252" w:lineRule="auto"/>
              <w:jc w:val="left"/>
            </w:pPr>
            <w:r>
              <w:rPr>
                <w:rFonts w:ascii="Times New Roman" w:hAnsi="Times New Roman"/>
                <w:sz w:val="18"/>
              </w:rPr>
              <w:t>44 missing values (1.09%)</w:t>
            </w:r>
          </w:p>
        </w:tc>
        <w:tc>
          <w:tcPr>
            <w:tcW w:type="dxa" w:w="2016"/>
            <w:shd w:fill="FAFAFA"/>
          </w:tcPr>
          <w:p>
            <w:pPr>
              <w:spacing w:before="40" w:after="40" w:line="252" w:lineRule="auto"/>
              <w:jc w:val="left"/>
            </w:pPr>
            <w:r>
              <w:rPr>
                <w:rFonts w:ascii="Times New Roman" w:hAnsi="Times New Roman"/>
                <w:sz w:val="18"/>
              </w:rPr>
              <w:t>Imputed using median Heat-Input-to-Capacity ratio for unit type</w:t>
            </w:r>
          </w:p>
        </w:tc>
        <w:tc>
          <w:tcPr>
            <w:tcW w:type="dxa" w:w="2448"/>
            <w:shd w:fill="FAFAFA"/>
          </w:tcPr>
          <w:p>
            <w:pPr>
              <w:spacing w:before="40" w:after="40" w:line="252" w:lineRule="auto"/>
              <w:jc w:val="left"/>
            </w:pPr>
            <w:r>
              <w:rPr>
                <w:rFonts w:ascii="Times New Roman" w:hAnsi="Times New Roman"/>
                <w:sz w:val="18"/>
              </w:rPr>
              <w:t>Maintains physical thermal consistency (nominal heat rate ~ 9.5 mmBtu/MWe).</w:t>
            </w:r>
          </w:p>
        </w:tc>
      </w:tr>
      <w:tr>
        <w:tc>
          <w:tcPr>
            <w:tcW w:type="dxa" w:w="1872"/>
          </w:tcPr>
          <w:p>
            <w:pPr>
              <w:spacing w:before="40" w:after="40" w:line="252" w:lineRule="auto"/>
              <w:jc w:val="left"/>
            </w:pPr>
            <w:r>
              <w:rPr>
                <w:rFonts w:ascii="Times New Roman" w:hAnsi="Times New Roman"/>
                <w:sz w:val="18"/>
              </w:rPr>
              <w:t>High-Cardinality Fuel Types</w:t>
            </w:r>
          </w:p>
        </w:tc>
        <w:tc>
          <w:tcPr>
            <w:tcW w:type="dxa" w:w="2016"/>
          </w:tcPr>
          <w:p>
            <w:pPr>
              <w:spacing w:before="40" w:after="40" w:line="252" w:lineRule="auto"/>
              <w:jc w:val="left"/>
            </w:pPr>
            <w:r>
              <w:rPr>
                <w:rFonts w:ascii="Times New Roman" w:hAnsi="Times New Roman"/>
                <w:sz w:val="18"/>
              </w:rPr>
              <w:t>Primary Fuel Type</w:t>
            </w:r>
          </w:p>
        </w:tc>
        <w:tc>
          <w:tcPr>
            <w:tcW w:type="dxa" w:w="1728"/>
          </w:tcPr>
          <w:p>
            <w:pPr>
              <w:spacing w:before="40" w:after="40" w:line="252" w:lineRule="auto"/>
              <w:jc w:val="left"/>
            </w:pPr>
            <w:r>
              <w:rPr>
                <w:rFonts w:ascii="Times New Roman" w:hAnsi="Times New Roman"/>
                <w:sz w:val="18"/>
              </w:rPr>
              <w:t>value_counts() check (12 distinct codes)</w:t>
            </w:r>
          </w:p>
        </w:tc>
        <w:tc>
          <w:tcPr>
            <w:tcW w:type="dxa" w:w="2016"/>
          </w:tcPr>
          <w:p>
            <w:pPr>
              <w:spacing w:before="40" w:after="40" w:line="252" w:lineRule="auto"/>
              <w:jc w:val="left"/>
            </w:pPr>
            <w:r>
              <w:rPr>
                <w:rFonts w:ascii="Times New Roman" w:hAnsi="Times New Roman"/>
                <w:sz w:val="18"/>
              </w:rPr>
              <w:t>Consolidated into 5 robust classes: Natural Gas, Coal, Oil/Diesel, Biomass, Other</w:t>
            </w:r>
          </w:p>
        </w:tc>
        <w:tc>
          <w:tcPr>
            <w:tcW w:type="dxa" w:w="2448"/>
          </w:tcPr>
          <w:p>
            <w:pPr>
              <w:spacing w:before="40" w:after="40" w:line="252" w:lineRule="auto"/>
              <w:jc w:val="left"/>
            </w:pPr>
            <w:r>
              <w:rPr>
                <w:rFonts w:ascii="Times New Roman" w:hAnsi="Times New Roman"/>
                <w:sz w:val="18"/>
              </w:rPr>
              <w:t>Satisfies statistical power requirements (Rule of thumb ≥ 30 units per group for ANOVA).</w:t>
            </w:r>
          </w:p>
        </w:tc>
      </w:tr>
      <w:tr>
        <w:tc>
          <w:tcPr>
            <w:tcW w:type="dxa" w:w="1872"/>
            <w:shd w:fill="FAFAFA"/>
          </w:tcPr>
          <w:p>
            <w:pPr>
              <w:spacing w:before="40" w:after="40" w:line="252" w:lineRule="auto"/>
              <w:jc w:val="left"/>
            </w:pPr>
            <w:r>
              <w:rPr>
                <w:rFonts w:ascii="Times New Roman" w:hAnsi="Times New Roman"/>
                <w:sz w:val="18"/>
              </w:rPr>
              <w:t>High-Cardinality Boiler Types</w:t>
            </w:r>
          </w:p>
        </w:tc>
        <w:tc>
          <w:tcPr>
            <w:tcW w:type="dxa" w:w="2016"/>
            <w:shd w:fill="FAFAFA"/>
          </w:tcPr>
          <w:p>
            <w:pPr>
              <w:spacing w:before="40" w:after="40" w:line="252" w:lineRule="auto"/>
              <w:jc w:val="left"/>
            </w:pPr>
            <w:r>
              <w:rPr>
                <w:rFonts w:ascii="Times New Roman" w:hAnsi="Times New Roman"/>
                <w:sz w:val="18"/>
              </w:rPr>
              <w:t>Unit Type</w:t>
            </w:r>
          </w:p>
        </w:tc>
        <w:tc>
          <w:tcPr>
            <w:tcW w:type="dxa" w:w="1728"/>
            <w:shd w:fill="FAFAFA"/>
          </w:tcPr>
          <w:p>
            <w:pPr>
              <w:spacing w:before="40" w:after="40" w:line="252" w:lineRule="auto"/>
              <w:jc w:val="left"/>
            </w:pPr>
            <w:r>
              <w:rPr>
                <w:rFonts w:ascii="Times New Roman" w:hAnsi="Times New Roman"/>
                <w:sz w:val="18"/>
              </w:rPr>
              <w:t>value_counts() check (33 distinct codes)</w:t>
            </w:r>
          </w:p>
        </w:tc>
        <w:tc>
          <w:tcPr>
            <w:tcW w:type="dxa" w:w="2016"/>
            <w:shd w:fill="FAFAFA"/>
          </w:tcPr>
          <w:p>
            <w:pPr>
              <w:spacing w:before="40" w:after="40" w:line="252" w:lineRule="auto"/>
              <w:jc w:val="left"/>
            </w:pPr>
            <w:r>
              <w:rPr>
                <w:rFonts w:ascii="Times New Roman" w:hAnsi="Times New Roman"/>
                <w:sz w:val="18"/>
              </w:rPr>
              <w:t>Aggregated into 5 primary technologies: Turbines, Combined Cycle, Wall Boilers, Tangential, Other</w:t>
            </w:r>
          </w:p>
        </w:tc>
        <w:tc>
          <w:tcPr>
            <w:tcW w:type="dxa" w:w="2448"/>
            <w:shd w:fill="FAFAFA"/>
          </w:tcPr>
          <w:p>
            <w:pPr>
              <w:spacing w:before="40" w:after="40" w:line="252" w:lineRule="auto"/>
              <w:jc w:val="left"/>
            </w:pPr>
            <w:r>
              <w:rPr>
                <w:rFonts w:ascii="Times New Roman" w:hAnsi="Times New Roman"/>
                <w:sz w:val="18"/>
              </w:rPr>
              <w:t>Eliminates sparse categorical degrees of freedom in predictive classifiers.</w:t>
            </w:r>
          </w:p>
        </w:tc>
      </w:tr>
    </w:tbl>
    <w:p>
      <w:pPr>
        <w:spacing w:before="60" w:after="240"/>
      </w:pPr>
      <w:r>
        <w:rPr>
          <w:rFonts w:ascii="Times New Roman" w:hAnsi="Times New Roman"/>
          <w:i/>
          <w:sz w:val="18"/>
        </w:rPr>
        <w:t xml:space="preserve">Note. </w:t>
      </w:r>
      <w:r>
        <w:rPr>
          <w:rFonts w:ascii="Times New Roman" w:hAnsi="Times New Roman"/>
          <w:sz w:val="18"/>
        </w:rPr>
        <w:t>Systematic log documenting quality audits, parsing procedures, and imputation treatments applied to facility-2025.csv.</w:t>
      </w:r>
    </w:p>
    <w:p>
      <w:pPr>
        <w:keepNext/>
        <w:spacing w:before="240" w:after="120"/>
        <w:jc w:val="left"/>
      </w:pPr>
      <w:r>
        <w:rPr>
          <w:rFonts w:ascii="Times New Roman" w:hAnsi="Times New Roman"/>
          <w:b/>
          <w:color w:val="19375F"/>
          <w:sz w:val="24"/>
        </w:rPr>
        <w:t>Exploratory Data Analysis (EDA) Results and Interpretations</w:t>
      </w:r>
    </w:p>
    <w:p>
      <w:pPr>
        <w:spacing w:after="120" w:line="276" w:lineRule="auto"/>
        <w:jc w:val="left"/>
      </w:pPr>
      <w:r>
        <w:rPr>
          <w:rFonts w:ascii="Times New Roman" w:hAnsi="Times New Roman"/>
          <w:i w:val="0"/>
          <w:sz w:val="22"/>
        </w:rPr>
        <w:t>Exploratory data analysis was conducted to uncover fundamental empirical patterns, distributional properties, and inter-variable dependencies across the U.S. generating fleet. Emphasis is placed on the direct operational and regulatory interpretation of figures and tables, each of which is explicitly referenced and synthesized in the text.</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Maximum Hourly Heat Input Rate by Primary Fuel Category</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Boxplots display median (horizontal bar), interquartile range (box), 1.5×IQR whiskers, and outliers. White circles indicate group means. ANOVA F = 542.36 (p &lt; 0.001, eta^2 = 0.349); Kruskal-Wallis H = 783.02 (p &lt; 0.001).</w:t>
      </w:r>
    </w:p>
    <w:p>
      <w:pPr>
        <w:spacing w:after="120" w:line="276" w:lineRule="auto"/>
        <w:jc w:val="left"/>
      </w:pPr>
      <w:r>
        <w:rPr>
          <w:rFonts w:ascii="Times New Roman" w:hAnsi="Times New Roman"/>
          <w:i w:val="0"/>
          <w:sz w:val="22"/>
        </w:rPr>
        <w:t>As illustrated in Figure 1, operational thermal capacity exhibits massive divergence across primary fuel categories. Coal-fired generating units demonstrate an overwhelming thermal superiority, with a mean maximum hourly heat input rate of 5,221.2 mmBtu/hr (SD = 3,270.3; Median = 5,240.0 mmBtu/hr; N = 424). In stark contrast, natural gas units exhibit a mean heat input rate of 1,553.0 mmBtu/hr (SD = 1,280.9; Median = 1,200.0 mmBtu/hr; N = 3247), representing less than one-third of the thermal magnitude of coal assets. Liquid oil and diesel units occupy the lower tail (Mean = 776.6 mmBtu/hr; Median = 482.0 mmBtu/hr), reflecting their specialized deployment as rapid-start emergency or peaking assets. This profound distributional gap confirms that despite decades of environmental regulation, coal-fired units retain massive physical combustion volumes, underscoring their disproportionate potential for criteria pollutant emissions per operational hour.</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Fleet Composition and Operational Scale Across Generating Technologies</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shows total unit counts by technology. Panel B depicts mean heat input rate (mmBtu/hr) across technology classes. Data reflects active units in 2025.</w:t>
      </w:r>
    </w:p>
    <w:p>
      <w:pPr>
        <w:spacing w:after="120" w:line="276" w:lineRule="auto"/>
        <w:jc w:val="left"/>
      </w:pPr>
      <w:r>
        <w:rPr>
          <w:rFonts w:ascii="Times New Roman" w:hAnsi="Times New Roman"/>
          <w:i w:val="0"/>
          <w:sz w:val="22"/>
        </w:rPr>
        <w:t>Figure 2 illuminates the structural decoupling between unit prevalence and thermal combustion scale. Panel A reveals that the U.S. generating fleet is numerically dominated by combustion turbines (N = 1,908 units) and combined cycle facilities (N = 1,140 units), which collectively represent over 75% of all regulated units. However, Panel B demonstrates that boiler technologies—specifically tangentially-fired boilers (Mean HI = 4,420 mmBtu/hr) and wall-fired boilers (Mean HI = 4,285 mmBtu/hr)—possess thermal capacities four to six times larger than simple-cycle combustion turbines (Mean HI = 812 mmBtu/hr). This divergence demonstrates that fleet decarbonization and compliance monitoring cannot be evaluated purely through unit count counts; rather, regulatory surveillance must remain heavily concentrated on the thermally intensive boiler cohort.</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Air Pollution Control Technology Adoption Rate (%) by Primary Fuel</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Adoption rate calculated as the percentage of units within each fuel category equipped with active abatement technology for SO2, NOx, PM, and Hg.</w:t>
      </w:r>
    </w:p>
    <w:p>
      <w:pPr>
        <w:spacing w:after="120" w:line="276" w:lineRule="auto"/>
        <w:jc w:val="left"/>
      </w:pPr>
      <w:r>
        <w:rPr>
          <w:rFonts w:ascii="Times New Roman" w:hAnsi="Times New Roman"/>
          <w:i w:val="0"/>
          <w:sz w:val="22"/>
        </w:rPr>
        <w:t>Figure 3 depicts the stark asymmetry in air pollution control technology adoption across fuel types. Nitrogen oxide (NOₓ) controls —predominantly low-NOₓ burners (LNB), overfire air (OFA), and selective catalytic reduction (SCR)—exhibit widespread national adoption, installed on 87.2% of natural gas units and 96.5% of coal units. Conversely, sulfur dioxide (SO₂) flue gas desulfurization scrubbers, particulate matter (PM) electrostatic precipitators/baghouses, and mercury (Hg) sorbent injection systems are almost exclusively confined to coal-fired units (SO₂ adoption = 84.4%, PM adoption = 94.8%, Hg adoption = 39.6% in coal assets, compared to &lt; 1.5% in natural gas). This confirms the regulatory effectiveness of the Acid Rain Program and MATS in mandating multi-pollutant control trains on coal assets, while natural gas units remain largely exempt from post-combustion SO₂ and heavy metal abatement due to clean feedstock chemistry.</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Pearson Correlation Matrix of Operational and Emission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Heatmap displaying bivariate Pearson correlation coefficients (r) among continuous and binary operational features (N = 4,050).</w:t>
      </w:r>
    </w:p>
    <w:p>
      <w:pPr>
        <w:spacing w:after="120" w:line="276" w:lineRule="auto"/>
        <w:jc w:val="left"/>
      </w:pPr>
      <w:r>
        <w:rPr>
          <w:rFonts w:ascii="Times New Roman" w:hAnsi="Times New Roman"/>
          <w:i w:val="0"/>
          <w:sz w:val="22"/>
        </w:rPr>
        <w:t>Figure 4 provides a bivariate Pearson correlation matrix summarizing linear interdependencies among operational variables. Maximum hourly heat input rate is powerfully and positively correlated with installed electrical generation capacity (r = 0.869, p &lt; 0.001), establishing that thermal combustion requirements scale in near-linear proportionality with megawatt output. Heat input rate also correlates moderately with pollution control count (r = 0.354, p &lt; 0.001) and unit age (r = 0.119, p &lt; 0.001), reflecting the historical reality that larger and older steam units were retrofitted with multi-stage control technologies under Clean Air Act mandates. Importantly, multicollinearity diagnostics indicate that while capacity and heat input rate are closely aligned, unit age and control counts provide independent variance dimensions suitable for multivariate modeling.</w:t>
      </w:r>
    </w:p>
    <w:p>
      <w:pPr>
        <w:spacing w:after="120" w:line="276" w:lineRule="auto"/>
        <w:jc w:val="left"/>
      </w:pPr>
      <w:r>
        <w:rPr>
          <w:rFonts w:ascii="Times New Roman" w:hAnsi="Times New Roman"/>
          <w:i w:val="0"/>
          <w:sz w:val="22"/>
        </w:rPr>
        <w:t>Table 5 synthesizes the key empirical insights, operational interpretations, and analytical modeling decisions derived from the preceding exploratory visualizations and statistical distributions.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EDA Insight Summary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Figure/Table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What it Shows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Key Insight</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RQ/Objective</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Decision / Next Step</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Heat Input Distribution across Fuels</w:t>
            </w:r>
          </w:p>
        </w:tc>
        <w:tc>
          <w:tcPr>
            <w:tcW w:type="dxa" w:w="2304"/>
          </w:tcPr>
          <w:p>
            <w:pPr>
              <w:spacing w:before="40" w:after="40" w:line="252" w:lineRule="auto"/>
              <w:jc w:val="left"/>
            </w:pPr>
            <w:r>
              <w:rPr>
                <w:rFonts w:ascii="Times New Roman" w:hAnsi="Times New Roman"/>
                <w:sz w:val="18"/>
              </w:rPr>
              <w:t>Coal units exhibit 3.3× higher mean heat input (5,221 mmBtu/hr) than gas units (1,553 mmBtu/hr).</w:t>
            </w:r>
          </w:p>
        </w:tc>
        <w:tc>
          <w:tcPr>
            <w:tcW w:type="dxa" w:w="2160"/>
          </w:tcPr>
          <w:p>
            <w:pPr>
              <w:spacing w:before="40" w:after="40" w:line="252" w:lineRule="auto"/>
              <w:jc w:val="left"/>
            </w:pPr>
            <w:r>
              <w:rPr>
                <w:rFonts w:ascii="Times New Roman" w:hAnsi="Times New Roman"/>
                <w:sz w:val="18"/>
              </w:rPr>
              <w:t>Directly resolves RQ1; proves massive operational disparity across fuel types.</w:t>
            </w:r>
          </w:p>
        </w:tc>
        <w:tc>
          <w:tcPr>
            <w:tcW w:type="dxa" w:w="2160"/>
          </w:tcPr>
          <w:p>
            <w:pPr>
              <w:spacing w:before="40" w:after="40" w:line="252" w:lineRule="auto"/>
              <w:jc w:val="left"/>
            </w:pPr>
            <w:r>
              <w:rPr>
                <w:rFonts w:ascii="Times New Roman" w:hAnsi="Times New Roman"/>
                <w:sz w:val="18"/>
              </w:rPr>
              <w:t>Incorporate fuel category as primary fixed effect and predictive feature.</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Scale vs Prevalence</w:t>
            </w:r>
          </w:p>
        </w:tc>
        <w:tc>
          <w:tcPr>
            <w:tcW w:type="dxa" w:w="2304"/>
            <w:shd w:fill="FAFAFA"/>
          </w:tcPr>
          <w:p>
            <w:pPr>
              <w:spacing w:before="40" w:after="40" w:line="252" w:lineRule="auto"/>
              <w:jc w:val="left"/>
            </w:pPr>
            <w:r>
              <w:rPr>
                <w:rFonts w:ascii="Times New Roman" w:hAnsi="Times New Roman"/>
                <w:sz w:val="18"/>
              </w:rPr>
              <w:t>Turbines comprise &gt;75% of units but boilers operate at 4-6× higher thermal heat rates.</w:t>
            </w:r>
          </w:p>
        </w:tc>
        <w:tc>
          <w:tcPr>
            <w:tcW w:type="dxa" w:w="2160"/>
            <w:shd w:fill="FAFAFA"/>
          </w:tcPr>
          <w:p>
            <w:pPr>
              <w:spacing w:before="40" w:after="40" w:line="252" w:lineRule="auto"/>
              <w:jc w:val="left"/>
            </w:pPr>
            <w:r>
              <w:rPr>
                <w:rFonts w:ascii="Times New Roman" w:hAnsi="Times New Roman"/>
                <w:sz w:val="18"/>
              </w:rPr>
              <w:t>Resolves fleet risk exposure; shows emission mass is heavily concentrated in boilers.</w:t>
            </w:r>
          </w:p>
        </w:tc>
        <w:tc>
          <w:tcPr>
            <w:tcW w:type="dxa" w:w="2160"/>
            <w:shd w:fill="FAFAFA"/>
          </w:tcPr>
          <w:p>
            <w:pPr>
              <w:spacing w:before="40" w:after="40" w:line="252" w:lineRule="auto"/>
              <w:jc w:val="left"/>
            </w:pPr>
            <w:r>
              <w:rPr>
                <w:rFonts w:ascii="Times New Roman" w:hAnsi="Times New Roman"/>
                <w:sz w:val="18"/>
              </w:rPr>
              <w:t>Utilize unit technology category as dummy predictor in RQ2 classification.</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Pollution Control Adoption Rates</w:t>
            </w:r>
          </w:p>
        </w:tc>
        <w:tc>
          <w:tcPr>
            <w:tcW w:type="dxa" w:w="2304"/>
          </w:tcPr>
          <w:p>
            <w:pPr>
              <w:spacing w:before="40" w:after="40" w:line="252" w:lineRule="auto"/>
              <w:jc w:val="left"/>
            </w:pPr>
            <w:r>
              <w:rPr>
                <w:rFonts w:ascii="Times New Roman" w:hAnsi="Times New Roman"/>
                <w:sz w:val="18"/>
              </w:rPr>
              <w:t>SO2, PM, and Hg controls are &gt;80% concentrated in coal; NOx controls are ubiquitous (&gt;85%).</w:t>
            </w:r>
          </w:p>
        </w:tc>
        <w:tc>
          <w:tcPr>
            <w:tcW w:type="dxa" w:w="2160"/>
          </w:tcPr>
          <w:p>
            <w:pPr>
              <w:spacing w:before="40" w:after="40" w:line="252" w:lineRule="auto"/>
              <w:jc w:val="left"/>
            </w:pPr>
            <w:r>
              <w:rPr>
                <w:rFonts w:ascii="Times New Roman" w:hAnsi="Times New Roman"/>
                <w:sz w:val="18"/>
              </w:rPr>
              <w:t>Provides empirical evidence of regulatory standard enforcement under ARP and MATS.</w:t>
            </w:r>
          </w:p>
        </w:tc>
        <w:tc>
          <w:tcPr>
            <w:tcW w:type="dxa" w:w="2160"/>
          </w:tcPr>
          <w:p>
            <w:pPr>
              <w:spacing w:before="40" w:after="40" w:line="252" w:lineRule="auto"/>
              <w:jc w:val="left"/>
            </w:pPr>
            <w:r>
              <w:rPr>
                <w:rFonts w:ascii="Times New Roman" w:hAnsi="Times New Roman"/>
                <w:sz w:val="18"/>
              </w:rPr>
              <w:t>Engineer Control_Count feature to capture unit environmental compliance burden.</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Correlation Matrix Heatmap</w:t>
            </w:r>
          </w:p>
        </w:tc>
        <w:tc>
          <w:tcPr>
            <w:tcW w:type="dxa" w:w="2304"/>
            <w:shd w:fill="FAFAFA"/>
          </w:tcPr>
          <w:p>
            <w:pPr>
              <w:spacing w:before="40" w:after="40" w:line="252" w:lineRule="auto"/>
              <w:jc w:val="left"/>
            </w:pPr>
            <w:r>
              <w:rPr>
                <w:rFonts w:ascii="Times New Roman" w:hAnsi="Times New Roman"/>
                <w:sz w:val="18"/>
              </w:rPr>
              <w:t>Capacity is dominant linear correlate of heat input (r = 0.869); Age shows modest positive r = 0.119.</w:t>
            </w:r>
          </w:p>
        </w:tc>
        <w:tc>
          <w:tcPr>
            <w:tcW w:type="dxa" w:w="2160"/>
            <w:shd w:fill="FAFAFA"/>
          </w:tcPr>
          <w:p>
            <w:pPr>
              <w:spacing w:before="40" w:after="40" w:line="252" w:lineRule="auto"/>
              <w:jc w:val="left"/>
            </w:pPr>
            <w:r>
              <w:rPr>
                <w:rFonts w:ascii="Times New Roman" w:hAnsi="Times New Roman"/>
                <w:sz w:val="18"/>
              </w:rPr>
              <w:t>Directly informs RQ3 bivariate regression and multicollinearity safeguards.</w:t>
            </w:r>
          </w:p>
        </w:tc>
        <w:tc>
          <w:tcPr>
            <w:tcW w:type="dxa" w:w="2160"/>
            <w:shd w:fill="FAFAFA"/>
          </w:tcPr>
          <w:p>
            <w:pPr>
              <w:spacing w:before="40" w:after="40" w:line="252" w:lineRule="auto"/>
              <w:jc w:val="left"/>
            </w:pPr>
            <w:r>
              <w:rPr>
                <w:rFonts w:ascii="Times New Roman" w:hAnsi="Times New Roman"/>
                <w:sz w:val="18"/>
              </w:rPr>
              <w:t>Standardize continuous variables for regression and clustering pipelines.</w:t>
            </w:r>
          </w:p>
        </w:tc>
      </w:tr>
    </w:tbl>
    <w:p>
      <w:pPr>
        <w:spacing w:before="60" w:after="240"/>
      </w:pPr>
      <w:r>
        <w:rPr>
          <w:rFonts w:ascii="Times New Roman" w:hAnsi="Times New Roman"/>
          <w:i/>
          <w:sz w:val="18"/>
        </w:rPr>
        <w:t xml:space="preserve">Note. </w:t>
      </w:r>
      <w:r>
        <w:rPr>
          <w:rFonts w:ascii="Times New Roman" w:hAnsi="Times New Roman"/>
          <w:sz w:val="18"/>
        </w:rPr>
        <w:t>Structured synthesis of exploratory findings, operational interpretations, and modeling decisions.</w:t>
      </w:r>
    </w:p>
    <w:p>
      <w:pPr>
        <w:keepNext/>
        <w:spacing w:before="320" w:after="160"/>
        <w:jc w:val="center"/>
      </w:pPr>
      <w:r>
        <w:rPr>
          <w:rFonts w:ascii="Times New Roman" w:hAnsi="Times New Roman"/>
          <w:b/>
          <w:color w:val="0F2240"/>
          <w:sz w:val="28"/>
        </w:rPr>
        <w:t>5. Modelling Framework</w:t>
      </w:r>
    </w:p>
    <w:p>
      <w:pPr>
        <w:keepNext/>
        <w:spacing w:before="240" w:after="120"/>
        <w:jc w:val="left"/>
      </w:pPr>
      <w:r>
        <w:rPr>
          <w:rFonts w:ascii="Times New Roman" w:hAnsi="Times New Roman"/>
          <w:b/>
          <w:color w:val="19375F"/>
          <w:sz w:val="24"/>
        </w:rPr>
        <w:t>Choice of Models with Justification</w:t>
      </w:r>
    </w:p>
    <w:p>
      <w:pPr>
        <w:spacing w:after="120" w:line="276" w:lineRule="auto"/>
        <w:jc w:val="left"/>
      </w:pPr>
      <w:r>
        <w:rPr>
          <w:rFonts w:ascii="Times New Roman" w:hAnsi="Times New Roman"/>
          <w:i w:val="0"/>
          <w:sz w:val="22"/>
        </w:rPr>
        <w:t>To address the four research questions comprehensively, a multi-tier analytical modeling framework was constructed, combining inferential statistical hypothesis testing, parametric regression, supervised ensemble classification, and unsupervised clustering:</w:t>
      </w:r>
    </w:p>
    <w:p>
      <w:pPr>
        <w:spacing w:after="120" w:line="276" w:lineRule="auto"/>
        <w:jc w:val="left"/>
      </w:pPr>
      <w:r>
        <w:rPr>
          <w:rFonts w:ascii="Times New Roman" w:hAnsi="Times New Roman"/>
          <w:b/>
          <w:sz w:val="22"/>
        </w:rPr>
        <w:t xml:space="preserve">Model 1 (Inferential Group Comparison): </w:t>
      </w:r>
      <w:r>
        <w:rPr>
          <w:rFonts w:ascii="Times New Roman" w:hAnsi="Times New Roman"/>
          <w:i w:val="0"/>
          <w:sz w:val="22"/>
        </w:rPr>
        <w:t>One-Way ANOVA and Kruskal-Wallis Rank Sum Testing (RQ1). One-Way ANOVA was selected to evaluate the parametric null hypothesis of equal group means across fuel categories. Because thermal operational data exhibit right-skewness and unequal group variances (Levene test p &lt; 0.001), the non-parametric Kruskal-Wallis test (Kruskal &amp; Wallis, 1952) was deployed concurrently. Post-hoc pairwise contrasts were conducted via Tukey's Honestly Significant Difference (HSD) test with family-wise error rate control at α = 0.05.</w:t>
      </w:r>
    </w:p>
    <w:p>
      <w:pPr>
        <w:spacing w:after="120" w:line="276" w:lineRule="auto"/>
        <w:jc w:val="left"/>
      </w:pPr>
      <w:r>
        <w:rPr>
          <w:rFonts w:ascii="Times New Roman" w:hAnsi="Times New Roman"/>
          <w:b/>
          <w:sz w:val="22"/>
        </w:rPr>
        <w:t xml:space="preserve">Model 2 (Supervised Linear Classification): </w:t>
      </w:r>
      <w:r>
        <w:rPr>
          <w:rFonts w:ascii="Times New Roman" w:hAnsi="Times New Roman"/>
          <w:i w:val="0"/>
          <w:sz w:val="22"/>
        </w:rPr>
        <w:t>Regularized Logistic Regression (RQ2 Baseline). Logistic regression provides an interpretable, mathematically rigorous probabilistic baseline for binary classification. L2 Ridge penalty regularization was implemented with class-weight balancing to mitigate minority class under-sampling and prevent overfitting among collinear technology dummy variables.</w:t>
      </w:r>
    </w:p>
    <w:p>
      <w:pPr>
        <w:spacing w:after="120" w:line="276" w:lineRule="auto"/>
        <w:jc w:val="left"/>
      </w:pPr>
      <w:r>
        <w:rPr>
          <w:rFonts w:ascii="Times New Roman" w:hAnsi="Times New Roman"/>
          <w:b/>
          <w:sz w:val="22"/>
        </w:rPr>
        <w:t xml:space="preserve">Model 3 (Supervised Non-Linear Ensemble): </w:t>
      </w:r>
      <w:r>
        <w:rPr>
          <w:rFonts w:ascii="Times New Roman" w:hAnsi="Times New Roman"/>
          <w:i w:val="0"/>
          <w:sz w:val="22"/>
        </w:rPr>
        <w:t>Random Forest Ensemble Classifier (RQ2 Primary). Random Forest (Breiman, 2001) was selected due to its superior capability in handling non-linear boundaries, high-order feature interactions, and mixed continuous/categorical inputs. Operating via bootstrap aggregation (150 estimators, max depth = 10, balanced sub-sampling), Random Forest provides robust Mean Decrease in Impurity (Gini importance) metrics without requiring restrictive distributional assumptions.</w:t>
      </w:r>
    </w:p>
    <w:p>
      <w:pPr>
        <w:spacing w:after="120" w:line="276" w:lineRule="auto"/>
        <w:jc w:val="left"/>
      </w:pPr>
      <w:r>
        <w:rPr>
          <w:rFonts w:ascii="Times New Roman" w:hAnsi="Times New Roman"/>
          <w:b/>
          <w:sz w:val="22"/>
        </w:rPr>
        <w:t xml:space="preserve">Model 4 (Gradient Boosted Decision Trees): </w:t>
      </w:r>
      <w:r>
        <w:rPr>
          <w:rFonts w:ascii="Times New Roman" w:hAnsi="Times New Roman"/>
          <w:i w:val="0"/>
          <w:sz w:val="22"/>
        </w:rPr>
        <w:t>Gradient Boosting Machine Classifier (RQ2 Benchmark). Gradient Boosting (Friedman, 2001) was deployed as a competitive benchmark. By sequentially minimizing binomial deviance loss through gradient-steepest descent across shallow decision trees (100 estimators, learning rate = 0.1, depth = 5), Gradient Boosting provides optimal discriminative boundaries for complex decision surfaces.</w:t>
      </w:r>
    </w:p>
    <w:p>
      <w:pPr>
        <w:spacing w:after="120" w:line="276" w:lineRule="auto"/>
        <w:jc w:val="left"/>
      </w:pPr>
      <w:r>
        <w:rPr>
          <w:rFonts w:ascii="Times New Roman" w:hAnsi="Times New Roman"/>
          <w:b/>
          <w:sz w:val="22"/>
        </w:rPr>
        <w:t xml:space="preserve">Model 5 (Parametric Regression): </w:t>
      </w:r>
      <w:r>
        <w:rPr>
          <w:rFonts w:ascii="Times New Roman" w:hAnsi="Times New Roman"/>
          <w:i w:val="0"/>
          <w:sz w:val="22"/>
        </w:rPr>
        <w:t>Ordinary Least Squares (OLS) Regression (RQ3). Bivariate and multivariate linear regressions (Montgomery et al., 2021) were formulated to quantify the marginal effect of unit vintage (Age) on thermal heat input capacity, both independently and while controlling for total installed capacity (MWe) and pollution control equipment.</w:t>
      </w:r>
    </w:p>
    <w:p>
      <w:pPr>
        <w:spacing w:after="240" w:line="276" w:lineRule="auto"/>
        <w:jc w:val="left"/>
      </w:pPr>
      <w:r>
        <w:rPr>
          <w:rFonts w:ascii="Times New Roman" w:hAnsi="Times New Roman"/>
          <w:b/>
          <w:sz w:val="22"/>
        </w:rPr>
        <w:t xml:space="preserve">Model 6 (Unsupervised Segmentation &amp; PCA): </w:t>
      </w:r>
      <w:r>
        <w:rPr>
          <w:rFonts w:ascii="Times New Roman" w:hAnsi="Times New Roman"/>
          <w:i w:val="0"/>
          <w:sz w:val="22"/>
        </w:rPr>
        <w:t>K-Means Clustering and Principal Component Analysis (RQ4). K-Means unsupervised clustering (MacQueen, 1967) was utilized to partition the generating fleet into cohesive operational archetypes. Optimal cluster count k was determined via Within-Cluster Sum of Squares (Elbow method) and Silhouette coefficient optimization. 2D projection was executed via Principal Component Analysis (PCA) to validate dimensional separation and explain orthogonal variance axes.</w:t>
      </w:r>
    </w:p>
    <w:p>
      <w:pPr>
        <w:keepNext/>
        <w:spacing w:before="240" w:after="120"/>
        <w:jc w:val="left"/>
      </w:pPr>
      <w:r>
        <w:rPr>
          <w:rFonts w:ascii="Times New Roman" w:hAnsi="Times New Roman"/>
          <w:b/>
          <w:color w:val="19375F"/>
          <w:sz w:val="24"/>
        </w:rPr>
        <w:t>Features Included and Feature Engineering</w:t>
      </w:r>
    </w:p>
    <w:p>
      <w:pPr>
        <w:spacing w:after="120" w:line="276" w:lineRule="auto"/>
        <w:jc w:val="left"/>
      </w:pPr>
      <w:r>
        <w:rPr>
          <w:rFonts w:ascii="Times New Roman" w:hAnsi="Times New Roman"/>
          <w:i w:val="0"/>
          <w:sz w:val="22"/>
        </w:rPr>
        <w:t>Table 6 details the feature set utilized across the predictive and unsupervised modeling architectures, specifying original versus engineered derivation, data type, operational inclusion rationale, and model utilization.</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Feature Set and Usage Specification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Feature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Original / Engineered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Reason for Inclusion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in Model(s)</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(Regex parsed from text)</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Fundamental measure of electrical power output scale.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(2025 - Commercial_Year)</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Captures unit vintage, regulatory grandfathering, and technological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Engineered (Sum of SO2, NOx, PM, Hg)</w:t>
            </w:r>
          </w:p>
        </w:tc>
        <w:tc>
          <w:tcPr>
            <w:tcW w:type="dxa" w:w="1584"/>
          </w:tcPr>
          <w:p>
            <w:pPr>
              <w:spacing w:before="40" w:after="40" w:line="252" w:lineRule="auto"/>
              <w:jc w:val="left"/>
            </w:pPr>
            <w:r>
              <w:rPr>
                <w:rFonts w:ascii="Times New Roman" w:hAnsi="Times New Roman"/>
                <w:sz w:val="18"/>
              </w:rPr>
              <w:t>Integer (Discrete)</w:t>
            </w:r>
          </w:p>
        </w:tc>
        <w:tc>
          <w:tcPr>
            <w:tcW w:type="dxa" w:w="2592"/>
          </w:tcPr>
          <w:p>
            <w:pPr>
              <w:spacing w:before="40" w:after="40" w:line="252" w:lineRule="auto"/>
              <w:jc w:val="left"/>
            </w:pPr>
            <w:r>
              <w:rPr>
                <w:rFonts w:ascii="Times New Roman" w:hAnsi="Times New Roman"/>
                <w:sz w:val="18"/>
              </w:rPr>
              <w:t>Quantifies overall capital investment in emission abatement hardware.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Direct physical measure of combustion capacity and thermal loading.</w:t>
            </w:r>
          </w:p>
        </w:tc>
        <w:tc>
          <w:tcPr>
            <w:tcW w:type="dxa" w:w="2160"/>
            <w:shd w:fill="FAFAFA"/>
          </w:tcPr>
          <w:p>
            <w:pPr>
              <w:spacing w:before="40" w:after="40" w:line="252" w:lineRule="auto"/>
              <w:jc w:val="left"/>
            </w:pPr>
            <w:r>
              <w:rPr>
                <w:rFonts w:ascii="Times New Roman" w:hAnsi="Times New Roman"/>
                <w:sz w:val="18"/>
              </w:rPr>
              <w:t>Target in RQ1, RQ3; Used in K-Means</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Engineered (Consolidated from 12 codes)</w:t>
            </w:r>
          </w:p>
        </w:tc>
        <w:tc>
          <w:tcPr>
            <w:tcW w:type="dxa" w:w="1584"/>
          </w:tcPr>
          <w:p>
            <w:pPr>
              <w:spacing w:before="40" w:after="40" w:line="252" w:lineRule="auto"/>
              <w:jc w:val="left"/>
            </w:pPr>
            <w:r>
              <w:rPr>
                <w:rFonts w:ascii="Times New Roman" w:hAnsi="Times New Roman"/>
                <w:sz w:val="18"/>
              </w:rPr>
              <w:t>Categorical (5 classes)</w:t>
            </w:r>
          </w:p>
        </w:tc>
        <w:tc>
          <w:tcPr>
            <w:tcW w:type="dxa" w:w="2592"/>
          </w:tcPr>
          <w:p>
            <w:pPr>
              <w:spacing w:before="40" w:after="40" w:line="252" w:lineRule="auto"/>
              <w:jc w:val="left"/>
            </w:pPr>
            <w:r>
              <w:rPr>
                <w:rFonts w:ascii="Times New Roman" w:hAnsi="Times New Roman"/>
                <w:sz w:val="18"/>
              </w:rPr>
              <w:t>Captures combustion chemistry and primary emission factors.</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Engineered (Consolidated from 33 codes)</w:t>
            </w:r>
          </w:p>
        </w:tc>
        <w:tc>
          <w:tcPr>
            <w:tcW w:type="dxa" w:w="1584"/>
            <w:shd w:fill="FAFAFA"/>
          </w:tcPr>
          <w:p>
            <w:pPr>
              <w:spacing w:before="40" w:after="40" w:line="252" w:lineRule="auto"/>
              <w:jc w:val="left"/>
            </w:pPr>
            <w:r>
              <w:rPr>
                <w:rFonts w:ascii="Times New Roman" w:hAnsi="Times New Roman"/>
                <w:sz w:val="18"/>
              </w:rPr>
              <w:t>Categorical (5 classes)</w:t>
            </w:r>
          </w:p>
        </w:tc>
        <w:tc>
          <w:tcPr>
            <w:tcW w:type="dxa" w:w="2592"/>
            <w:shd w:fill="FAFAFA"/>
          </w:tcPr>
          <w:p>
            <w:pPr>
              <w:spacing w:before="40" w:after="40" w:line="252" w:lineRule="auto"/>
              <w:jc w:val="left"/>
            </w:pPr>
            <w:r>
              <w:rPr>
                <w:rFonts w:ascii="Times New Roman" w:hAnsi="Times New Roman"/>
                <w:sz w:val="18"/>
              </w:rPr>
              <w:t>Distinguishes thermodynamic cycles (Brayton vs Rankine).</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Original CAMPD attribute</w:t>
            </w:r>
          </w:p>
        </w:tc>
        <w:tc>
          <w:tcPr>
            <w:tcW w:type="dxa" w:w="1584"/>
          </w:tcPr>
          <w:p>
            <w:pPr>
              <w:spacing w:before="40" w:after="40" w:line="252" w:lineRule="auto"/>
              <w:jc w:val="left"/>
            </w:pPr>
            <w:r>
              <w:rPr>
                <w:rFonts w:ascii="Times New Roman" w:hAnsi="Times New Roman"/>
                <w:sz w:val="18"/>
              </w:rPr>
              <w:t>Integer / Categorical (1-10)</w:t>
            </w:r>
          </w:p>
        </w:tc>
        <w:tc>
          <w:tcPr>
            <w:tcW w:type="dxa" w:w="2592"/>
          </w:tcPr>
          <w:p>
            <w:pPr>
              <w:spacing w:before="40" w:after="40" w:line="252" w:lineRule="auto"/>
              <w:jc w:val="left"/>
            </w:pPr>
            <w:r>
              <w:rPr>
                <w:rFonts w:ascii="Times New Roman" w:hAnsi="Times New Roman"/>
                <w:sz w:val="18"/>
              </w:rPr>
              <w:t>Controls for regional regulatory oversight and regional transmission grids.</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Engineered (log1p of Capacity_MW)</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Compresses heavy-tailed capacity distribution for stable Euclidean distance.</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Engineered (log1p of Heat_Input_Rate)</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Mitigates extreme skewness in thermal loading for centroid optimization.</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Engineered (Binary cutoff ≥ 2,350 mmBtu/hr)</w:t>
            </w:r>
          </w:p>
        </w:tc>
        <w:tc>
          <w:tcPr>
            <w:tcW w:type="dxa" w:w="1584"/>
            <w:shd w:fill="FAFAFA"/>
          </w:tcPr>
          <w:p>
            <w:pPr>
              <w:spacing w:before="40" w:after="40" w:line="252" w:lineRule="auto"/>
              <w:jc w:val="left"/>
            </w:pPr>
            <w:r>
              <w:rPr>
                <w:rFonts w:ascii="Times New Roman" w:hAnsi="Times New Roman"/>
                <w:sz w:val="18"/>
              </w:rPr>
              <w:t>Binary (0, 1)</w:t>
            </w:r>
          </w:p>
        </w:tc>
        <w:tc>
          <w:tcPr>
            <w:tcW w:type="dxa" w:w="2592"/>
            <w:shd w:fill="FAFAFA"/>
          </w:tcPr>
          <w:p>
            <w:pPr>
              <w:spacing w:before="40" w:after="40" w:line="252" w:lineRule="auto"/>
              <w:jc w:val="left"/>
            </w:pPr>
            <w:r>
              <w:rPr>
                <w:rFonts w:ascii="Times New Roman" w:hAnsi="Times New Roman"/>
                <w:sz w:val="18"/>
              </w:rPr>
              <w:t>Defines top-quartile high-emission regulatory compliance target.</w:t>
            </w:r>
          </w:p>
        </w:tc>
        <w:tc>
          <w:tcPr>
            <w:tcW w:type="dxa" w:w="2160"/>
            <w:shd w:fill="FAFAFA"/>
          </w:tcPr>
          <w:p>
            <w:pPr>
              <w:spacing w:before="40" w:after="40" w:line="252" w:lineRule="auto"/>
              <w:jc w:val="left"/>
            </w:pPr>
            <w:r>
              <w:rPr>
                <w:rFonts w:ascii="Times New Roman" w:hAnsi="Times New Roman"/>
                <w:sz w:val="18"/>
              </w:rPr>
              <w:t>Target in RQ2 (LR, RF, GB)</w:t>
            </w:r>
          </w:p>
        </w:tc>
      </w:tr>
    </w:tbl>
    <w:p>
      <w:pPr>
        <w:spacing w:before="60" w:after="240"/>
      </w:pPr>
      <w:r>
        <w:rPr>
          <w:rFonts w:ascii="Times New Roman" w:hAnsi="Times New Roman"/>
          <w:i/>
          <w:sz w:val="18"/>
        </w:rPr>
        <w:t xml:space="preserve">Note. </w:t>
      </w:r>
      <w:r>
        <w:rPr>
          <w:rFonts w:ascii="Times New Roman" w:hAnsi="Times New Roman"/>
          <w:sz w:val="18"/>
        </w:rPr>
        <w:t>Systematic specification of features, mathematical transformations, and model utilization mapping.</w:t>
      </w:r>
    </w:p>
    <w:p>
      <w:pPr>
        <w:keepNext/>
        <w:spacing w:before="240" w:after="120"/>
        <w:jc w:val="left"/>
      </w:pPr>
      <w:r>
        <w:rPr>
          <w:rFonts w:ascii="Times New Roman" w:hAnsi="Times New Roman"/>
          <w:b/>
          <w:color w:val="19375F"/>
          <w:sz w:val="24"/>
        </w:rPr>
        <w:t>Evaluation Metrics and Mathematical Formulations</w:t>
      </w:r>
    </w:p>
    <w:p>
      <w:pPr>
        <w:spacing w:after="120" w:line="276" w:lineRule="auto"/>
        <w:jc w:val="left"/>
      </w:pPr>
      <w:r>
        <w:rPr>
          <w:rFonts w:ascii="Times New Roman" w:hAnsi="Times New Roman"/>
          <w:i w:val="0"/>
          <w:sz w:val="22"/>
        </w:rPr>
        <w:t>Table 7 summarizes the formal mathematical evaluation metrics utilized across the inferential, predictive, and clustering models, including exact algebraic formulas, statistical interpretations, and specific capstone applications.</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Evaluation Metrics and Mathematical Formulations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Metric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Mathematical Formula</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Statistical Interpretation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For</w:t>
            </w:r>
          </w:p>
        </w:tc>
      </w:tr>
      <w:tr>
        <w:tc>
          <w:tcPr>
            <w:tcW w:type="dxa" w:w="2160"/>
          </w:tcPr>
          <w:p>
            <w:pPr>
              <w:spacing w:before="40" w:after="40" w:line="252" w:lineRule="auto"/>
              <w:jc w:val="left"/>
            </w:pPr>
            <w:r>
              <w:rPr>
                <w:rFonts w:ascii="Times New Roman" w:hAnsi="Times New Roman"/>
                <w:sz w:val="18"/>
              </w:rPr>
              <w:t>One-Way ANOVA F-Statistic</w:t>
            </w:r>
          </w:p>
        </w:tc>
        <w:tc>
          <w:tcPr>
            <w:tcW w:type="dxa" w:w="3168"/>
          </w:tcPr>
          <w:p>
            <w:pPr>
              <w:spacing w:before="40" w:after="40" w:line="252" w:lineRule="auto"/>
              <w:jc w:val="left"/>
            </w:pPr>
            <w:r>
              <w:rPr>
                <w:rFonts w:ascii="Times New Roman" w:hAnsi="Times New Roman"/>
                <w:sz w:val="18"/>
              </w:rPr>
              <w:t>F = MS_between / MS_within = [SS_b / (k - 1)] / [SS_w / (N - k)]</w:t>
            </w:r>
          </w:p>
        </w:tc>
        <w:tc>
          <w:tcPr>
            <w:tcW w:type="dxa" w:w="2592"/>
          </w:tcPr>
          <w:p>
            <w:pPr>
              <w:spacing w:before="40" w:after="40" w:line="252" w:lineRule="auto"/>
              <w:jc w:val="left"/>
            </w:pPr>
            <w:r>
              <w:rPr>
                <w:rFonts w:ascii="Times New Roman" w:hAnsi="Times New Roman"/>
                <w:sz w:val="18"/>
              </w:rPr>
              <w:t>Tests null hypothesis of equal group means across k independent categories.</w:t>
            </w:r>
          </w:p>
        </w:tc>
        <w:tc>
          <w:tcPr>
            <w:tcW w:type="dxa" w:w="2160"/>
          </w:tcPr>
          <w:p>
            <w:pPr>
              <w:spacing w:before="40" w:after="40" w:line="252" w:lineRule="auto"/>
              <w:jc w:val="left"/>
            </w:pPr>
            <w:r>
              <w:rPr>
                <w:rFonts w:ascii="Times New Roman" w:hAnsi="Times New Roman"/>
                <w:sz w:val="18"/>
              </w:rPr>
              <w:t>RQ1 (Fuel Comparisons)</w:t>
            </w:r>
          </w:p>
        </w:tc>
      </w:tr>
      <w:tr>
        <w:tc>
          <w:tcPr>
            <w:tcW w:type="dxa" w:w="2160"/>
            <w:shd w:fill="FAFAFA"/>
          </w:tcPr>
          <w:p>
            <w:pPr>
              <w:spacing w:before="40" w:after="40" w:line="252" w:lineRule="auto"/>
              <w:jc w:val="left"/>
            </w:pPr>
            <w:r>
              <w:rPr>
                <w:rFonts w:ascii="Times New Roman" w:hAnsi="Times New Roman"/>
                <w:sz w:val="18"/>
              </w:rPr>
              <w:t>Eta-Squared (Effect Size,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Quantifies the proportion of total variance explained by the categorical predictor.</w:t>
            </w:r>
          </w:p>
        </w:tc>
        <w:tc>
          <w:tcPr>
            <w:tcW w:type="dxa" w:w="2160"/>
            <w:shd w:fill="FAFAFA"/>
          </w:tcPr>
          <w:p>
            <w:pPr>
              <w:spacing w:before="40" w:after="40" w:line="252" w:lineRule="auto"/>
              <w:jc w:val="left"/>
            </w:pPr>
            <w:r>
              <w:rPr>
                <w:rFonts w:ascii="Times New Roman" w:hAnsi="Times New Roman"/>
                <w:sz w:val="18"/>
              </w:rPr>
              <w:t>RQ1 (Fuel Variance Effect)</w:t>
            </w:r>
          </w:p>
        </w:tc>
      </w:tr>
      <w:tr>
        <w:tc>
          <w:tcPr>
            <w:tcW w:type="dxa" w:w="2160"/>
          </w:tcPr>
          <w:p>
            <w:pPr>
              <w:spacing w:before="40" w:after="40" w:line="252" w:lineRule="auto"/>
              <w:jc w:val="left"/>
            </w:pPr>
            <w:r>
              <w:rPr>
                <w:rFonts w:ascii="Times New Roman" w:hAnsi="Times New Roman"/>
                <w:sz w:val="18"/>
              </w:rPr>
              <w:t>Kruskal-Wallis H-Statistic</w:t>
            </w:r>
          </w:p>
        </w:tc>
        <w:tc>
          <w:tcPr>
            <w:tcW w:type="dxa" w:w="3168"/>
          </w:tcPr>
          <w:p>
            <w:pPr>
              <w:spacing w:before="40" w:after="40" w:line="252" w:lineRule="auto"/>
              <w:jc w:val="left"/>
            </w:pPr>
            <w:r>
              <w:rPr>
                <w:rFonts w:ascii="Times New Roman" w:hAnsi="Times New Roman"/>
                <w:sz w:val="18"/>
              </w:rPr>
              <w:t>H = [12 / (N(N+1))] Σ (R_j² / n_j) - 3(N + 1)</w:t>
            </w:r>
          </w:p>
        </w:tc>
        <w:tc>
          <w:tcPr>
            <w:tcW w:type="dxa" w:w="2592"/>
          </w:tcPr>
          <w:p>
            <w:pPr>
              <w:spacing w:before="40" w:after="40" w:line="252" w:lineRule="auto"/>
              <w:jc w:val="left"/>
            </w:pPr>
            <w:r>
              <w:rPr>
                <w:rFonts w:ascii="Times New Roman" w:hAnsi="Times New Roman"/>
                <w:sz w:val="18"/>
              </w:rPr>
              <w:t>Non-parametric rank sum test evaluating stochastic group dominance.</w:t>
            </w:r>
          </w:p>
        </w:tc>
        <w:tc>
          <w:tcPr>
            <w:tcW w:type="dxa" w:w="2160"/>
          </w:tcPr>
          <w:p>
            <w:pPr>
              <w:spacing w:before="40" w:after="40" w:line="252" w:lineRule="auto"/>
              <w:jc w:val="left"/>
            </w:pPr>
            <w:r>
              <w:rPr>
                <w:rFonts w:ascii="Times New Roman" w:hAnsi="Times New Roman"/>
                <w:sz w:val="18"/>
              </w:rPr>
              <w:t>RQ1 (Non-Gaussian Fuel Test)</w:t>
            </w:r>
          </w:p>
        </w:tc>
      </w:tr>
      <w:tr>
        <w:tc>
          <w:tcPr>
            <w:tcW w:type="dxa" w:w="2160"/>
            <w:shd w:fill="FAFAFA"/>
          </w:tcPr>
          <w:p>
            <w:pPr>
              <w:spacing w:before="40" w:after="40" w:line="252" w:lineRule="auto"/>
              <w:jc w:val="left"/>
            </w:pPr>
            <w:r>
              <w:rPr>
                <w:rFonts w:ascii="Times New Roman" w:hAnsi="Times New Roman"/>
                <w:sz w:val="18"/>
              </w:rPr>
              <w:t>Classification Accuracy</w:t>
            </w:r>
          </w:p>
        </w:tc>
        <w:tc>
          <w:tcPr>
            <w:tcW w:type="dxa" w:w="3168"/>
            <w:shd w:fill="FAFAFA"/>
          </w:tcPr>
          <w:p>
            <w:pPr>
              <w:spacing w:before="40" w:after="40" w:line="252" w:lineRule="auto"/>
              <w:jc w:val="left"/>
            </w:pPr>
            <w:r>
              <w:rPr>
                <w:rFonts w:ascii="Times New Roman" w:hAnsi="Times New Roman"/>
                <w:sz w:val="18"/>
              </w:rPr>
              <w:t>Accuracy = (TP + TN) / (TP + TN + FP + FN)</w:t>
            </w:r>
          </w:p>
        </w:tc>
        <w:tc>
          <w:tcPr>
            <w:tcW w:type="dxa" w:w="2592"/>
            <w:shd w:fill="FAFAFA"/>
          </w:tcPr>
          <w:p>
            <w:pPr>
              <w:spacing w:before="40" w:after="40" w:line="252" w:lineRule="auto"/>
              <w:jc w:val="left"/>
            </w:pPr>
            <w:r>
              <w:rPr>
                <w:rFonts w:ascii="Times New Roman" w:hAnsi="Times New Roman"/>
                <w:sz w:val="18"/>
              </w:rPr>
              <w:t>Overall proportion of correctly classified generating units across test set.</w:t>
            </w:r>
          </w:p>
        </w:tc>
        <w:tc>
          <w:tcPr>
            <w:tcW w:type="dxa" w:w="2160"/>
            <w:shd w:fill="FAFAFA"/>
          </w:tcPr>
          <w:p>
            <w:pPr>
              <w:spacing w:before="40" w:after="40" w:line="252" w:lineRule="auto"/>
              <w:jc w:val="left"/>
            </w:pPr>
            <w:r>
              <w:rPr>
                <w:rFonts w:ascii="Times New Roman" w:hAnsi="Times New Roman"/>
                <w:sz w:val="18"/>
              </w:rPr>
              <w:t>RQ2 (Classifier Evaluation)</w:t>
            </w:r>
          </w:p>
        </w:tc>
      </w:tr>
      <w:tr>
        <w:tc>
          <w:tcPr>
            <w:tcW w:type="dxa" w:w="2160"/>
          </w:tcPr>
          <w:p>
            <w:pPr>
              <w:spacing w:before="40" w:after="40" w:line="252" w:lineRule="auto"/>
              <w:jc w:val="left"/>
            </w:pPr>
            <w:r>
              <w:rPr>
                <w:rFonts w:ascii="Times New Roman" w:hAnsi="Times New Roman"/>
                <w:sz w:val="18"/>
              </w:rPr>
              <w:t>Precision (Positive Predictive)</w:t>
            </w:r>
          </w:p>
        </w:tc>
        <w:tc>
          <w:tcPr>
            <w:tcW w:type="dxa" w:w="3168"/>
          </w:tcPr>
          <w:p>
            <w:pPr>
              <w:spacing w:before="40" w:after="40" w:line="252" w:lineRule="auto"/>
              <w:jc w:val="left"/>
            </w:pPr>
            <w:r>
              <w:rPr>
                <w:rFonts w:ascii="Times New Roman" w:hAnsi="Times New Roman"/>
                <w:sz w:val="18"/>
              </w:rPr>
              <w:t>Precision = TP / (TP + FP)</w:t>
            </w:r>
          </w:p>
        </w:tc>
        <w:tc>
          <w:tcPr>
            <w:tcW w:type="dxa" w:w="2592"/>
          </w:tcPr>
          <w:p>
            <w:pPr>
              <w:spacing w:before="40" w:after="40" w:line="252" w:lineRule="auto"/>
              <w:jc w:val="left"/>
            </w:pPr>
            <w:r>
              <w:rPr>
                <w:rFonts w:ascii="Times New Roman" w:hAnsi="Times New Roman"/>
                <w:sz w:val="18"/>
              </w:rPr>
              <w:t>Proportion of predicted high-emission facilities that are genuinely high emitters.</w:t>
            </w:r>
          </w:p>
        </w:tc>
        <w:tc>
          <w:tcPr>
            <w:tcW w:type="dxa" w:w="2160"/>
          </w:tcPr>
          <w:p>
            <w:pPr>
              <w:spacing w:before="40" w:after="40" w:line="252" w:lineRule="auto"/>
              <w:jc w:val="left"/>
            </w:pPr>
            <w:r>
              <w:rPr>
                <w:rFonts w:ascii="Times New Roman" w:hAnsi="Times New Roman"/>
                <w:sz w:val="18"/>
              </w:rPr>
              <w:t>RQ2 (Audit Resource Focus)</w:t>
            </w:r>
          </w:p>
        </w:tc>
      </w:tr>
      <w:tr>
        <w:tc>
          <w:tcPr>
            <w:tcW w:type="dxa" w:w="2160"/>
            <w:shd w:fill="FAFAFA"/>
          </w:tcPr>
          <w:p>
            <w:pPr>
              <w:spacing w:before="40" w:after="40" w:line="252" w:lineRule="auto"/>
              <w:jc w:val="left"/>
            </w:pPr>
            <w:r>
              <w:rPr>
                <w:rFonts w:ascii="Times New Roman" w:hAnsi="Times New Roman"/>
                <w:sz w:val="18"/>
              </w:rPr>
              <w:t>Recall (Sensitivity)</w:t>
            </w:r>
          </w:p>
        </w:tc>
        <w:tc>
          <w:tcPr>
            <w:tcW w:type="dxa" w:w="3168"/>
            <w:shd w:fill="FAFAFA"/>
          </w:tcPr>
          <w:p>
            <w:pPr>
              <w:spacing w:before="40" w:after="40" w:line="252" w:lineRule="auto"/>
              <w:jc w:val="left"/>
            </w:pPr>
            <w:r>
              <w:rPr>
                <w:rFonts w:ascii="Times New Roman" w:hAnsi="Times New Roman"/>
                <w:sz w:val="18"/>
              </w:rPr>
              <w:t>Recall = TP / (TP + FN)</w:t>
            </w:r>
          </w:p>
        </w:tc>
        <w:tc>
          <w:tcPr>
            <w:tcW w:type="dxa" w:w="2592"/>
            <w:shd w:fill="FAFAFA"/>
          </w:tcPr>
          <w:p>
            <w:pPr>
              <w:spacing w:before="40" w:after="40" w:line="252" w:lineRule="auto"/>
              <w:jc w:val="left"/>
            </w:pPr>
            <w:r>
              <w:rPr>
                <w:rFonts w:ascii="Times New Roman" w:hAnsi="Times New Roman"/>
                <w:sz w:val="18"/>
              </w:rPr>
              <w:t>Ability of the model to detect and flag actual high-emission generating units.</w:t>
            </w:r>
          </w:p>
        </w:tc>
        <w:tc>
          <w:tcPr>
            <w:tcW w:type="dxa" w:w="2160"/>
            <w:shd w:fill="FAFAFA"/>
          </w:tcPr>
          <w:p>
            <w:pPr>
              <w:spacing w:before="40" w:after="40" w:line="252" w:lineRule="auto"/>
              <w:jc w:val="left"/>
            </w:pPr>
            <w:r>
              <w:rPr>
                <w:rFonts w:ascii="Times New Roman" w:hAnsi="Times New Roman"/>
                <w:sz w:val="18"/>
              </w:rPr>
              <w:t>RQ2 (Environmental Protection)</w:t>
            </w:r>
          </w:p>
        </w:tc>
      </w:tr>
      <w:tr>
        <w:tc>
          <w:tcPr>
            <w:tcW w:type="dxa" w:w="2160"/>
          </w:tcPr>
          <w:p>
            <w:pPr>
              <w:spacing w:before="40" w:after="40" w:line="252" w:lineRule="auto"/>
              <w:jc w:val="left"/>
            </w:pPr>
            <w:r>
              <w:rPr>
                <w:rFonts w:ascii="Times New Roman" w:hAnsi="Times New Roman"/>
                <w:sz w:val="18"/>
              </w:rPr>
              <w:t>F1-Score (Harmonic Mean)</w:t>
            </w:r>
          </w:p>
        </w:tc>
        <w:tc>
          <w:tcPr>
            <w:tcW w:type="dxa" w:w="3168"/>
          </w:tcPr>
          <w:p>
            <w:pPr>
              <w:spacing w:before="40" w:after="40" w:line="252" w:lineRule="auto"/>
              <w:jc w:val="left"/>
            </w:pPr>
            <w:r>
              <w:rPr>
                <w:rFonts w:ascii="Times New Roman" w:hAnsi="Times New Roman"/>
                <w:sz w:val="18"/>
              </w:rPr>
              <w:t>F1 = 2 × (Precision × Recall) / (Precision + Recall)</w:t>
            </w:r>
          </w:p>
        </w:tc>
        <w:tc>
          <w:tcPr>
            <w:tcW w:type="dxa" w:w="2592"/>
          </w:tcPr>
          <w:p>
            <w:pPr>
              <w:spacing w:before="40" w:after="40" w:line="252" w:lineRule="auto"/>
              <w:jc w:val="left"/>
            </w:pPr>
            <w:r>
              <w:rPr>
                <w:rFonts w:ascii="Times New Roman" w:hAnsi="Times New Roman"/>
                <w:sz w:val="18"/>
              </w:rPr>
              <w:t>Balances precision and recall under class imbalance (25.1% positive prevalence).</w:t>
            </w:r>
          </w:p>
        </w:tc>
        <w:tc>
          <w:tcPr>
            <w:tcW w:type="dxa" w:w="2160"/>
          </w:tcPr>
          <w:p>
            <w:pPr>
              <w:spacing w:before="40" w:after="40" w:line="252" w:lineRule="auto"/>
              <w:jc w:val="left"/>
            </w:pPr>
            <w:r>
              <w:rPr>
                <w:rFonts w:ascii="Times New Roman" w:hAnsi="Times New Roman"/>
                <w:sz w:val="18"/>
              </w:rPr>
              <w:t>RQ2 (Primary Model Metric)</w:t>
            </w:r>
          </w:p>
        </w:tc>
      </w:tr>
      <w:tr>
        <w:tc>
          <w:tcPr>
            <w:tcW w:type="dxa" w:w="2160"/>
            <w:shd w:fill="FAFAFA"/>
          </w:tcPr>
          <w:p>
            <w:pPr>
              <w:spacing w:before="40" w:after="40" w:line="252" w:lineRule="auto"/>
              <w:jc w:val="left"/>
            </w:pPr>
            <w:r>
              <w:rPr>
                <w:rFonts w:ascii="Times New Roman" w:hAnsi="Times New Roman"/>
                <w:sz w:val="18"/>
              </w:rPr>
              <w:t>Receiver Operating AUC</w:t>
            </w:r>
          </w:p>
        </w:tc>
        <w:tc>
          <w:tcPr>
            <w:tcW w:type="dxa" w:w="3168"/>
            <w:shd w:fill="FAFAFA"/>
          </w:tcPr>
          <w:p>
            <w:pPr>
              <w:spacing w:before="40" w:after="40" w:line="252" w:lineRule="auto"/>
              <w:jc w:val="left"/>
            </w:pPr>
            <w:r>
              <w:rPr>
                <w:rFonts w:ascii="Times New Roman" w:hAnsi="Times New Roman"/>
                <w:sz w:val="18"/>
              </w:rPr>
              <w:t>AUC = ∫_0^1 TPR(FPR) d(FPR)</w:t>
            </w:r>
          </w:p>
        </w:tc>
        <w:tc>
          <w:tcPr>
            <w:tcW w:type="dxa" w:w="2592"/>
            <w:shd w:fill="FAFAFA"/>
          </w:tcPr>
          <w:p>
            <w:pPr>
              <w:spacing w:before="40" w:after="40" w:line="252" w:lineRule="auto"/>
              <w:jc w:val="left"/>
            </w:pPr>
            <w:r>
              <w:rPr>
                <w:rFonts w:ascii="Times New Roman" w:hAnsi="Times New Roman"/>
                <w:sz w:val="18"/>
              </w:rPr>
              <w:t>Measures aggregate discriminative ability across all classification thresholds.</w:t>
            </w:r>
          </w:p>
        </w:tc>
        <w:tc>
          <w:tcPr>
            <w:tcW w:type="dxa" w:w="2160"/>
            <w:shd w:fill="FAFAFA"/>
          </w:tcPr>
          <w:p>
            <w:pPr>
              <w:spacing w:before="40" w:after="40" w:line="252" w:lineRule="auto"/>
              <w:jc w:val="left"/>
            </w:pPr>
            <w:r>
              <w:rPr>
                <w:rFonts w:ascii="Times New Roman" w:hAnsi="Times New Roman"/>
                <w:sz w:val="18"/>
              </w:rPr>
              <w:t>RQ2 (Threshold-Free Metric)</w:t>
            </w:r>
          </w:p>
        </w:tc>
      </w:tr>
      <w:tr>
        <w:tc>
          <w:tcPr>
            <w:tcW w:type="dxa" w:w="2160"/>
          </w:tcPr>
          <w:p>
            <w:pPr>
              <w:spacing w:before="40" w:after="40" w:line="252" w:lineRule="auto"/>
              <w:jc w:val="left"/>
            </w:pPr>
            <w:r>
              <w:rPr>
                <w:rFonts w:ascii="Times New Roman" w:hAnsi="Times New Roman"/>
                <w:sz w:val="18"/>
              </w:rPr>
              <w:t>Pearson Correlation (r)</w:t>
            </w:r>
          </w:p>
        </w:tc>
        <w:tc>
          <w:tcPr>
            <w:tcW w:type="dxa" w:w="3168"/>
          </w:tcPr>
          <w:p>
            <w:pPr>
              <w:spacing w:before="40" w:after="40" w:line="252" w:lineRule="auto"/>
              <w:jc w:val="left"/>
            </w:pPr>
            <w:r>
              <w:rPr>
                <w:rFonts w:ascii="Times New Roman" w:hAnsi="Times New Roman"/>
                <w:sz w:val="18"/>
              </w:rPr>
              <w:t>r = Σ[(x - x̄)(y - ȳ)] / [√Σ(x - x̄)² √Σ(y - ȳ)²]</w:t>
            </w:r>
          </w:p>
        </w:tc>
        <w:tc>
          <w:tcPr>
            <w:tcW w:type="dxa" w:w="2592"/>
          </w:tcPr>
          <w:p>
            <w:pPr>
              <w:spacing w:before="40" w:after="40" w:line="252" w:lineRule="auto"/>
              <w:jc w:val="left"/>
            </w:pPr>
            <w:r>
              <w:rPr>
                <w:rFonts w:ascii="Times New Roman" w:hAnsi="Times New Roman"/>
                <w:sz w:val="18"/>
              </w:rPr>
              <w:t>Measures the strength and direction of linear association between two variables.</w:t>
            </w:r>
          </w:p>
        </w:tc>
        <w:tc>
          <w:tcPr>
            <w:tcW w:type="dxa" w:w="2160"/>
          </w:tcPr>
          <w:p>
            <w:pPr>
              <w:spacing w:before="40" w:after="40" w:line="252" w:lineRule="auto"/>
              <w:jc w:val="left"/>
            </w:pPr>
            <w:r>
              <w:rPr>
                <w:rFonts w:ascii="Times New Roman" w:hAnsi="Times New Roman"/>
                <w:sz w:val="18"/>
              </w:rPr>
              <w:t>RQ3 (Age vs Heat Input)</w:t>
            </w:r>
          </w:p>
        </w:tc>
      </w:tr>
      <w:tr>
        <w:tc>
          <w:tcPr>
            <w:tcW w:type="dxa" w:w="2160"/>
            <w:shd w:fill="FAFAFA"/>
          </w:tcPr>
          <w:p>
            <w:pPr>
              <w:spacing w:before="40" w:after="40" w:line="252" w:lineRule="auto"/>
              <w:jc w:val="left"/>
            </w:pPr>
            <w:r>
              <w:rPr>
                <w:rFonts w:ascii="Times New Roman" w:hAnsi="Times New Roman"/>
                <w:sz w:val="18"/>
              </w:rPr>
              <w:t>Spearman Rank Correlation (ρ)</w:t>
            </w:r>
          </w:p>
        </w:tc>
        <w:tc>
          <w:tcPr>
            <w:tcW w:type="dxa" w:w="3168"/>
            <w:shd w:fill="FAFAFA"/>
          </w:tcPr>
          <w:p>
            <w:pPr>
              <w:spacing w:before="40" w:after="40" w:line="252" w:lineRule="auto"/>
              <w:jc w:val="left"/>
            </w:pPr>
            <w:r>
              <w:rPr>
                <w:rFonts w:ascii="Times New Roman" w:hAnsi="Times New Roman"/>
                <w:sz w:val="18"/>
              </w:rPr>
              <w:t>ρ = 1 - [6 Σ d_i²] / [n(n² - 1)]</w:t>
            </w:r>
          </w:p>
        </w:tc>
        <w:tc>
          <w:tcPr>
            <w:tcW w:type="dxa" w:w="2592"/>
            <w:shd w:fill="FAFAFA"/>
          </w:tcPr>
          <w:p>
            <w:pPr>
              <w:spacing w:before="40" w:after="40" w:line="252" w:lineRule="auto"/>
              <w:jc w:val="left"/>
            </w:pPr>
            <w:r>
              <w:rPr>
                <w:rFonts w:ascii="Times New Roman" w:hAnsi="Times New Roman"/>
                <w:sz w:val="18"/>
              </w:rPr>
              <w:t>Quantifies monotonic relationship between ranked observations without normality.</w:t>
            </w:r>
          </w:p>
        </w:tc>
        <w:tc>
          <w:tcPr>
            <w:tcW w:type="dxa" w:w="2160"/>
            <w:shd w:fill="FAFAFA"/>
          </w:tcPr>
          <w:p>
            <w:pPr>
              <w:spacing w:before="40" w:after="40" w:line="252" w:lineRule="auto"/>
              <w:jc w:val="left"/>
            </w:pPr>
            <w:r>
              <w:rPr>
                <w:rFonts w:ascii="Times New Roman" w:hAnsi="Times New Roman"/>
                <w:sz w:val="18"/>
              </w:rPr>
              <w:t>RQ3 (Non-linear Vintage Link)</w:t>
            </w:r>
          </w:p>
        </w:tc>
      </w:tr>
      <w:tr>
        <w:tc>
          <w:tcPr>
            <w:tcW w:type="dxa" w:w="2160"/>
          </w:tcPr>
          <w:p>
            <w:pPr>
              <w:spacing w:before="40" w:after="40" w:line="252" w:lineRule="auto"/>
              <w:jc w:val="left"/>
            </w:pPr>
            <w:r>
              <w:rPr>
                <w:rFonts w:ascii="Times New Roman" w:hAnsi="Times New Roman"/>
                <w:sz w:val="18"/>
              </w:rPr>
              <w:t>Coefficient of Determination (R²)</w:t>
            </w:r>
          </w:p>
        </w:tc>
        <w:tc>
          <w:tcPr>
            <w:tcW w:type="dxa" w:w="3168"/>
          </w:tcPr>
          <w:p>
            <w:pPr>
              <w:spacing w:before="40" w:after="40" w:line="252" w:lineRule="auto"/>
              <w:jc w:val="left"/>
            </w:pPr>
            <w:r>
              <w:rPr>
                <w:rFonts w:ascii="Times New Roman" w:hAnsi="Times New Roman"/>
                <w:sz w:val="18"/>
              </w:rPr>
              <w:t>R² = 1 - (SS_res / SS_tot) = 1 - [Σ(y_i - ŷ_i)² / Σ(y_i - ȳ)²]</w:t>
            </w:r>
          </w:p>
        </w:tc>
        <w:tc>
          <w:tcPr>
            <w:tcW w:type="dxa" w:w="2592"/>
          </w:tcPr>
          <w:p>
            <w:pPr>
              <w:spacing w:before="40" w:after="40" w:line="252" w:lineRule="auto"/>
              <w:jc w:val="left"/>
            </w:pPr>
            <w:r>
              <w:rPr>
                <w:rFonts w:ascii="Times New Roman" w:hAnsi="Times New Roman"/>
                <w:sz w:val="18"/>
              </w:rPr>
              <w:t>Measures proportion of variance in heat input rate explained by regression model.</w:t>
            </w:r>
          </w:p>
        </w:tc>
        <w:tc>
          <w:tcPr>
            <w:tcW w:type="dxa" w:w="2160"/>
          </w:tcPr>
          <w:p>
            <w:pPr>
              <w:spacing w:before="40" w:after="40" w:line="252" w:lineRule="auto"/>
              <w:jc w:val="left"/>
            </w:pPr>
            <w:r>
              <w:rPr>
                <w:rFonts w:ascii="Times New Roman" w:hAnsi="Times New Roman"/>
                <w:sz w:val="18"/>
              </w:rPr>
              <w:t>RQ3 (OLS Model Fit)</w:t>
            </w:r>
          </w:p>
        </w:tc>
      </w:tr>
      <w:tr>
        <w:tc>
          <w:tcPr>
            <w:tcW w:type="dxa" w:w="2160"/>
            <w:shd w:fill="FAFAFA"/>
          </w:tcPr>
          <w:p>
            <w:pPr>
              <w:spacing w:before="40" w:after="40" w:line="252" w:lineRule="auto"/>
              <w:jc w:val="left"/>
            </w:pPr>
            <w:r>
              <w:rPr>
                <w:rFonts w:ascii="Times New Roman" w:hAnsi="Times New Roman"/>
                <w:sz w:val="18"/>
              </w:rPr>
              <w:t>Root Mean Squared Error (RMSE)</w:t>
            </w:r>
          </w:p>
        </w:tc>
        <w:tc>
          <w:tcPr>
            <w:tcW w:type="dxa" w:w="3168"/>
            <w:shd w:fill="FAFAFA"/>
          </w:tcPr>
          <w:p>
            <w:pPr>
              <w:spacing w:before="40" w:after="40" w:line="252" w:lineRule="auto"/>
              <w:jc w:val="left"/>
            </w:pPr>
            <w:r>
              <w:rPr>
                <w:rFonts w:ascii="Times New Roman" w:hAnsi="Times New Roman"/>
                <w:sz w:val="18"/>
              </w:rPr>
              <w:t>RMSE = √[ (1/n) Σ (y_i - ŷ_i)² ]</w:t>
            </w:r>
          </w:p>
        </w:tc>
        <w:tc>
          <w:tcPr>
            <w:tcW w:type="dxa" w:w="2592"/>
            <w:shd w:fill="FAFAFA"/>
          </w:tcPr>
          <w:p>
            <w:pPr>
              <w:spacing w:before="40" w:after="40" w:line="252" w:lineRule="auto"/>
              <w:jc w:val="left"/>
            </w:pPr>
            <w:r>
              <w:rPr>
                <w:rFonts w:ascii="Times New Roman" w:hAnsi="Times New Roman"/>
                <w:sz w:val="18"/>
              </w:rPr>
              <w:t>Penalizes large prediction errors; expressed in original physical units (mmBtu/hr).</w:t>
            </w:r>
          </w:p>
        </w:tc>
        <w:tc>
          <w:tcPr>
            <w:tcW w:type="dxa" w:w="2160"/>
            <w:shd w:fill="FAFAFA"/>
          </w:tcPr>
          <w:p>
            <w:pPr>
              <w:spacing w:before="40" w:after="40" w:line="252" w:lineRule="auto"/>
              <w:jc w:val="left"/>
            </w:pPr>
            <w:r>
              <w:rPr>
                <w:rFonts w:ascii="Times New Roman" w:hAnsi="Times New Roman"/>
                <w:sz w:val="18"/>
              </w:rPr>
              <w:t>RQ3 (Regression Error)</w:t>
            </w:r>
          </w:p>
        </w:tc>
      </w:tr>
      <w:tr>
        <w:tc>
          <w:tcPr>
            <w:tcW w:type="dxa" w:w="2160"/>
          </w:tcPr>
          <w:p>
            <w:pPr>
              <w:spacing w:before="40" w:after="40" w:line="252" w:lineRule="auto"/>
              <w:jc w:val="left"/>
            </w:pPr>
            <w:r>
              <w:rPr>
                <w:rFonts w:ascii="Times New Roman" w:hAnsi="Times New Roman"/>
                <w:sz w:val="18"/>
              </w:rPr>
              <w:t>Silhouette Coefficient (s_i)</w:t>
            </w:r>
          </w:p>
        </w:tc>
        <w:tc>
          <w:tcPr>
            <w:tcW w:type="dxa" w:w="3168"/>
          </w:tcPr>
          <w:p>
            <w:pPr>
              <w:spacing w:before="40" w:after="40" w:line="252" w:lineRule="auto"/>
              <w:jc w:val="left"/>
            </w:pPr>
            <w:r>
              <w:rPr>
                <w:rFonts w:ascii="Times New Roman" w:hAnsi="Times New Roman"/>
                <w:sz w:val="18"/>
              </w:rPr>
              <w:t>s(i) = [b(i) - a(i)] / max[a(i), b(i)]</w:t>
            </w:r>
          </w:p>
        </w:tc>
        <w:tc>
          <w:tcPr>
            <w:tcW w:type="dxa" w:w="2592"/>
          </w:tcPr>
          <w:p>
            <w:pPr>
              <w:spacing w:before="40" w:after="40" w:line="252" w:lineRule="auto"/>
              <w:jc w:val="left"/>
            </w:pPr>
            <w:r>
              <w:rPr>
                <w:rFonts w:ascii="Times New Roman" w:hAnsi="Times New Roman"/>
                <w:sz w:val="18"/>
              </w:rPr>
              <w:t>Evaluates individual and mean cluster cohesion versus separation (-1 to +1).</w:t>
            </w:r>
          </w:p>
        </w:tc>
        <w:tc>
          <w:tcPr>
            <w:tcW w:type="dxa" w:w="2160"/>
          </w:tcPr>
          <w:p>
            <w:pPr>
              <w:spacing w:before="40" w:after="40" w:line="252" w:lineRule="auto"/>
              <w:jc w:val="left"/>
            </w:pPr>
            <w:r>
              <w:rPr>
                <w:rFonts w:ascii="Times New Roman" w:hAnsi="Times New Roman"/>
                <w:sz w:val="18"/>
              </w:rPr>
              <w:t>RQ4 (Cluster Validation)</w:t>
            </w:r>
          </w:p>
        </w:tc>
      </w:tr>
      <w:tr>
        <w:tc>
          <w:tcPr>
            <w:tcW w:type="dxa" w:w="2160"/>
            <w:shd w:fill="FAFAFA"/>
          </w:tcPr>
          <w:p>
            <w:pPr>
              <w:spacing w:before="40" w:after="40" w:line="252" w:lineRule="auto"/>
              <w:jc w:val="left"/>
            </w:pPr>
            <w:r>
              <w:rPr>
                <w:rFonts w:ascii="Times New Roman" w:hAnsi="Times New Roman"/>
                <w:sz w:val="18"/>
              </w:rPr>
              <w:t>Within-Cluster Sum of Squares</w:t>
            </w:r>
          </w:p>
        </w:tc>
        <w:tc>
          <w:tcPr>
            <w:tcW w:type="dxa" w:w="3168"/>
            <w:shd w:fill="FAFAFA"/>
          </w:tcPr>
          <w:p>
            <w:pPr>
              <w:spacing w:before="40" w:after="40" w:line="252" w:lineRule="auto"/>
              <w:jc w:val="left"/>
            </w:pPr>
            <w:r>
              <w:rPr>
                <w:rFonts w:ascii="Times New Roman" w:hAnsi="Times New Roman"/>
                <w:sz w:val="18"/>
              </w:rPr>
              <w:t>WCSS = Σ_k Σ_{x ∈ C_k} || x - μ_k ||²</w:t>
            </w:r>
          </w:p>
        </w:tc>
        <w:tc>
          <w:tcPr>
            <w:tcW w:type="dxa" w:w="2592"/>
            <w:shd w:fill="FAFAFA"/>
          </w:tcPr>
          <w:p>
            <w:pPr>
              <w:spacing w:before="40" w:after="40" w:line="252" w:lineRule="auto"/>
              <w:jc w:val="left"/>
            </w:pPr>
            <w:r>
              <w:rPr>
                <w:rFonts w:ascii="Times New Roman" w:hAnsi="Times New Roman"/>
                <w:sz w:val="18"/>
              </w:rPr>
              <w:t>Total Euclidean dispersion of points around cluster centroids (Elbow curve).</w:t>
            </w:r>
          </w:p>
        </w:tc>
        <w:tc>
          <w:tcPr>
            <w:tcW w:type="dxa" w:w="2160"/>
            <w:shd w:fill="FAFAFA"/>
          </w:tcPr>
          <w:p>
            <w:pPr>
              <w:spacing w:before="40" w:after="40" w:line="252" w:lineRule="auto"/>
              <w:jc w:val="left"/>
            </w:pPr>
            <w:r>
              <w:rPr>
                <w:rFonts w:ascii="Times New Roman" w:hAnsi="Times New Roman"/>
                <w:sz w:val="18"/>
              </w:rPr>
              <w:t>RQ4 (Optimal k Selection)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formulas, and domain applications of all quantitative performance metrics.</w:t>
      </w:r>
    </w:p>
    <w:p>
      <w:pPr>
        <w:keepNext/>
        <w:spacing w:before="320" w:after="160"/>
        <w:jc w:val="center"/>
      </w:pPr>
      <w:r>
        <w:rPr>
          <w:rFonts w:ascii="Times New Roman" w:hAnsi="Times New Roman"/>
          <w:b/>
          <w:color w:val="0F2240"/>
          <w:sz w:val="28"/>
        </w:rPr>
        <w:t>6. Preliminary Results</w:t>
      </w:r>
    </w:p>
    <w:p>
      <w:pPr>
        <w:keepNext/>
        <w:spacing w:before="240" w:after="120"/>
        <w:jc w:val="left"/>
      </w:pPr>
      <w:r>
        <w:rPr>
          <w:rFonts w:ascii="Times New Roman" w:hAnsi="Times New Roman"/>
          <w:b/>
          <w:color w:val="19375F"/>
          <w:sz w:val="24"/>
        </w:rPr>
        <w:t>Preliminary Findings by Research Question</w:t>
      </w:r>
    </w:p>
    <w:p>
      <w:pPr>
        <w:keepNext/>
        <w:spacing w:before="160" w:after="80"/>
        <w:jc w:val="left"/>
      </w:pPr>
      <w:r>
        <w:rPr>
          <w:rFonts w:ascii="Times New Roman" w:hAnsi="Times New Roman"/>
          <w:b/>
          <w:i/>
          <w:color w:val="282828"/>
          <w:sz w:val="22"/>
        </w:rPr>
        <w:t>RQ1: Emission &amp; Heat Input Variability across Fuels (F = 542.36, p &lt; 0.001)</w:t>
      </w:r>
    </w:p>
    <w:p>
      <w:pPr>
        <w:spacing w:after="120" w:line="276" w:lineRule="auto"/>
        <w:jc w:val="left"/>
      </w:pPr>
      <w:r>
        <w:rPr>
          <w:rFonts w:ascii="Times New Roman" w:hAnsi="Times New Roman"/>
          <w:i w:val="0"/>
          <w:sz w:val="22"/>
        </w:rPr>
        <w:t>To resolve RQ1, One-Way Analysis of Variance (ANOVA) was conducted on maximum hourly heat input rate across the five primary fuel categories. The omnibus test yielded an extraordinarily significant effect: F(4, 4045) = 542.36, p &lt; 0.0001. The calculated effect size, Eta-Squared (η²), is 0.3491, demonstrating that 34.91% of the total variance in maximum hourly combustion capacity across the U.S. power fleet is attributable directly to primary fuel choice. In academic social and environmental sciences, an η² &gt; 0.14 is classified as a very large effect (Field, 2018).</w:t>
      </w:r>
    </w:p>
    <w:p>
      <w:pPr>
        <w:spacing w:after="120" w:line="276" w:lineRule="auto"/>
        <w:jc w:val="left"/>
      </w:pPr>
      <w:r>
        <w:rPr>
          <w:rFonts w:ascii="Times New Roman" w:hAnsi="Times New Roman"/>
          <w:i w:val="0"/>
          <w:sz w:val="22"/>
        </w:rPr>
        <w:t>Because heat input data exhibit right-skewness, the non-parametric Kruskal-Wallis test was conducted as a distribution-free verification. The test confirmed profound significance: H(4) = 783.02, p = 3.66 × 10⁻¹⁶⁸, decisively rejecting the null hypothesis (H0) and proving that fuel groups exhibit distinct operational distributions. Post-hoc pairwise multiple comparisons utilizing Tukey's Honestly Significant Difference (HSD) test (summarized in Appendix C) demonstrate that Coal-fired units exceed Natural Gas units by an average of 3,668.2 mmBtu/hr (p &lt; 0.001) and Oil/Diesel units by 4,444.5 mmBtu/hr (p &lt; 0.001). Conversely, the difference between Oil/Diesel and Biomass units was not statistically significant (Mean Diff = 39.2 mmBtu/hr, p = 1.000), reflecting similar smaller-scale thermal applications. These empirical outputs conclusively resolve RQ1: primary fuel selection governs physical boiler scale and thermal combustion loading across the national fleet.</w:t>
      </w:r>
    </w:p>
    <w:p>
      <w:pPr>
        <w:keepNext/>
        <w:spacing w:before="160" w:after="80"/>
        <w:jc w:val="left"/>
      </w:pPr>
      <w:r>
        <w:rPr>
          <w:rFonts w:ascii="Times New Roman" w:hAnsi="Times New Roman"/>
          <w:b/>
          <w:i/>
          <w:color w:val="282828"/>
          <w:sz w:val="22"/>
        </w:rPr>
        <w:t>RQ2: Predictive Classification of High-Emission Generating Units</w:t>
      </w:r>
    </w:p>
    <w:p>
      <w:pPr>
        <w:spacing w:after="120" w:line="276" w:lineRule="auto"/>
        <w:jc w:val="left"/>
      </w:pPr>
      <w:r>
        <w:rPr>
          <w:rFonts w:ascii="Times New Roman" w:hAnsi="Times New Roman"/>
          <w:i w:val="0"/>
          <w:sz w:val="22"/>
        </w:rPr>
        <w:t>To resolve RQ2, supervised machine learning models were developed to predict high-emission generating units (Heat Input Rate ≥ 2,350 mmBtu/hr, representing 1018 units, 25.14% positive class prevalence). The dataset was partitioned into an 80% training set (N = 3240) and an independent 20% holdout test set (N = 810) using stratified sampling.</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Receiver Operating Characteristic (ROC) Curves for High Emitter Classification</w:t>
      </w:r>
    </w:p>
    <w:p>
      <w:pPr>
        <w:keepNext/>
        <w:spacing w:after="80"/>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figure6_roc_curves.png"/>
                    <pic:cNvPicPr/>
                  </pic:nvPicPr>
                  <pic:blipFill>
                    <a:blip r:embed="rId15"/>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Comparison of test set ROC curves for Random Forest (AUC = 0.985), Gradient Boosting (AUC = 0.986), and Logistic Regression (AUC = 0.966).</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Confusion Matrices for Binary High-Emitter Classification Models (Test Set, N = 810)</w:t>
      </w:r>
    </w:p>
    <w:p>
      <w:pPr>
        <w:keepNext/>
        <w:spacing w:after="80"/>
        <w:jc w:val="center"/>
      </w:pPr>
      <w:r>
        <w:drawing>
          <wp:inline xmlns:a="http://schemas.openxmlformats.org/drawingml/2006/main" xmlns:pic="http://schemas.openxmlformats.org/drawingml/2006/picture">
            <wp:extent cx="5486400" cy="1724636"/>
            <wp:docPr id="6" name="Picture 6"/>
            <wp:cNvGraphicFramePr>
              <a:graphicFrameLocks noChangeAspect="1"/>
            </wp:cNvGraphicFramePr>
            <a:graphic>
              <a:graphicData uri="http://schemas.openxmlformats.org/drawingml/2006/picture">
                <pic:pic>
                  <pic:nvPicPr>
                    <pic:cNvPr id="0" name="figure7_confusion_matrices.png"/>
                    <pic:cNvPicPr/>
                  </pic:nvPicPr>
                  <pic:blipFill>
                    <a:blip r:embed="rId16"/>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Test set confusion matrices displaying true negatives (TN), false positives (FP), false negatives (FN), and true positives (TP) across all three models.</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Top Predictors of High-Emission Generating Units (Random Forest Gini Importance)</w:t>
      </w:r>
    </w:p>
    <w:p>
      <w:pPr>
        <w:keepNext/>
        <w:spacing w:after="80"/>
        <w:jc w:val="center"/>
      </w:pPr>
      <w:r>
        <w:drawing>
          <wp:inline xmlns:a="http://schemas.openxmlformats.org/drawingml/2006/main" xmlns:pic="http://schemas.openxmlformats.org/drawingml/2006/picture">
            <wp:extent cx="5486400" cy="3227294"/>
            <wp:docPr id="7" name="Picture 7"/>
            <wp:cNvGraphicFramePr>
              <a:graphicFrameLocks noChangeAspect="1"/>
            </wp:cNvGraphicFramePr>
            <a:graphic>
              <a:graphicData uri="http://schemas.openxmlformats.org/drawingml/2006/picture">
                <pic:pic>
                  <pic:nvPicPr>
                    <pic:cNvPr id="0" name="figure8_feature_importance.png"/>
                    <pic:cNvPicPr/>
                  </pic:nvPicPr>
                  <pic:blipFill>
                    <a:blip r:embed="rId17"/>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Feature importance measured via Mean Decrease in Impurity (Gini importance) across 150 randomized decision trees.</w:t>
      </w:r>
    </w:p>
    <w:p>
      <w:pPr>
        <w:spacing w:after="120" w:line="276" w:lineRule="auto"/>
        <w:jc w:val="left"/>
      </w:pPr>
      <w:r>
        <w:rPr>
          <w:rFonts w:ascii="Times New Roman" w:hAnsi="Times New Roman"/>
          <w:i w:val="0"/>
          <w:sz w:val="22"/>
        </w:rPr>
        <w:t>As displayed in Figure 5 and Table 8, all three classifiers demonstrated exceptional discriminative accuracy, decisively rejecting the null hypothesis for RQ2. The Random Forest model achieved a test classification accuracy of 93.95%, an F1-score of 0.8858, a sensitivity (recall) of 93.14%, and an outstanding ROC-AUC of 0.9851. Out of 204 actual high emitters in the test set, Random Forest successfully identified 190 units, missing only 14 (Figure 6). Gradient Boosting achieved the highest overall test accuracy (96.54%) and precision (94.44%), with an F1-score of 0.9303 and ROC-AUC of 0.9865.</w:t>
      </w:r>
    </w:p>
    <w:p>
      <w:pPr>
        <w:spacing w:after="120" w:line="276" w:lineRule="auto"/>
        <w:jc w:val="left"/>
      </w:pPr>
      <w:r>
        <w:rPr>
          <w:rFonts w:ascii="Times New Roman" w:hAnsi="Times New Roman"/>
          <w:i w:val="0"/>
          <w:sz w:val="22"/>
        </w:rPr>
        <w:t>Figure 7 illustrates feature importance rankings derived from the Random Forest ensemble. Total installed generation capacity (Capacity_MW) is the overwhelming primary predictor, accounting for 55.8% of Gini impurity reduction. Unit technology (specifically simple-cycle Combustion Turbines, 15.7%) and unit vintage (Unit_Age, 10.1%) represent the second and third most influential features, followed by pollution control count (5.9%) and Coal fuel classification (3.4%). This confirms that while physical electrical capacity establishes the baseline energy throughput, thermodynamic cycle design and boiler vintage provide vital predictive signals distinguishing high-emission baseload units from peaking turbines.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Preliminary Model Performance Comparison (RQ2)</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Feature Set</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Validation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Accuracy</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Precision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Recall</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F1</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AUC</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Key Takeaway</w:t>
            </w:r>
          </w:p>
        </w:tc>
      </w:tr>
      <w:tr>
        <w:tc>
          <w:tcPr>
            <w:tcW w:type="dxa" w:w="1584"/>
          </w:tcPr>
          <w:p>
            <w:pPr>
              <w:spacing w:before="40" w:after="40" w:line="252" w:lineRule="auto"/>
              <w:jc w:val="left"/>
            </w:pPr>
            <w:r>
              <w:rPr>
                <w:rFonts w:ascii="Times New Roman" w:hAnsi="Times New Roman"/>
                <w:sz w:val="18"/>
              </w:rPr>
              <w:t>Logistic Regression (Ridge L2)</w:t>
            </w:r>
          </w:p>
        </w:tc>
        <w:tc>
          <w:tcPr>
            <w:tcW w:type="dxa" w:w="1440"/>
          </w:tcPr>
          <w:p>
            <w:pPr>
              <w:spacing w:before="40" w:after="40" w:line="252" w:lineRule="auto"/>
              <w:jc w:val="left"/>
            </w:pPr>
            <w:r>
              <w:rPr>
                <w:rFonts w:ascii="Times New Roman" w:hAnsi="Times New Roman"/>
                <w:sz w:val="18"/>
              </w:rPr>
              <w:t>Scaled Capacity, Age, Controls, Fuel &amp; Tech Dummies</w:t>
            </w:r>
          </w:p>
        </w:tc>
        <w:tc>
          <w:tcPr>
            <w:tcW w:type="dxa" w:w="1296"/>
          </w:tcPr>
          <w:p>
            <w:pPr>
              <w:spacing w:before="40" w:after="40" w:line="252" w:lineRule="auto"/>
              <w:jc w:val="left"/>
            </w:pPr>
            <w:r>
              <w:rPr>
                <w:rFonts w:ascii="Times New Roman" w:hAnsi="Times New Roman"/>
                <w:sz w:val="18"/>
              </w:rPr>
              <w:t>5-Fold CV: F1 = 0.7866</w:t>
            </w:r>
          </w:p>
        </w:tc>
        <w:tc>
          <w:tcPr>
            <w:tcW w:type="dxa" w:w="864"/>
          </w:tcPr>
          <w:p>
            <w:pPr>
              <w:spacing w:before="40" w:after="40" w:line="252" w:lineRule="auto"/>
              <w:jc w:val="left"/>
            </w:pPr>
            <w:r>
              <w:rPr>
                <w:rFonts w:ascii="Times New Roman" w:hAnsi="Times New Roman"/>
                <w:sz w:val="18"/>
              </w:rPr>
              <w:t>89.14%</w:t>
            </w:r>
          </w:p>
        </w:tc>
        <w:tc>
          <w:tcPr>
            <w:tcW w:type="dxa" w:w="864"/>
          </w:tcPr>
          <w:p>
            <w:pPr>
              <w:spacing w:before="40" w:after="40" w:line="252" w:lineRule="auto"/>
              <w:jc w:val="left"/>
            </w:pPr>
            <w:r>
              <w:rPr>
                <w:rFonts w:ascii="Times New Roman" w:hAnsi="Times New Roman"/>
                <w:sz w:val="18"/>
              </w:rPr>
              <w:t>73.39%</w:t>
            </w:r>
          </w:p>
        </w:tc>
        <w:tc>
          <w:tcPr>
            <w:tcW w:type="dxa" w:w="864"/>
          </w:tcPr>
          <w:p>
            <w:pPr>
              <w:spacing w:before="40" w:after="40" w:line="252" w:lineRule="auto"/>
              <w:jc w:val="left"/>
            </w:pPr>
            <w:r>
              <w:rPr>
                <w:rFonts w:ascii="Times New Roman" w:hAnsi="Times New Roman"/>
                <w:sz w:val="18"/>
              </w:rPr>
              <w:t>89.22%</w:t>
            </w:r>
          </w:p>
        </w:tc>
        <w:tc>
          <w:tcPr>
            <w:tcW w:type="dxa" w:w="864"/>
          </w:tcPr>
          <w:p>
            <w:pPr>
              <w:spacing w:before="40" w:after="40" w:line="252" w:lineRule="auto"/>
              <w:jc w:val="left"/>
            </w:pPr>
            <w:r>
              <w:rPr>
                <w:rFonts w:ascii="Times New Roman" w:hAnsi="Times New Roman"/>
                <w:sz w:val="18"/>
              </w:rPr>
              <w:t>0.8053</w:t>
            </w:r>
          </w:p>
        </w:tc>
        <w:tc>
          <w:tcPr>
            <w:tcW w:type="dxa" w:w="864"/>
          </w:tcPr>
          <w:p>
            <w:pPr>
              <w:spacing w:before="40" w:after="40" w:line="252" w:lineRule="auto"/>
              <w:jc w:val="left"/>
            </w:pPr>
            <w:r>
              <w:rPr>
                <w:rFonts w:ascii="Times New Roman" w:hAnsi="Times New Roman"/>
                <w:sz w:val="18"/>
              </w:rPr>
              <w:t>0.9658</w:t>
            </w:r>
          </w:p>
        </w:tc>
        <w:tc>
          <w:tcPr>
            <w:tcW w:type="dxa" w:w="1728"/>
          </w:tcPr>
          <w:p>
            <w:pPr>
              <w:spacing w:before="40" w:after="40" w:line="252" w:lineRule="auto"/>
              <w:jc w:val="left"/>
            </w:pPr>
            <w:r>
              <w:rPr>
                <w:rFonts w:ascii="Times New Roman" w:hAnsi="Times New Roman"/>
                <w:sz w:val="18"/>
              </w:rPr>
              <w:t>Strong linear baseline; high recall (89.2%) ensures few missed high emitters.</w:t>
            </w:r>
          </w:p>
        </w:tc>
      </w:tr>
      <w:tr>
        <w:tc>
          <w:tcPr>
            <w:tcW w:type="dxa" w:w="1584"/>
            <w:shd w:fill="FAFAFA"/>
          </w:tcPr>
          <w:p>
            <w:pPr>
              <w:spacing w:before="40" w:after="40" w:line="252" w:lineRule="auto"/>
              <w:jc w:val="left"/>
            </w:pPr>
            <w:r>
              <w:rPr>
                <w:rFonts w:ascii="Times New Roman" w:hAnsi="Times New Roman"/>
                <w:sz w:val="18"/>
              </w:rPr>
              <w:t>Random Forest (150 Trees)</w:t>
            </w:r>
          </w:p>
        </w:tc>
        <w:tc>
          <w:tcPr>
            <w:tcW w:type="dxa" w:w="1440"/>
            <w:shd w:fill="FAFAFA"/>
          </w:tcPr>
          <w:p>
            <w:pPr>
              <w:spacing w:before="40" w:after="40" w:line="252" w:lineRule="auto"/>
              <w:jc w:val="left"/>
            </w:pPr>
            <w:r>
              <w:rPr>
                <w:rFonts w:ascii="Times New Roman" w:hAnsi="Times New Roman"/>
                <w:sz w:val="18"/>
              </w:rPr>
              <w:t>Full Feature Set (Continuous + Categorical Dummies)</w:t>
            </w:r>
          </w:p>
        </w:tc>
        <w:tc>
          <w:tcPr>
            <w:tcW w:type="dxa" w:w="1296"/>
            <w:shd w:fill="FAFAFA"/>
          </w:tcPr>
          <w:p>
            <w:pPr>
              <w:spacing w:before="40" w:after="40" w:line="252" w:lineRule="auto"/>
              <w:jc w:val="left"/>
            </w:pPr>
            <w:r>
              <w:rPr>
                <w:rFonts w:ascii="Times New Roman" w:hAnsi="Times New Roman"/>
                <w:sz w:val="18"/>
              </w:rPr>
              <w:t>5-Fold CV: F1 = 0.8744</w:t>
            </w:r>
          </w:p>
        </w:tc>
        <w:tc>
          <w:tcPr>
            <w:tcW w:type="dxa" w:w="864"/>
            <w:shd w:fill="FAFAFA"/>
          </w:tcPr>
          <w:p>
            <w:pPr>
              <w:spacing w:before="40" w:after="40" w:line="252" w:lineRule="auto"/>
              <w:jc w:val="left"/>
            </w:pPr>
            <w:r>
              <w:rPr>
                <w:rFonts w:ascii="Times New Roman" w:hAnsi="Times New Roman"/>
                <w:sz w:val="18"/>
              </w:rPr>
              <w:t>93.95%</w:t>
            </w:r>
          </w:p>
        </w:tc>
        <w:tc>
          <w:tcPr>
            <w:tcW w:type="dxa" w:w="864"/>
            <w:shd w:fill="FAFAFA"/>
          </w:tcPr>
          <w:p>
            <w:pPr>
              <w:spacing w:before="40" w:after="40" w:line="252" w:lineRule="auto"/>
              <w:jc w:val="left"/>
            </w:pPr>
            <w:r>
              <w:rPr>
                <w:rFonts w:ascii="Times New Roman" w:hAnsi="Times New Roman"/>
                <w:sz w:val="18"/>
              </w:rPr>
              <w:t>84.44%</w:t>
            </w:r>
          </w:p>
        </w:tc>
        <w:tc>
          <w:tcPr>
            <w:tcW w:type="dxa" w:w="864"/>
            <w:shd w:fill="FAFAFA"/>
          </w:tcPr>
          <w:p>
            <w:pPr>
              <w:spacing w:before="40" w:after="40" w:line="252" w:lineRule="auto"/>
              <w:jc w:val="left"/>
            </w:pPr>
            <w:r>
              <w:rPr>
                <w:rFonts w:ascii="Times New Roman" w:hAnsi="Times New Roman"/>
                <w:sz w:val="18"/>
              </w:rPr>
              <w:t>93.14%</w:t>
            </w:r>
          </w:p>
        </w:tc>
        <w:tc>
          <w:tcPr>
            <w:tcW w:type="dxa" w:w="864"/>
            <w:shd w:fill="FAFAFA"/>
          </w:tcPr>
          <w:p>
            <w:pPr>
              <w:spacing w:before="40" w:after="40" w:line="252" w:lineRule="auto"/>
              <w:jc w:val="left"/>
            </w:pPr>
            <w:r>
              <w:rPr>
                <w:rFonts w:ascii="Times New Roman" w:hAnsi="Times New Roman"/>
                <w:sz w:val="18"/>
              </w:rPr>
              <w:t>0.8858</w:t>
            </w:r>
          </w:p>
        </w:tc>
        <w:tc>
          <w:tcPr>
            <w:tcW w:type="dxa" w:w="864"/>
            <w:shd w:fill="FAFAFA"/>
          </w:tcPr>
          <w:p>
            <w:pPr>
              <w:spacing w:before="40" w:after="40" w:line="252" w:lineRule="auto"/>
              <w:jc w:val="left"/>
            </w:pPr>
            <w:r>
              <w:rPr>
                <w:rFonts w:ascii="Times New Roman" w:hAnsi="Times New Roman"/>
                <w:sz w:val="18"/>
              </w:rPr>
              <w:t>0.9851</w:t>
            </w:r>
          </w:p>
        </w:tc>
        <w:tc>
          <w:tcPr>
            <w:tcW w:type="dxa" w:w="1728"/>
            <w:shd w:fill="FAFAFA"/>
          </w:tcPr>
          <w:p>
            <w:pPr>
              <w:spacing w:before="40" w:after="40" w:line="252" w:lineRule="auto"/>
              <w:jc w:val="left"/>
            </w:pPr>
            <w:r>
              <w:rPr>
                <w:rFonts w:ascii="Times New Roman" w:hAnsi="Times New Roman"/>
                <w:sz w:val="18"/>
              </w:rPr>
              <w:t>Optimal balance: 93.1% recall and 88.6% F1; robust to non-linear interactions.</w:t>
            </w:r>
          </w:p>
        </w:tc>
      </w:tr>
      <w:tr>
        <w:tc>
          <w:tcPr>
            <w:tcW w:type="dxa" w:w="1584"/>
          </w:tcPr>
          <w:p>
            <w:pPr>
              <w:spacing w:before="40" w:after="40" w:line="252" w:lineRule="auto"/>
              <w:jc w:val="left"/>
            </w:pPr>
            <w:r>
              <w:rPr>
                <w:rFonts w:ascii="Times New Roman" w:hAnsi="Times New Roman"/>
                <w:sz w:val="18"/>
              </w:rPr>
              <w:t>Gradient Boosting (100 Trees)</w:t>
            </w:r>
          </w:p>
        </w:tc>
        <w:tc>
          <w:tcPr>
            <w:tcW w:type="dxa" w:w="1440"/>
          </w:tcPr>
          <w:p>
            <w:pPr>
              <w:spacing w:before="40" w:after="40" w:line="252" w:lineRule="auto"/>
              <w:jc w:val="left"/>
            </w:pPr>
            <w:r>
              <w:rPr>
                <w:rFonts w:ascii="Times New Roman" w:hAnsi="Times New Roman"/>
                <w:sz w:val="18"/>
              </w:rPr>
              <w:t>Full Feature Set (Continuous + Categorical Dummies)</w:t>
            </w:r>
          </w:p>
        </w:tc>
        <w:tc>
          <w:tcPr>
            <w:tcW w:type="dxa" w:w="1296"/>
          </w:tcPr>
          <w:p>
            <w:pPr>
              <w:spacing w:before="40" w:after="40" w:line="252" w:lineRule="auto"/>
              <w:jc w:val="left"/>
            </w:pPr>
            <w:r>
              <w:rPr>
                <w:rFonts w:ascii="Times New Roman" w:hAnsi="Times New Roman"/>
                <w:sz w:val="18"/>
              </w:rPr>
              <w:t>5-Fold CV: F1 = 0.9114</w:t>
            </w:r>
          </w:p>
        </w:tc>
        <w:tc>
          <w:tcPr>
            <w:tcW w:type="dxa" w:w="864"/>
          </w:tcPr>
          <w:p>
            <w:pPr>
              <w:spacing w:before="40" w:after="40" w:line="252" w:lineRule="auto"/>
              <w:jc w:val="left"/>
            </w:pPr>
            <w:r>
              <w:rPr>
                <w:rFonts w:ascii="Times New Roman" w:hAnsi="Times New Roman"/>
                <w:sz w:val="18"/>
              </w:rPr>
              <w:t>96.54%</w:t>
            </w:r>
          </w:p>
        </w:tc>
        <w:tc>
          <w:tcPr>
            <w:tcW w:type="dxa" w:w="864"/>
          </w:tcPr>
          <w:p>
            <w:pPr>
              <w:spacing w:before="40" w:after="40" w:line="252" w:lineRule="auto"/>
              <w:jc w:val="left"/>
            </w:pPr>
            <w:r>
              <w:rPr>
                <w:rFonts w:ascii="Times New Roman" w:hAnsi="Times New Roman"/>
                <w:sz w:val="18"/>
              </w:rPr>
              <w:t>94.44%</w:t>
            </w:r>
          </w:p>
        </w:tc>
        <w:tc>
          <w:tcPr>
            <w:tcW w:type="dxa" w:w="864"/>
          </w:tcPr>
          <w:p>
            <w:pPr>
              <w:spacing w:before="40" w:after="40" w:line="252" w:lineRule="auto"/>
              <w:jc w:val="left"/>
            </w:pPr>
            <w:r>
              <w:rPr>
                <w:rFonts w:ascii="Times New Roman" w:hAnsi="Times New Roman"/>
                <w:sz w:val="18"/>
              </w:rPr>
              <w:t>91.67%</w:t>
            </w:r>
          </w:p>
        </w:tc>
        <w:tc>
          <w:tcPr>
            <w:tcW w:type="dxa" w:w="864"/>
          </w:tcPr>
          <w:p>
            <w:pPr>
              <w:spacing w:before="40" w:after="40" w:line="252" w:lineRule="auto"/>
              <w:jc w:val="left"/>
            </w:pPr>
            <w:r>
              <w:rPr>
                <w:rFonts w:ascii="Times New Roman" w:hAnsi="Times New Roman"/>
                <w:sz w:val="18"/>
              </w:rPr>
              <w:t>0.9303</w:t>
            </w:r>
          </w:p>
        </w:tc>
        <w:tc>
          <w:tcPr>
            <w:tcW w:type="dxa" w:w="864"/>
          </w:tcPr>
          <w:p>
            <w:pPr>
              <w:spacing w:before="40" w:after="40" w:line="252" w:lineRule="auto"/>
              <w:jc w:val="left"/>
            </w:pPr>
            <w:r>
              <w:rPr>
                <w:rFonts w:ascii="Times New Roman" w:hAnsi="Times New Roman"/>
                <w:sz w:val="18"/>
              </w:rPr>
              <w:t>0.9865</w:t>
            </w:r>
          </w:p>
        </w:tc>
        <w:tc>
          <w:tcPr>
            <w:tcW w:type="dxa" w:w="1728"/>
          </w:tcPr>
          <w:p>
            <w:pPr>
              <w:spacing w:before="40" w:after="40" w:line="252" w:lineRule="auto"/>
              <w:jc w:val="left"/>
            </w:pPr>
            <w:r>
              <w:rPr>
                <w:rFonts w:ascii="Times New Roman" w:hAnsi="Times New Roman"/>
                <w:sz w:val="18"/>
              </w:rPr>
              <w:t>Superior precision (94.4%) and overall accuracy (96.5%); highly robust decision boundary.</w:t>
            </w:r>
          </w:p>
        </w:tc>
      </w:tr>
    </w:tbl>
    <w:p>
      <w:pPr>
        <w:spacing w:before="60" w:after="240"/>
      </w:pPr>
      <w:r>
        <w:rPr>
          <w:rFonts w:ascii="Times New Roman" w:hAnsi="Times New Roman"/>
          <w:i/>
          <w:sz w:val="18"/>
        </w:rPr>
        <w:t xml:space="preserve">Note. </w:t>
      </w:r>
      <w:r>
        <w:rPr>
          <w:rFonts w:ascii="Times New Roman" w:hAnsi="Times New Roman"/>
          <w:sz w:val="18"/>
        </w:rPr>
        <w:t>Test set evaluation metrics across 810 holdout generating units (stratified 80/20 train/test split).</w:t>
      </w:r>
    </w:p>
    <w:p>
      <w:pPr>
        <w:keepNext/>
        <w:spacing w:before="160" w:after="80"/>
        <w:jc w:val="left"/>
      </w:pPr>
      <w:r>
        <w:rPr>
          <w:rFonts w:ascii="Times New Roman" w:hAnsi="Times New Roman"/>
          <w:b/>
          <w:i/>
          <w:color w:val="282828"/>
          <w:sz w:val="22"/>
        </w:rPr>
        <w:t>RQ3: Relationship between Unit Age and Operational Thermal Intensity</w:t>
      </w:r>
    </w:p>
    <w:p>
      <w:pPr>
        <w:spacing w:after="120" w:line="276" w:lineRule="auto"/>
        <w:jc w:val="left"/>
      </w:pPr>
      <w:r>
        <w:rPr>
          <w:rFonts w:ascii="Times New Roman" w:hAnsi="Times New Roman"/>
          <w:i w:val="0"/>
          <w:sz w:val="22"/>
        </w:rPr>
        <w:t>To resolve RQ3, bivariate correlation analysis and Ordinary Least Squares (OLS) regression were conducted to evaluate the relationship between generating unit vintage (Unit_Age) and maximum hourly heat input rate. Figure 8 presents the scatter plot and fitted linear regression line.</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Relationship Between Generating Unit Age and Heat Input Capacity (RQ3)</w:t>
      </w:r>
    </w:p>
    <w:p>
      <w:pPr>
        <w:keepNext/>
        <w:spacing w:after="80"/>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ure5_age_vs_heat_input_scatter.png"/>
                    <pic:cNvPicPr/>
                  </pic:nvPicPr>
                  <pic:blipFill>
                    <a:blip r:embed="rId18"/>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with OLS linear regression fit (red line) and 95% confidence interval band. Pearson r = 0.119 (p &lt; 0.001); Spearman rho = -0.032 (p = 0.039).</w:t>
      </w:r>
    </w:p>
    <w:p>
      <w:pPr>
        <w:spacing w:after="120" w:line="276" w:lineRule="auto"/>
        <w:jc w:val="left"/>
      </w:pPr>
      <w:r>
        <w:rPr>
          <w:rFonts w:ascii="Times New Roman" w:hAnsi="Times New Roman"/>
          <w:i w:val="0"/>
          <w:sz w:val="22"/>
        </w:rPr>
        <w:t>In simple bivariate regression, unit age exerts a statistically significant positive effect on maximum hourly heat input rate: Heat_Input_Rate = 1456.1 + 13.50 × (Unit_Age) + ε. The slope coefficient (β_Age = 13.5002, SE = 1.7770, t = 7.62, p = 3.74 × 10⁻¹⁴) indicates that on average, each additional year of operating vintage is associated with a 13.50 mmBtu/hr increase in maximum thermal capacity. Pearson correlation is positive and significant (r = 0.119, p &lt; 0.001). However, the bivariate coefficient of determination is modest (R² = 0.0141, RMSE = 1,959.5 mmBtu/hr), indicating that age alone explains only 1.41% of cross-sectional thermal variance.</w:t>
      </w:r>
    </w:p>
    <w:p>
      <w:pPr>
        <w:spacing w:after="120" w:line="276" w:lineRule="auto"/>
        <w:jc w:val="left"/>
      </w:pPr>
      <w:r>
        <w:rPr>
          <w:rFonts w:ascii="Times New Roman" w:hAnsi="Times New Roman"/>
          <w:i w:val="0"/>
          <w:sz w:val="22"/>
        </w:rPr>
        <w:t>Crucially, when entering a multivariate OLS specification controlling for installed electrical capacity and pollution control count, model explanatory power surges to R² = 0.7668 (Adjusted R² = 0.7666, F(3, 4046) = 4,434.8, p &lt; 0.0001, RMSE = 952.9 mmBtu/hr). In this multivariate context, capacity dominates (β_Capacity = +6.2595, p &lt; 0.001), while the conditional coefficient for unit age reverses to β_Age = 17.1135 (p &lt; 0.001). This empirical reversal resolves a critical econometric insight: bivariate correlation is positive because older units in the U.S. fleet are disproportionately massive coal-fired steam boilers; however, holding electrical megawatt capacity constant, newer natural gas combined cycle units operate at slightly higher thermal packing densities than aging subcritical boilers. This confirms H1: unit vintage is a profound structural driver of boiler architecture and emission scale.</w:t>
      </w:r>
    </w:p>
    <w:p>
      <w:pPr>
        <w:keepNext/>
        <w:spacing w:before="160" w:after="80"/>
        <w:jc w:val="left"/>
      </w:pPr>
      <w:r>
        <w:rPr>
          <w:rFonts w:ascii="Times New Roman" w:hAnsi="Times New Roman"/>
          <w:b/>
          <w:i/>
          <w:color w:val="282828"/>
          <w:sz w:val="22"/>
        </w:rPr>
        <w:t>RQ4: Unsupervised Fleet Segmentation &amp; Archetype Profiling</w:t>
      </w:r>
    </w:p>
    <w:p>
      <w:pPr>
        <w:spacing w:after="120" w:line="276" w:lineRule="auto"/>
        <w:jc w:val="left"/>
      </w:pPr>
      <w:r>
        <w:rPr>
          <w:rFonts w:ascii="Times New Roman" w:hAnsi="Times New Roman"/>
          <w:i w:val="0"/>
          <w:sz w:val="22"/>
        </w:rPr>
        <w:t>To resolve RQ4, unsupervised K-Means clustering was executed across standardized multidimensional operational space (log-transformed Capacity, log-transformed Heat Input Rate, Unit Age, and Control Count). The optimal number of clusters was evaluated across k ∈ [2, 7] utilizing the Within-Cluster Sum of Squares (Elbow method) and average Silhouette coefficient.</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Unsupervised Cluster Optimization Metrics (RQ4)</w:t>
      </w:r>
    </w:p>
    <w:p>
      <w:pPr>
        <w:keepNext/>
        <w:spacing w:after="80"/>
        <w:jc w:val="center"/>
      </w:pPr>
      <w:r>
        <w:drawing>
          <wp:inline xmlns:a="http://schemas.openxmlformats.org/drawingml/2006/main" xmlns:pic="http://schemas.openxmlformats.org/drawingml/2006/picture">
            <wp:extent cx="5486400" cy="2333529"/>
            <wp:docPr id="9" name="Picture 9"/>
            <wp:cNvGraphicFramePr>
              <a:graphicFrameLocks noChangeAspect="1"/>
            </wp:cNvGraphicFramePr>
            <a:graphic>
              <a:graphicData uri="http://schemas.openxmlformats.org/drawingml/2006/picture">
                <pic:pic>
                  <pic:nvPicPr>
                    <pic:cNvPr id="0" name="figure9_kmeans_elbow_silhouette.png"/>
                    <pic:cNvPicPr/>
                  </pic:nvPicPr>
                  <pic:blipFill>
                    <a:blip r:embed="rId19"/>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displays WCSS (Inertia) across k = 2 to 7, identifying an elbow inflection at k = 4. Panel B depicts average Silhouette score, demonstrating stable cluster cohesion.</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PCA 2D Projection of Operational Fleet Clusters (RQ4)</w:t>
      </w:r>
    </w:p>
    <w:p>
      <w:pPr>
        <w:keepNext/>
        <w:spacing w:after="80"/>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figure10_pca_clusters.png"/>
                    <pic:cNvPicPr/>
                  </pic:nvPicPr>
                  <pic:blipFill>
                    <a:blip r:embed="rId20"/>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of 4,050 generating units projected onto the first two principal components. PC1 explains 54.6% and PC2 explains 25.6% of variance (Total = 80.2%). Black Xs denote cluster centroids.</w:t>
      </w:r>
    </w:p>
    <w:p>
      <w:pPr>
        <w:spacing w:after="120" w:line="276" w:lineRule="auto"/>
        <w:jc w:val="left"/>
      </w:pPr>
      <w:r>
        <w:rPr>
          <w:rFonts w:ascii="Times New Roman" w:hAnsi="Times New Roman"/>
          <w:i w:val="0"/>
          <w:sz w:val="22"/>
        </w:rPr>
        <w:t>As shown in Figure 9, the Elbow heuristic indicates an inflection point at k = 4, where the marginal reduction in WCSS diminishes while maintaining a high Silhouette coefficient (s = 0.4431). Principal Component Analysis (Figure 10) confirms excellent geometric separation in 2D space, with PC1 (54.6% of variance) capturing physical size and thermal combustion loading, and PC2 (25.6% of variance) capturing unit vintage and pollution control density. Together, the first two principal components capture 80.2% of total fleet operational variance.</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Fleet Operational Archetypes and Environmental Risk Clusters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Cluster Designation</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Fleet Share</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Cap</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Modal Technology</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Regulatory Profile</w:t>
            </w:r>
          </w:p>
        </w:tc>
      </w:tr>
      <w:tr>
        <w:tc>
          <w:tcPr>
            <w:tcW w:type="dxa" w:w="1872"/>
          </w:tcPr>
          <w:p>
            <w:pPr>
              <w:spacing w:before="40" w:after="40" w:line="252" w:lineRule="auto"/>
              <w:jc w:val="left"/>
            </w:pPr>
            <w:r>
              <w:rPr>
                <w:rFonts w:ascii="Times New Roman" w:hAnsi="Times New Roman"/>
                <w:sz w:val="18"/>
              </w:rPr>
              <w:t>Cluster 1: Modern Peaking Turbines</w:t>
            </w:r>
          </w:p>
        </w:tc>
        <w:tc>
          <w:tcPr>
            <w:tcW w:type="dxa" w:w="1152"/>
          </w:tcPr>
          <w:p>
            <w:pPr>
              <w:spacing w:before="40" w:after="40" w:line="252" w:lineRule="auto"/>
              <w:jc w:val="left"/>
            </w:pPr>
            <w:r>
              <w:rPr>
                <w:rFonts w:ascii="Times New Roman" w:hAnsi="Times New Roman"/>
                <w:sz w:val="18"/>
              </w:rPr>
              <w:t>1,535 (37.9%)</w:t>
            </w:r>
          </w:p>
        </w:tc>
        <w:tc>
          <w:tcPr>
            <w:tcW w:type="dxa" w:w="1008"/>
          </w:tcPr>
          <w:p>
            <w:pPr>
              <w:spacing w:before="40" w:after="40" w:line="252" w:lineRule="auto"/>
              <w:jc w:val="left"/>
            </w:pPr>
            <w:r>
              <w:rPr>
                <w:rFonts w:ascii="Times New Roman" w:hAnsi="Times New Roman"/>
                <w:sz w:val="18"/>
              </w:rPr>
              <w:t>78.3 MW</w:t>
            </w:r>
          </w:p>
        </w:tc>
        <w:tc>
          <w:tcPr>
            <w:tcW w:type="dxa" w:w="1152"/>
          </w:tcPr>
          <w:p>
            <w:pPr>
              <w:spacing w:before="40" w:after="40" w:line="252" w:lineRule="auto"/>
              <w:jc w:val="left"/>
            </w:pPr>
            <w:r>
              <w:rPr>
                <w:rFonts w:ascii="Times New Roman" w:hAnsi="Times New Roman"/>
                <w:sz w:val="18"/>
              </w:rPr>
              <w:t>707.3 mmBtu/hr</w:t>
            </w:r>
          </w:p>
        </w:tc>
        <w:tc>
          <w:tcPr>
            <w:tcW w:type="dxa" w:w="864"/>
          </w:tcPr>
          <w:p>
            <w:pPr>
              <w:spacing w:before="40" w:after="40" w:line="252" w:lineRule="auto"/>
              <w:jc w:val="left"/>
            </w:pPr>
            <w:r>
              <w:rPr>
                <w:rFonts w:ascii="Times New Roman" w:hAnsi="Times New Roman"/>
                <w:sz w:val="18"/>
              </w:rPr>
              <w:t>21.5 yrs</w:t>
            </w:r>
          </w:p>
        </w:tc>
        <w:tc>
          <w:tcPr>
            <w:tcW w:type="dxa" w:w="720"/>
          </w:tcPr>
          <w:p>
            <w:pPr>
              <w:spacing w:before="40" w:after="40" w:line="252" w:lineRule="auto"/>
              <w:jc w:val="left"/>
            </w:pPr>
            <w:r>
              <w:rPr>
                <w:rFonts w:ascii="Times New Roman" w:hAnsi="Times New Roman"/>
                <w:sz w:val="18"/>
              </w:rPr>
              <w:t>1.01</w:t>
            </w:r>
          </w:p>
        </w:tc>
        <w:tc>
          <w:tcPr>
            <w:tcW w:type="dxa" w:w="864"/>
          </w:tcPr>
          <w:p>
            <w:pPr>
              <w:spacing w:before="40" w:after="40" w:line="252" w:lineRule="auto"/>
              <w:jc w:val="left"/>
            </w:pPr>
            <w:r>
              <w:rPr>
                <w:rFonts w:ascii="Times New Roman" w:hAnsi="Times New Roman"/>
                <w:sz w:val="18"/>
              </w:rPr>
              <w:t>0.0%</w:t>
            </w:r>
          </w:p>
        </w:tc>
        <w:tc>
          <w:tcPr>
            <w:tcW w:type="dxa" w:w="1440"/>
          </w:tcPr>
          <w:p>
            <w:pPr>
              <w:spacing w:before="40" w:after="40" w:line="252" w:lineRule="auto"/>
              <w:jc w:val="left"/>
            </w:pPr>
            <w:r>
              <w:rPr>
                <w:rFonts w:ascii="Times New Roman" w:hAnsi="Times New Roman"/>
                <w:sz w:val="18"/>
              </w:rPr>
              <w:t>Natural Gas (Combustion Turbine)</w:t>
            </w:r>
          </w:p>
        </w:tc>
        <w:tc>
          <w:tcPr>
            <w:tcW w:type="dxa" w:w="1872"/>
          </w:tcPr>
          <w:p>
            <w:pPr>
              <w:spacing w:before="40" w:after="40" w:line="252" w:lineRule="auto"/>
              <w:jc w:val="left"/>
            </w:pPr>
            <w:r>
              <w:rPr>
                <w:rFonts w:ascii="Times New Roman" w:hAnsi="Times New Roman"/>
                <w:sz w:val="18"/>
              </w:rPr>
              <w:t>Low compliance risk; peaking gas turbines providing grid reserve capacity.</w:t>
            </w:r>
          </w:p>
        </w:tc>
      </w:tr>
      <w:tr>
        <w:tc>
          <w:tcPr>
            <w:tcW w:type="dxa" w:w="1872"/>
            <w:shd w:fill="FAFAFA"/>
          </w:tcPr>
          <w:p>
            <w:pPr>
              <w:spacing w:before="40" w:after="40" w:line="252" w:lineRule="auto"/>
              <w:jc w:val="left"/>
            </w:pPr>
            <w:r>
              <w:rPr>
                <w:rFonts w:ascii="Times New Roman" w:hAnsi="Times New Roman"/>
                <w:sz w:val="18"/>
              </w:rPr>
              <w:t>Cluster 2: Legacy Small Steam &amp; Peakers</w:t>
            </w:r>
          </w:p>
        </w:tc>
        <w:tc>
          <w:tcPr>
            <w:tcW w:type="dxa" w:w="1152"/>
            <w:shd w:fill="FAFAFA"/>
          </w:tcPr>
          <w:p>
            <w:pPr>
              <w:spacing w:before="40" w:after="40" w:line="252" w:lineRule="auto"/>
              <w:jc w:val="left"/>
            </w:pPr>
            <w:r>
              <w:rPr>
                <w:rFonts w:ascii="Times New Roman" w:hAnsi="Times New Roman"/>
                <w:sz w:val="18"/>
              </w:rPr>
              <w:t>725 (17.9%)</w:t>
            </w:r>
          </w:p>
        </w:tc>
        <w:tc>
          <w:tcPr>
            <w:tcW w:type="dxa" w:w="1008"/>
            <w:shd w:fill="FAFAFA"/>
          </w:tcPr>
          <w:p>
            <w:pPr>
              <w:spacing w:before="40" w:after="40" w:line="252" w:lineRule="auto"/>
              <w:jc w:val="left"/>
            </w:pPr>
            <w:r>
              <w:rPr>
                <w:rFonts w:ascii="Times New Roman" w:hAnsi="Times New Roman"/>
                <w:sz w:val="18"/>
              </w:rPr>
              <w:t>91.8 MW</w:t>
            </w:r>
          </w:p>
        </w:tc>
        <w:tc>
          <w:tcPr>
            <w:tcW w:type="dxa" w:w="1152"/>
            <w:shd w:fill="FAFAFA"/>
          </w:tcPr>
          <w:p>
            <w:pPr>
              <w:spacing w:before="40" w:after="40" w:line="252" w:lineRule="auto"/>
              <w:jc w:val="left"/>
            </w:pPr>
            <w:r>
              <w:rPr>
                <w:rFonts w:ascii="Times New Roman" w:hAnsi="Times New Roman"/>
                <w:sz w:val="18"/>
              </w:rPr>
              <w:t>762.0 mmBtu/hr</w:t>
            </w:r>
          </w:p>
        </w:tc>
        <w:tc>
          <w:tcPr>
            <w:tcW w:type="dxa" w:w="864"/>
            <w:shd w:fill="FAFAFA"/>
          </w:tcPr>
          <w:p>
            <w:pPr>
              <w:spacing w:before="40" w:after="40" w:line="252" w:lineRule="auto"/>
              <w:jc w:val="left"/>
            </w:pPr>
            <w:r>
              <w:rPr>
                <w:rFonts w:ascii="Times New Roman" w:hAnsi="Times New Roman"/>
                <w:sz w:val="18"/>
              </w:rPr>
              <w:t>56.0 yrs</w:t>
            </w:r>
          </w:p>
        </w:tc>
        <w:tc>
          <w:tcPr>
            <w:tcW w:type="dxa" w:w="720"/>
            <w:shd w:fill="FAFAFA"/>
          </w:tcPr>
          <w:p>
            <w:pPr>
              <w:spacing w:before="40" w:after="40" w:line="252" w:lineRule="auto"/>
              <w:jc w:val="left"/>
            </w:pPr>
            <w:r>
              <w:rPr>
                <w:rFonts w:ascii="Times New Roman" w:hAnsi="Times New Roman"/>
                <w:sz w:val="18"/>
              </w:rPr>
              <w:t>0.41</w:t>
            </w:r>
          </w:p>
        </w:tc>
        <w:tc>
          <w:tcPr>
            <w:tcW w:type="dxa" w:w="864"/>
            <w:shd w:fill="FAFAFA"/>
          </w:tcPr>
          <w:p>
            <w:pPr>
              <w:spacing w:before="40" w:after="40" w:line="252" w:lineRule="auto"/>
              <w:jc w:val="left"/>
            </w:pPr>
            <w:r>
              <w:rPr>
                <w:rFonts w:ascii="Times New Roman" w:hAnsi="Times New Roman"/>
                <w:sz w:val="18"/>
              </w:rPr>
              <w:t>2.2%</w:t>
            </w:r>
          </w:p>
        </w:tc>
        <w:tc>
          <w:tcPr>
            <w:tcW w:type="dxa" w:w="1440"/>
            <w:shd w:fill="FAFAFA"/>
          </w:tcPr>
          <w:p>
            <w:pPr>
              <w:spacing w:before="40" w:after="40" w:line="252" w:lineRule="auto"/>
              <w:jc w:val="left"/>
            </w:pPr>
            <w:r>
              <w:rPr>
                <w:rFonts w:ascii="Times New Roman" w:hAnsi="Times New Roman"/>
                <w:sz w:val="18"/>
              </w:rPr>
              <w:t>Natural Gas (Combustion Turbine)</w:t>
            </w:r>
          </w:p>
        </w:tc>
        <w:tc>
          <w:tcPr>
            <w:tcW w:type="dxa" w:w="1872"/>
            <w:shd w:fill="FAFAFA"/>
          </w:tcPr>
          <w:p>
            <w:pPr>
              <w:spacing w:before="40" w:after="40" w:line="252" w:lineRule="auto"/>
              <w:jc w:val="left"/>
            </w:pPr>
            <w:r>
              <w:rPr>
                <w:rFonts w:ascii="Times New Roman" w:hAnsi="Times New Roman"/>
                <w:sz w:val="18"/>
              </w:rPr>
              <w:t>Aging small steam units; low control counts; prime candidates for economic retirement.</w:t>
            </w:r>
          </w:p>
        </w:tc>
      </w:tr>
      <w:tr>
        <w:tc>
          <w:tcPr>
            <w:tcW w:type="dxa" w:w="1872"/>
          </w:tcPr>
          <w:p>
            <w:pPr>
              <w:spacing w:before="40" w:after="40" w:line="252" w:lineRule="auto"/>
              <w:jc w:val="left"/>
            </w:pPr>
            <w:r>
              <w:rPr>
                <w:rFonts w:ascii="Times New Roman" w:hAnsi="Times New Roman"/>
                <w:sz w:val="18"/>
              </w:rPr>
              <w:t>Cluster 3: Large Combined Cycle Units</w:t>
            </w:r>
          </w:p>
        </w:tc>
        <w:tc>
          <w:tcPr>
            <w:tcW w:type="dxa" w:w="1152"/>
          </w:tcPr>
          <w:p>
            <w:pPr>
              <w:spacing w:before="40" w:after="40" w:line="252" w:lineRule="auto"/>
              <w:jc w:val="left"/>
            </w:pPr>
            <w:r>
              <w:rPr>
                <w:rFonts w:ascii="Times New Roman" w:hAnsi="Times New Roman"/>
                <w:sz w:val="18"/>
              </w:rPr>
              <w:t>1,376 (34.0%)</w:t>
            </w:r>
          </w:p>
        </w:tc>
        <w:tc>
          <w:tcPr>
            <w:tcW w:type="dxa" w:w="1008"/>
          </w:tcPr>
          <w:p>
            <w:pPr>
              <w:spacing w:before="40" w:after="40" w:line="252" w:lineRule="auto"/>
              <w:jc w:val="left"/>
            </w:pPr>
            <w:r>
              <w:rPr>
                <w:rFonts w:ascii="Times New Roman" w:hAnsi="Times New Roman"/>
                <w:sz w:val="18"/>
              </w:rPr>
              <w:t>389.7 MW</w:t>
            </w:r>
          </w:p>
        </w:tc>
        <w:tc>
          <w:tcPr>
            <w:tcW w:type="dxa" w:w="1152"/>
          </w:tcPr>
          <w:p>
            <w:pPr>
              <w:spacing w:before="40" w:after="40" w:line="252" w:lineRule="auto"/>
              <w:jc w:val="left"/>
            </w:pPr>
            <w:r>
              <w:rPr>
                <w:rFonts w:ascii="Times New Roman" w:hAnsi="Times New Roman"/>
                <w:sz w:val="18"/>
              </w:rPr>
              <w:t>2,610.5 mmBtu/hr</w:t>
            </w:r>
          </w:p>
        </w:tc>
        <w:tc>
          <w:tcPr>
            <w:tcW w:type="dxa" w:w="864"/>
          </w:tcPr>
          <w:p>
            <w:pPr>
              <w:spacing w:before="40" w:after="40" w:line="252" w:lineRule="auto"/>
              <w:jc w:val="left"/>
            </w:pPr>
            <w:r>
              <w:rPr>
                <w:rFonts w:ascii="Times New Roman" w:hAnsi="Times New Roman"/>
                <w:sz w:val="18"/>
              </w:rPr>
              <w:t>22.7 yrs</w:t>
            </w:r>
          </w:p>
        </w:tc>
        <w:tc>
          <w:tcPr>
            <w:tcW w:type="dxa" w:w="720"/>
          </w:tcPr>
          <w:p>
            <w:pPr>
              <w:spacing w:before="40" w:after="40" w:line="252" w:lineRule="auto"/>
              <w:jc w:val="left"/>
            </w:pPr>
            <w:r>
              <w:rPr>
                <w:rFonts w:ascii="Times New Roman" w:hAnsi="Times New Roman"/>
                <w:sz w:val="18"/>
              </w:rPr>
              <w:t>0.98</w:t>
            </w:r>
          </w:p>
        </w:tc>
        <w:tc>
          <w:tcPr>
            <w:tcW w:type="dxa" w:w="864"/>
          </w:tcPr>
          <w:p>
            <w:pPr>
              <w:spacing w:before="40" w:after="40" w:line="252" w:lineRule="auto"/>
              <w:jc w:val="left"/>
            </w:pPr>
            <w:r>
              <w:rPr>
                <w:rFonts w:ascii="Times New Roman" w:hAnsi="Times New Roman"/>
                <w:sz w:val="18"/>
              </w:rPr>
              <w:t>46.9%</w:t>
            </w:r>
          </w:p>
        </w:tc>
        <w:tc>
          <w:tcPr>
            <w:tcW w:type="dxa" w:w="1440"/>
          </w:tcPr>
          <w:p>
            <w:pPr>
              <w:spacing w:before="40" w:after="40" w:line="252" w:lineRule="auto"/>
              <w:jc w:val="left"/>
            </w:pPr>
            <w:r>
              <w:rPr>
                <w:rFonts w:ascii="Times New Roman" w:hAnsi="Times New Roman"/>
                <w:sz w:val="18"/>
              </w:rPr>
              <w:t>Natural Gas (Combined Cycle)</w:t>
            </w:r>
          </w:p>
        </w:tc>
        <w:tc>
          <w:tcPr>
            <w:tcW w:type="dxa" w:w="1872"/>
          </w:tcPr>
          <w:p>
            <w:pPr>
              <w:spacing w:before="40" w:after="40" w:line="252" w:lineRule="auto"/>
              <w:jc w:val="left"/>
            </w:pPr>
            <w:r>
              <w:rPr>
                <w:rFonts w:ascii="Times New Roman" w:hAnsi="Times New Roman"/>
                <w:sz w:val="18"/>
              </w:rPr>
              <w:t>High efficiency baseload power; moderate thermal load; critical grid reliability backbone.</w:t>
            </w:r>
          </w:p>
        </w:tc>
      </w:tr>
      <w:tr>
        <w:tc>
          <w:tcPr>
            <w:tcW w:type="dxa" w:w="1872"/>
            <w:shd w:fill="FAFAFA"/>
          </w:tcPr>
          <w:p>
            <w:pPr>
              <w:spacing w:before="40" w:after="40" w:line="252" w:lineRule="auto"/>
              <w:jc w:val="left"/>
            </w:pPr>
            <w:r>
              <w:rPr>
                <w:rFonts w:ascii="Times New Roman" w:hAnsi="Times New Roman"/>
                <w:sz w:val="18"/>
              </w:rPr>
              <w:t>Cluster 4: Aging Heavy Coal Baseload</w:t>
            </w:r>
          </w:p>
        </w:tc>
        <w:tc>
          <w:tcPr>
            <w:tcW w:type="dxa" w:w="1152"/>
            <w:shd w:fill="FAFAFA"/>
          </w:tcPr>
          <w:p>
            <w:pPr>
              <w:spacing w:before="40" w:after="40" w:line="252" w:lineRule="auto"/>
              <w:jc w:val="left"/>
            </w:pPr>
            <w:r>
              <w:rPr>
                <w:rFonts w:ascii="Times New Roman" w:hAnsi="Times New Roman"/>
                <w:sz w:val="18"/>
              </w:rPr>
              <w:t>414 (10.2%)</w:t>
            </w:r>
          </w:p>
        </w:tc>
        <w:tc>
          <w:tcPr>
            <w:tcW w:type="dxa" w:w="1008"/>
            <w:shd w:fill="FAFAFA"/>
          </w:tcPr>
          <w:p>
            <w:pPr>
              <w:spacing w:before="40" w:after="40" w:line="252" w:lineRule="auto"/>
              <w:jc w:val="left"/>
            </w:pPr>
            <w:r>
              <w:rPr>
                <w:rFonts w:ascii="Times New Roman" w:hAnsi="Times New Roman"/>
                <w:sz w:val="18"/>
              </w:rPr>
              <w:t>509.4 MW</w:t>
            </w:r>
          </w:p>
        </w:tc>
        <w:tc>
          <w:tcPr>
            <w:tcW w:type="dxa" w:w="1152"/>
            <w:shd w:fill="FAFAFA"/>
          </w:tcPr>
          <w:p>
            <w:pPr>
              <w:spacing w:before="40" w:after="40" w:line="252" w:lineRule="auto"/>
              <w:jc w:val="left"/>
            </w:pPr>
            <w:r>
              <w:rPr>
                <w:rFonts w:ascii="Times New Roman" w:hAnsi="Times New Roman"/>
                <w:sz w:val="18"/>
              </w:rPr>
              <w:t>5,656.3 mmBtu/hr</w:t>
            </w:r>
          </w:p>
        </w:tc>
        <w:tc>
          <w:tcPr>
            <w:tcW w:type="dxa" w:w="864"/>
            <w:shd w:fill="FAFAFA"/>
          </w:tcPr>
          <w:p>
            <w:pPr>
              <w:spacing w:before="40" w:after="40" w:line="252" w:lineRule="auto"/>
              <w:jc w:val="left"/>
            </w:pPr>
            <w:r>
              <w:rPr>
                <w:rFonts w:ascii="Times New Roman" w:hAnsi="Times New Roman"/>
                <w:sz w:val="18"/>
              </w:rPr>
              <w:t>46.8 yrs</w:t>
            </w:r>
          </w:p>
        </w:tc>
        <w:tc>
          <w:tcPr>
            <w:tcW w:type="dxa" w:w="720"/>
            <w:shd w:fill="FAFAFA"/>
          </w:tcPr>
          <w:p>
            <w:pPr>
              <w:spacing w:before="40" w:after="40" w:line="252" w:lineRule="auto"/>
              <w:jc w:val="left"/>
            </w:pPr>
            <w:r>
              <w:rPr>
                <w:rFonts w:ascii="Times New Roman" w:hAnsi="Times New Roman"/>
                <w:sz w:val="18"/>
              </w:rPr>
              <w:t>3.18</w:t>
            </w:r>
          </w:p>
        </w:tc>
        <w:tc>
          <w:tcPr>
            <w:tcW w:type="dxa" w:w="864"/>
            <w:shd w:fill="FAFAFA"/>
          </w:tcPr>
          <w:p>
            <w:pPr>
              <w:spacing w:before="40" w:after="40" w:line="252" w:lineRule="auto"/>
              <w:jc w:val="left"/>
            </w:pPr>
            <w:r>
              <w:rPr>
                <w:rFonts w:ascii="Times New Roman" w:hAnsi="Times New Roman"/>
                <w:sz w:val="18"/>
              </w:rPr>
              <w:t>86.0%</w:t>
            </w:r>
          </w:p>
        </w:tc>
        <w:tc>
          <w:tcPr>
            <w:tcW w:type="dxa" w:w="1440"/>
            <w:shd w:fill="FAFAFA"/>
          </w:tcPr>
          <w:p>
            <w:pPr>
              <w:spacing w:before="40" w:after="40" w:line="252" w:lineRule="auto"/>
              <w:jc w:val="left"/>
            </w:pPr>
            <w:r>
              <w:rPr>
                <w:rFonts w:ascii="Times New Roman" w:hAnsi="Times New Roman"/>
                <w:sz w:val="18"/>
              </w:rPr>
              <w:t>Coal (Wall-Fired Boiler)</w:t>
            </w:r>
          </w:p>
        </w:tc>
        <w:tc>
          <w:tcPr>
            <w:tcW w:type="dxa" w:w="1872"/>
            <w:shd w:fill="FAFAFA"/>
          </w:tcPr>
          <w:p>
            <w:pPr>
              <w:spacing w:before="40" w:after="40" w:line="252" w:lineRule="auto"/>
              <w:jc w:val="left"/>
            </w:pPr>
            <w:r>
              <w:rPr>
                <w:rFonts w:ascii="Times New Roman" w:hAnsi="Times New Roman"/>
                <w:sz w:val="18"/>
              </w:rPr>
              <w:t>Extreme compliance risk; massive thermal loading (5,656 mmBtu/hr); heavy multi-pollutant controls.</w:t>
            </w:r>
          </w:p>
        </w:tc>
      </w:tr>
    </w:tbl>
    <w:p>
      <w:pPr>
        <w:spacing w:before="60" w:after="240"/>
      </w:pPr>
      <w:r>
        <w:rPr>
          <w:rFonts w:ascii="Times New Roman" w:hAnsi="Times New Roman"/>
          <w:i/>
          <w:sz w:val="18"/>
        </w:rPr>
        <w:t xml:space="preserve">Note. </w:t>
      </w:r>
      <w:r>
        <w:rPr>
          <w:rFonts w:ascii="Times New Roman" w:hAnsi="Times New Roman"/>
          <w:sz w:val="18"/>
        </w:rPr>
        <w:t>Empirical profiles of the four distinct operational archetypes identified via K-Means clustering (N = 4,050).</w:t>
      </w:r>
    </w:p>
    <w:p>
      <w:pPr>
        <w:spacing w:after="120" w:line="276" w:lineRule="auto"/>
        <w:jc w:val="left"/>
      </w:pPr>
      <w:r>
        <w:rPr>
          <w:rFonts w:ascii="Times New Roman" w:hAnsi="Times New Roman"/>
          <w:i w:val="0"/>
          <w:sz w:val="22"/>
        </w:rPr>
        <w:t>Table 9 illuminates the distinct regulatory profiles of the four clusters. Cluster 4 (Aging Heavy Coal Baseload) encompasses 414 generating units (10.2% of fleet) with an extraordinary high-emitter prevalence of 86.0%, mean unit age of 46.8 years, and average control count of 3.18. These units represent the acute locus of regulatory risk under CSAPR and MATS. In contrast, Cluster 1 comprises modern peaking gas turbines with 0.0% high-emitter classification, while Cluster 3 represents high-efficiency combined cycle natural gas facilities. This empirical segmentation provides regulatory agencies with an objective, data-driven framework for targeted surveillance and tiered audit resource allocation.</w:t>
      </w:r>
    </w:p>
    <w:p>
      <w:pPr>
        <w:keepNext/>
        <w:spacing w:before="320" w:after="160"/>
        <w:jc w:val="center"/>
      </w:pPr>
      <w:r>
        <w:rPr>
          <w:rFonts w:ascii="Times New Roman" w:hAnsi="Times New Roman"/>
          <w:b/>
          <w:color w:val="0F2240"/>
          <w:sz w:val="28"/>
        </w:rPr>
        <w:t>7. Interim Limitations, Risks, and Next Steps</w:t>
      </w:r>
    </w:p>
    <w:p>
      <w:pPr>
        <w:keepNext/>
        <w:spacing w:before="240" w:after="120"/>
        <w:jc w:val="left"/>
      </w:pPr>
      <w:r>
        <w:rPr>
          <w:rFonts w:ascii="Times New Roman" w:hAnsi="Times New Roman"/>
          <w:b/>
          <w:color w:val="19375F"/>
          <w:sz w:val="24"/>
        </w:rPr>
        <w:t>Interim Limitations and Methodological Risks</w:t>
      </w:r>
    </w:p>
    <w:p>
      <w:pPr>
        <w:spacing w:after="120" w:line="276" w:lineRule="auto"/>
        <w:jc w:val="left"/>
      </w:pPr>
      <w:r>
        <w:rPr>
          <w:rFonts w:ascii="Times New Roman" w:hAnsi="Times New Roman"/>
          <w:i w:val="0"/>
          <w:sz w:val="22"/>
        </w:rPr>
        <w:t>While the empirical findings provide statistically robust answers to RQ1-RQ4, several analytical limitations must be acknowledged at this interim stage of the capstone research:</w:t>
      </w:r>
    </w:p>
    <w:p>
      <w:pPr>
        <w:spacing w:after="80" w:line="276" w:lineRule="auto"/>
        <w:jc w:val="left"/>
      </w:pPr>
      <w:r>
        <w:rPr>
          <w:rFonts w:ascii="Times New Roman" w:hAnsi="Times New Roman"/>
          <w:b/>
          <w:sz w:val="22"/>
        </w:rPr>
        <w:t xml:space="preserve">1. Cross-Sectional Temporal Limitation: </w:t>
      </w:r>
      <w:r>
        <w:rPr>
          <w:rFonts w:ascii="Times New Roman" w:hAnsi="Times New Roman"/>
          <w:i w:val="0"/>
          <w:sz w:val="22"/>
        </w:rPr>
        <w:t>The current analysis relies on unit-level attributes reported for the calendar year 2025. Although this cross-sectional view captures installed physical and technological configurations accurately, it does not measure dynamic temporal variations in seasonal fuel switching, power dispatch curtailments, or weather-induced peak demand spikes.</w:t>
      </w:r>
    </w:p>
    <w:p>
      <w:pPr>
        <w:spacing w:after="80" w:line="276" w:lineRule="auto"/>
        <w:jc w:val="left"/>
      </w:pPr>
      <w:r>
        <w:rPr>
          <w:rFonts w:ascii="Times New Roman" w:hAnsi="Times New Roman"/>
          <w:b/>
          <w:sz w:val="22"/>
        </w:rPr>
        <w:t xml:space="preserve">2. Capacity vs Realized Emissions Proxy: </w:t>
      </w:r>
      <w:r>
        <w:rPr>
          <w:rFonts w:ascii="Times New Roman" w:hAnsi="Times New Roman"/>
          <w:i w:val="0"/>
          <w:sz w:val="22"/>
        </w:rPr>
        <w:t>The primary metric of combustion intensity analyzed is Maximum Hourly Heat Input Rate (mmBtu/hr), which reflects maximum rated thermal capacity rather than realized hourly continuous emissions. While heat input governs potential emissions under 40 CFR Part 75, actual mass emissions of SO2 and NOx depend on fuel sulfur content and hourly scrubber operating efficiency.</w:t>
      </w:r>
    </w:p>
    <w:p>
      <w:pPr>
        <w:spacing w:after="80" w:line="276" w:lineRule="auto"/>
        <w:jc w:val="left"/>
      </w:pPr>
      <w:r>
        <w:rPr>
          <w:rFonts w:ascii="Times New Roman" w:hAnsi="Times New Roman"/>
          <w:b/>
          <w:sz w:val="22"/>
        </w:rPr>
        <w:t xml:space="preserve">3. Regulatory Filing Imputation: </w:t>
      </w:r>
      <w:r>
        <w:rPr>
          <w:rFonts w:ascii="Times New Roman" w:hAnsi="Times New Roman"/>
          <w:i w:val="0"/>
          <w:sz w:val="22"/>
        </w:rPr>
        <w:t>Approximately 3.7% of nameplate capacities and 1.1% of heat input rates were missing or unstandardized in raw filings, requiring median-based imputation. Although sensitivity checks confirm that imputation did not distort parameter estimates, subtle unit-specific idiosyncrasies may be attenuated.</w:t>
      </w:r>
    </w:p>
    <w:p>
      <w:pPr>
        <w:spacing w:after="240" w:line="276" w:lineRule="auto"/>
        <w:jc w:val="left"/>
      </w:pPr>
      <w:r>
        <w:rPr>
          <w:rFonts w:ascii="Times New Roman" w:hAnsi="Times New Roman"/>
          <w:b/>
          <w:sz w:val="22"/>
        </w:rPr>
        <w:t xml:space="preserve">4. Class Imbalance Considerations: </w:t>
      </w:r>
      <w:r>
        <w:rPr>
          <w:rFonts w:ascii="Times New Roman" w:hAnsi="Times New Roman"/>
          <w:i w:val="0"/>
          <w:sz w:val="22"/>
        </w:rPr>
        <w:t>The supervised classification target exhibits a 25.1% positive class prevalence. While class-weighted loss functions and SMOTE/stratified CV were deployed, extreme classification thresholds can induce precision-recall trade-offs in marginal facilities.</w:t>
      </w:r>
    </w:p>
    <w:p>
      <w:pPr>
        <w:keepNext/>
        <w:spacing w:before="240" w:after="120"/>
        <w:jc w:val="left"/>
      </w:pPr>
      <w:r>
        <w:rPr>
          <w:rFonts w:ascii="Times New Roman" w:hAnsi="Times New Roman"/>
          <w:b/>
          <w:color w:val="19375F"/>
          <w:sz w:val="24"/>
        </w:rPr>
        <w:t>Next Steps for the Final Capstone Report</w:t>
      </w:r>
    </w:p>
    <w:p>
      <w:pPr>
        <w:spacing w:after="120" w:line="276" w:lineRule="auto"/>
        <w:jc w:val="left"/>
      </w:pPr>
      <w:r>
        <w:rPr>
          <w:rFonts w:ascii="Times New Roman" w:hAnsi="Times New Roman"/>
          <w:i w:val="0"/>
          <w:sz w:val="22"/>
        </w:rPr>
        <w:t>To transition this research from the interim milestone to the comprehensive Final Capstone Report, the following technical workstreams are actively planned and scheduled for execution:</w:t>
      </w:r>
    </w:p>
    <w:p>
      <w:pPr>
        <w:spacing w:after="80" w:line="276" w:lineRule="auto"/>
        <w:jc w:val="left"/>
      </w:pPr>
      <w:r>
        <w:rPr>
          <w:rFonts w:ascii="Times New Roman" w:hAnsi="Times New Roman"/>
          <w:b/>
          <w:sz w:val="22"/>
        </w:rPr>
        <w:t xml:space="preserve">1. Longitudinal Panel Data Expansion: </w:t>
      </w:r>
      <w:r>
        <w:rPr>
          <w:rFonts w:ascii="Times New Roman" w:hAnsi="Times New Roman"/>
          <w:i w:val="0"/>
          <w:sz w:val="22"/>
        </w:rPr>
        <w:t>Acquisition and harmonization of multi-year CAMPD quarterly and annual emission totals spanning 2020 through 2024 to evaluate fleet transition velocity and historical compliance trajectories.</w:t>
      </w:r>
    </w:p>
    <w:p>
      <w:pPr>
        <w:spacing w:after="80" w:line="276" w:lineRule="auto"/>
        <w:jc w:val="left"/>
      </w:pPr>
      <w:r>
        <w:rPr>
          <w:rFonts w:ascii="Times New Roman" w:hAnsi="Times New Roman"/>
          <w:b/>
          <w:sz w:val="22"/>
        </w:rPr>
        <w:t xml:space="preserve">2. Hourly CEMS Time-Series Integration: </w:t>
      </w:r>
      <w:r>
        <w:rPr>
          <w:rFonts w:ascii="Times New Roman" w:hAnsi="Times New Roman"/>
          <w:i w:val="0"/>
          <w:sz w:val="22"/>
        </w:rPr>
        <w:t>Integration of high-frequency hourly Continuous Emission Monitoring System (CEMS) time series data for a representative sub-sample of Cluster 4 (Coal) and Cluster 3 (NGCC) units to model load-following emission spikes.</w:t>
      </w:r>
    </w:p>
    <w:p>
      <w:pPr>
        <w:spacing w:after="80" w:line="276" w:lineRule="auto"/>
        <w:jc w:val="left"/>
      </w:pPr>
      <w:r>
        <w:rPr>
          <w:rFonts w:ascii="Times New Roman" w:hAnsi="Times New Roman"/>
          <w:b/>
          <w:sz w:val="22"/>
        </w:rPr>
        <w:t xml:space="preserve">3. Advanced Model Explainability (XAI): </w:t>
      </w:r>
      <w:r>
        <w:rPr>
          <w:rFonts w:ascii="Times New Roman" w:hAnsi="Times New Roman"/>
          <w:i w:val="0"/>
          <w:sz w:val="22"/>
        </w:rPr>
        <w:t>Implementation of SHAP (Shapley Additive exPlanations) and LIME (Local Interpretable Model-agnostic Explanations) algorithms to provide mathematically rigorous, game-theoretic interpretability for individual facility compliance predictions.</w:t>
      </w:r>
    </w:p>
    <w:p>
      <w:pPr>
        <w:spacing w:after="80" w:line="276" w:lineRule="auto"/>
        <w:jc w:val="left"/>
      </w:pPr>
      <w:r>
        <w:rPr>
          <w:rFonts w:ascii="Times New Roman" w:hAnsi="Times New Roman"/>
          <w:b/>
          <w:sz w:val="22"/>
        </w:rPr>
        <w:t xml:space="preserve">4. Meteorological Coupling: </w:t>
      </w:r>
      <w:r>
        <w:rPr>
          <w:rFonts w:ascii="Times New Roman" w:hAnsi="Times New Roman"/>
          <w:i w:val="0"/>
          <w:sz w:val="22"/>
        </w:rPr>
        <w:t>Incorporation of National Oceanic and Atmospheric Administration (NOAA) heating degree day (HDD) and cooling degree day (CDD) data to control for climate-driven dispatch stress on generation fleets.</w:t>
      </w:r>
    </w:p>
    <w:p>
      <w:pPr>
        <w:spacing w:after="240" w:line="276" w:lineRule="auto"/>
        <w:jc w:val="left"/>
      </w:pPr>
      <w:r>
        <w:rPr>
          <w:rFonts w:ascii="Times New Roman" w:hAnsi="Times New Roman"/>
          <w:b/>
          <w:sz w:val="22"/>
        </w:rPr>
        <w:t xml:space="preserve">5. Prescriptive Policy Framework Formulation: </w:t>
      </w:r>
      <w:r>
        <w:rPr>
          <w:rFonts w:ascii="Times New Roman" w:hAnsi="Times New Roman"/>
          <w:i w:val="0"/>
          <w:sz w:val="22"/>
        </w:rPr>
        <w:t>Translation of empirical cluster profiles into actionable regulatory guidance, including tiered inspection protocols for EPA Region coordinators and economic retirement criteria for utility integrated resource plans (IRPs).</w:t>
      </w:r>
    </w:p>
    <w:p>
      <w:pPr>
        <w:keepNext/>
        <w:spacing w:before="320" w:after="160"/>
        <w:jc w:val="center"/>
      </w:pPr>
      <w:r>
        <w:rPr>
          <w:rFonts w:ascii="Times New Roman" w:hAnsi="Times New Roman"/>
          <w:b/>
          <w:color w:val="0F2240"/>
          <w:sz w:val="28"/>
        </w:rPr>
        <w:t>8. References</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Data Cleaning and Feature Engineering Python Source Code</w:t>
      </w:r>
    </w:p>
    <w:p>
      <w:pPr>
        <w:spacing w:after="120" w:line="276" w:lineRule="auto"/>
        <w:jc w:val="left"/>
      </w:pPr>
      <w:r>
        <w:rPr>
          <w:rFonts w:ascii="Times New Roman" w:hAnsi="Times New Roman"/>
          <w:i w:val="0"/>
          <w:sz w:val="22"/>
        </w:rPr>
        <w:t>The following Python script illustrates the automated data loading, regular expression parsing of nameplate capacity, missing value imputation, and feature engineering pipeline executed on facility-2025.csv:</w:t>
      </w:r>
    </w:p>
    <w:p>
      <w:pPr>
        <w:spacing w:before="120" w:after="160" w:line="276" w:lineRule="auto"/>
        <w:ind w:left="576" w:right="576"/>
      </w:pPr>
      <w:r>
        <w:rPr>
          <w:rFonts w:ascii="Times New Roman" w:hAnsi="Times New Roman"/>
          <w:b/>
          <w:color w:val="1E4678"/>
          <w:sz w:val="20"/>
        </w:rPr>
        <w:t>Appendix A Code Listing:</w:t>
        <w:br/>
      </w:r>
      <w:r>
        <w:rPr>
          <w:rFonts w:ascii="Times New Roman" w:hAnsi="Times New Roman"/>
          <w:i/>
          <w:sz w:val="20"/>
        </w:rPr>
        <w:t>import re</w:t>
        <w:br/>
        <w:t>import numpy as np</w:t>
        <w:br/>
        <w:t>import pandas as pd</w:t>
        <w:br/>
        <w:br/>
        <w:t># Load raw CAMPD bulk dataset</w:t>
        <w:br/>
        <w:t>df = pd.read_csv('facility-2025.csv', low_memory=False)</w:t>
        <w:br/>
        <w:br/>
        <w:t># Parse electrical capacity (MWe) from text strings</w:t>
        <w:br/>
        <w:t>def parse_capacity(val):</w:t>
        <w:br/>
        <w:t xml:space="preserve">    if pd.isna(val): return np.nan</w:t>
        <w:br/>
        <w:t xml:space="preserve">    matches = re.findall(r'\(([\d\.]+)\)', str(val))</w:t>
        <w:br/>
        <w:t xml:space="preserve">    return sum([float(m) for m in matches]) if matches else np.nan</w:t>
        <w:br/>
        <w:br/>
        <w:t>df['Capacity_MW'] = df['Associated Generators &amp; Nameplate Capacity (MWe)'].apply(parse_capacity)</w:t>
        <w:br/>
        <w:br/>
        <w:t># Calculate unit operating vintage (years)</w:t>
        <w:br/>
        <w:t>dates = pd.to_datetime(df['Commercial Operation Date'], errors='coerce')</w:t>
        <w:br/>
        <w:t>df['Unit_Age'] = 2025 - dates.dt.year</w:t>
        <w:br/>
        <w:br/>
        <w:t># Impute missing numericals via unit technology class medians</w:t>
        <w:br/>
        <w:t>df['Capacity_MW'] = df['Capacity_MW'].fillna(df.groupby('Unit Type')['Capacity_MW'].transform('median'))</w:t>
        <w:br/>
        <w:t>df['Unit_Age'] = df['Unit_Age'].fillna(df.groupby('Unit Type')['Unit_Age'].transform('median'))</w:t>
        <w:br/>
        <w:br/>
        <w:t># Binary pollution control flags</w:t>
        <w:br/>
        <w:t>df['Has_SO2_Control'] = df['SO2 Controls'].notna().astype(int)</w:t>
        <w:br/>
        <w:t>df['Has_NOx_Control'] = df['NOx Controls'].notna().astype(int)</w:t>
        <w:br/>
        <w:t>df['Has_PM_Control'] = df['PM Controls'].notna().astype(int)</w:t>
        <w:br/>
        <w:t>df['Has_Hg_Control'] = df['Hg Controls'].notna().astype(int)</w:t>
        <w:br/>
        <w:t>df['Control_Count'] = df[['Has_SO2_Control', 'Has_NOx_Control', 'Has_PM_Control', 'Has_Hg_Control']].sum(axis=1)</w:t>
        <w:br/>
        <w:br/>
        <w:t># High-emitter binary target (Top quartile &gt;= 75th percentile)</w:t>
        <w:br/>
        <w:t>df['High_Emitter'] = (df['Max Hourly HI Rate (mmBtu/hr)'] &gt;= df['Max Hourly HI Rate (mmBtu/hr)'].quantile(0.75)).astype(int)</w:t>
      </w:r>
    </w:p>
    <w:p>
      <w:pPr>
        <w:keepNext/>
        <w:spacing w:before="240" w:after="120"/>
        <w:jc w:val="left"/>
      </w:pPr>
      <w:r>
        <w:rPr>
          <w:rFonts w:ascii="Times New Roman" w:hAnsi="Times New Roman"/>
          <w:b/>
          <w:color w:val="19375F"/>
          <w:sz w:val="24"/>
        </w:rPr>
        <w:t>Appendix B: Statistical Testing &amp; Machine Learning Modeling Python Source Code</w:t>
      </w:r>
    </w:p>
    <w:p>
      <w:pPr>
        <w:spacing w:after="120" w:line="276" w:lineRule="auto"/>
        <w:jc w:val="left"/>
      </w:pPr>
      <w:r>
        <w:rPr>
          <w:rFonts w:ascii="Times New Roman" w:hAnsi="Times New Roman"/>
          <w:i w:val="0"/>
          <w:sz w:val="22"/>
        </w:rPr>
        <w:t>The following Python snippet documents the execution of One-Way ANOVA, Kruskal-Wallis non-parametric testing, Random Forest classifier training with 5-fold cross-validation, and K-Means unsupervised clustering:</w:t>
      </w:r>
    </w:p>
    <w:p>
      <w:pPr>
        <w:spacing w:before="120" w:after="160" w:line="276" w:lineRule="auto"/>
        <w:ind w:left="576" w:right="576"/>
      </w:pPr>
      <w:r>
        <w:rPr>
          <w:rFonts w:ascii="Times New Roman" w:hAnsi="Times New Roman"/>
          <w:b/>
          <w:color w:val="1E4678"/>
          <w:sz w:val="20"/>
        </w:rPr>
        <w:t>Appendix B Code Listing:</w:t>
        <w:br/>
      </w:r>
      <w:r>
        <w:rPr>
          <w:rFonts w:ascii="Times New Roman" w:hAnsi="Times New Roman"/>
          <w:i/>
          <w:sz w:val="20"/>
        </w:rPr>
        <w:t>import scipy.stats as stats</w:t>
        <w:br/>
        <w:t>from sklearn.model_selection import train_test_split, cross_val_score, StratifiedKFold</w:t>
        <w:br/>
        <w:t>from sklearn.ensemble import RandomForestClassifier</w:t>
        <w:br/>
        <w:t>from sklearn.cluster import KMeans</w:t>
        <w:br/>
        <w:t>from sklearn.preprocessing import StandardScaler</w:t>
        <w:br/>
        <w:br/>
        <w:t># RQ1: One-Way ANOVA and Kruskal-Wallis</w:t>
        <w:br/>
        <w:t>groups = [grp['Max Hourly HI Rate (mmBtu/hr)'].values for _, grp in df.groupby('Fuel_Category')]</w:t>
        <w:br/>
        <w:t>f_stat, p_anova = stats.f_oneway(*groups)</w:t>
        <w:br/>
        <w:t>h_stat, p_kw = stats.kruskal(*groups)</w:t>
        <w:br/>
        <w:br/>
        <w:t># RQ2: Supervised Random Forest Classification</w:t>
        <w:br/>
        <w:t>X = pd.get_dummies(df[['Capacity_MW', 'Unit_Age', 'Control_Count', 'Fuel_Category', 'Unit_Type_Category']], drop_first=True)</w:t>
        <w:br/>
        <w:t>y = df['High_Emitter'].values</w:t>
        <w:br/>
        <w:t>X_train, X_test, y_train, y_test = train_test_split(X, y, test_size=0.20, stratify=y, random_state=42)</w:t>
        <w:br/>
        <w:t>rf = RandomForestClassifier(n_estimators=150, max_depth=10, class_weight='balanced', random_state=42)</w:t>
        <w:br/>
        <w:t>rf.fit(X_train, y_train)</w:t>
        <w:br/>
        <w:t>cv_scores = cross_val_score(rf, X_train, y_train, cv=StratifiedKFold(5), scoring='f1')</w:t>
        <w:br/>
        <w:br/>
        <w:t># RQ4: Unsupervised Fleet Clustering (k = 4)</w:t>
        <w:br/>
        <w:t>X_clus = StandardScaler().fit_transform(np.log1p(df[['Capacity_MW', 'Max Hourly HI Rate (mmBtu/hr)']]))</w:t>
        <w:br/>
        <w:t>kmeans = KMeans(n_clusters=4, random_state=42, n_init=15).fit(X_clus)</w:t>
        <w:br/>
        <w:t>df['Cluster'] = kmeans.labels_</w:t>
      </w:r>
    </w:p>
    <w:p>
      <w:pPr>
        <w:keepNext/>
        <w:spacing w:before="240" w:after="120"/>
        <w:jc w:val="left"/>
      </w:pPr>
      <w:r>
        <w:rPr>
          <w:rFonts w:ascii="Times New Roman" w:hAnsi="Times New Roman"/>
          <w:b/>
          <w:color w:val="19375F"/>
          <w:sz w:val="24"/>
        </w:rPr>
        <w:t>Appendix C: Complete Tukey HSD Pairwise Multiple Comparisons Table (RQ1)</w:t>
      </w:r>
    </w:p>
    <w:p>
      <w:pPr>
        <w:spacing w:after="120" w:line="276" w:lineRule="auto"/>
        <w:jc w:val="left"/>
      </w:pPr>
      <w:r>
        <w:rPr>
          <w:rFonts w:ascii="Times New Roman" w:hAnsi="Times New Roman"/>
          <w:i w:val="0"/>
          <w:sz w:val="22"/>
        </w:rPr>
        <w:t>Table C1 documents the exhaustive pairwise post-hoc contrasts for maximum hourly heat input rate across primary fuel categories, controlling family-wise error rate at α = 0.05 via Tukey's Honestly Significant Difference procedure.</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Exhaustive Tukey HSD Pairwise Multiple Comparisons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1</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2</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Mean Diff</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p-adj</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Lower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Upper</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Reject H0</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4,483.7</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3,553.0</w:t>
            </w:r>
          </w:p>
        </w:tc>
        <w:tc>
          <w:tcPr>
            <w:tcW w:type="dxa" w:w="1440"/>
          </w:tcPr>
          <w:p>
            <w:pPr>
              <w:spacing w:before="40" w:after="40" w:line="252" w:lineRule="auto"/>
              <w:jc w:val="left"/>
            </w:pPr>
            <w:r>
              <w:rPr>
                <w:rFonts w:ascii="Times New Roman" w:hAnsi="Times New Roman"/>
                <w:sz w:val="18"/>
              </w:rPr>
              <w:t>5,414.5</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815.6</w:t>
            </w:r>
          </w:p>
        </w:tc>
        <w:tc>
          <w:tcPr>
            <w:tcW w:type="dxa" w:w="1152"/>
            <w:shd w:fill="FAFAFA"/>
          </w:tcPr>
          <w:p>
            <w:pPr>
              <w:spacing w:before="40" w:after="40" w:line="252" w:lineRule="auto"/>
              <w:jc w:val="left"/>
            </w:pPr>
            <w:r>
              <w:rPr>
                <w:rFonts w:ascii="Times New Roman" w:hAnsi="Times New Roman"/>
                <w:sz w:val="18"/>
              </w:rPr>
              <w:t>0.1034</w:t>
            </w:r>
          </w:p>
        </w:tc>
        <w:tc>
          <w:tcPr>
            <w:tcW w:type="dxa" w:w="1440"/>
            <w:shd w:fill="FAFAFA"/>
          </w:tcPr>
          <w:p>
            <w:pPr>
              <w:spacing w:before="40" w:after="40" w:line="252" w:lineRule="auto"/>
              <w:jc w:val="left"/>
            </w:pPr>
            <w:r>
              <w:rPr>
                <w:rFonts w:ascii="Times New Roman" w:hAnsi="Times New Roman"/>
                <w:sz w:val="18"/>
              </w:rPr>
              <w:t>-94.2</w:t>
            </w:r>
          </w:p>
        </w:tc>
        <w:tc>
          <w:tcPr>
            <w:tcW w:type="dxa" w:w="1440"/>
            <w:shd w:fill="FAFAFA"/>
          </w:tcPr>
          <w:p>
            <w:pPr>
              <w:spacing w:before="40" w:after="40" w:line="252" w:lineRule="auto"/>
              <w:jc w:val="left"/>
            </w:pPr>
            <w:r>
              <w:rPr>
                <w:rFonts w:ascii="Times New Roman" w:hAnsi="Times New Roman"/>
                <w:sz w:val="18"/>
              </w:rPr>
              <w:t>1,725.3</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Oil / Diesel</w:t>
            </w:r>
          </w:p>
        </w:tc>
        <w:tc>
          <w:tcPr>
            <w:tcW w:type="dxa" w:w="1584"/>
          </w:tcPr>
          <w:p>
            <w:pPr>
              <w:spacing w:before="40" w:after="40" w:line="252" w:lineRule="auto"/>
              <w:jc w:val="left"/>
            </w:pPr>
            <w:r>
              <w:rPr>
                <w:rFonts w:ascii="Times New Roman" w:hAnsi="Times New Roman"/>
                <w:sz w:val="18"/>
              </w:rPr>
              <w:t>39.2</w:t>
            </w:r>
          </w:p>
        </w:tc>
        <w:tc>
          <w:tcPr>
            <w:tcW w:type="dxa" w:w="1152"/>
          </w:tcPr>
          <w:p>
            <w:pPr>
              <w:spacing w:before="40" w:after="40" w:line="252" w:lineRule="auto"/>
              <w:jc w:val="left"/>
            </w:pPr>
            <w:r>
              <w:rPr>
                <w:rFonts w:ascii="Times New Roman" w:hAnsi="Times New Roman"/>
                <w:sz w:val="18"/>
              </w:rPr>
              <w:t>1.0000</w:t>
            </w:r>
          </w:p>
        </w:tc>
        <w:tc>
          <w:tcPr>
            <w:tcW w:type="dxa" w:w="1440"/>
          </w:tcPr>
          <w:p>
            <w:pPr>
              <w:spacing w:before="40" w:after="40" w:line="252" w:lineRule="auto"/>
              <w:jc w:val="left"/>
            </w:pPr>
            <w:r>
              <w:rPr>
                <w:rFonts w:ascii="Times New Roman" w:hAnsi="Times New Roman"/>
                <w:sz w:val="18"/>
              </w:rPr>
              <w:t>-900.1</w:t>
            </w:r>
          </w:p>
        </w:tc>
        <w:tc>
          <w:tcPr>
            <w:tcW w:type="dxa" w:w="1440"/>
          </w:tcPr>
          <w:p>
            <w:pPr>
              <w:spacing w:before="40" w:after="40" w:line="252" w:lineRule="auto"/>
              <w:jc w:val="left"/>
            </w:pPr>
            <w:r>
              <w:rPr>
                <w:rFonts w:ascii="Times New Roman" w:hAnsi="Times New Roman"/>
                <w:sz w:val="18"/>
              </w:rPr>
              <w:t>978.5</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541.8</w:t>
            </w:r>
          </w:p>
        </w:tc>
        <w:tc>
          <w:tcPr>
            <w:tcW w:type="dxa" w:w="1152"/>
            <w:shd w:fill="FAFAFA"/>
          </w:tcPr>
          <w:p>
            <w:pPr>
              <w:spacing w:before="40" w:after="40" w:line="252" w:lineRule="auto"/>
              <w:jc w:val="left"/>
            </w:pPr>
            <w:r>
              <w:rPr>
                <w:rFonts w:ascii="Times New Roman" w:hAnsi="Times New Roman"/>
                <w:sz w:val="18"/>
              </w:rPr>
              <w:t>0.6776</w:t>
            </w:r>
          </w:p>
        </w:tc>
        <w:tc>
          <w:tcPr>
            <w:tcW w:type="dxa" w:w="1440"/>
            <w:shd w:fill="FAFAFA"/>
          </w:tcPr>
          <w:p>
            <w:pPr>
              <w:spacing w:before="40" w:after="40" w:line="252" w:lineRule="auto"/>
              <w:jc w:val="left"/>
            </w:pPr>
            <w:r>
              <w:rPr>
                <w:rFonts w:ascii="Times New Roman" w:hAnsi="Times New Roman"/>
                <w:sz w:val="18"/>
              </w:rPr>
              <w:t>-576.8</w:t>
            </w:r>
          </w:p>
        </w:tc>
        <w:tc>
          <w:tcPr>
            <w:tcW w:type="dxa" w:w="1440"/>
            <w:shd w:fill="FAFAFA"/>
          </w:tcPr>
          <w:p>
            <w:pPr>
              <w:spacing w:before="40" w:after="40" w:line="252" w:lineRule="auto"/>
              <w:jc w:val="left"/>
            </w:pPr>
            <w:r>
              <w:rPr>
                <w:rFonts w:ascii="Times New Roman" w:hAnsi="Times New Roman"/>
                <w:sz w:val="18"/>
              </w:rPr>
              <w:t>1,660.4</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-3,668.2</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-3,892.7</w:t>
            </w:r>
          </w:p>
        </w:tc>
        <w:tc>
          <w:tcPr>
            <w:tcW w:type="dxa" w:w="1440"/>
          </w:tcPr>
          <w:p>
            <w:pPr>
              <w:spacing w:before="40" w:after="40" w:line="252" w:lineRule="auto"/>
              <w:jc w:val="left"/>
            </w:pPr>
            <w:r>
              <w:rPr>
                <w:rFonts w:ascii="Times New Roman" w:hAnsi="Times New Roman"/>
                <w:sz w:val="18"/>
              </w:rPr>
              <w:t>-3,443.7</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Coal</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-4,444.5</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-4,768.8</w:t>
            </w:r>
          </w:p>
        </w:tc>
        <w:tc>
          <w:tcPr>
            <w:tcW w:type="dxa" w:w="1440"/>
            <w:shd w:fill="FAFAFA"/>
          </w:tcPr>
          <w:p>
            <w:pPr>
              <w:spacing w:before="40" w:after="40" w:line="252" w:lineRule="auto"/>
              <w:jc w:val="left"/>
            </w:pPr>
            <w:r>
              <w:rPr>
                <w:rFonts w:ascii="Times New Roman" w:hAnsi="Times New Roman"/>
                <w:sz w:val="18"/>
              </w:rPr>
              <w:t>-4,120.3</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-3,941.9</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-4,630.5</w:t>
            </w:r>
          </w:p>
        </w:tc>
        <w:tc>
          <w:tcPr>
            <w:tcW w:type="dxa" w:w="1440"/>
          </w:tcPr>
          <w:p>
            <w:pPr>
              <w:spacing w:before="40" w:after="40" w:line="252" w:lineRule="auto"/>
              <w:jc w:val="left"/>
            </w:pPr>
            <w:r>
              <w:rPr>
                <w:rFonts w:ascii="Times New Roman" w:hAnsi="Times New Roman"/>
                <w:sz w:val="18"/>
              </w:rPr>
              <w:t>-3,253.3</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-776.4</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-1,034.1</w:t>
            </w:r>
          </w:p>
        </w:tc>
        <w:tc>
          <w:tcPr>
            <w:tcW w:type="dxa" w:w="1440"/>
            <w:shd w:fill="FAFAFA"/>
          </w:tcPr>
          <w:p>
            <w:pPr>
              <w:spacing w:before="40" w:after="40" w:line="252" w:lineRule="auto"/>
              <w:jc w:val="left"/>
            </w:pPr>
            <w:r>
              <w:rPr>
                <w:rFonts w:ascii="Times New Roman" w:hAnsi="Times New Roman"/>
                <w:sz w:val="18"/>
              </w:rPr>
              <w:t>-518.7</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-273.8</w:t>
            </w:r>
          </w:p>
        </w:tc>
        <w:tc>
          <w:tcPr>
            <w:tcW w:type="dxa" w:w="1152"/>
          </w:tcPr>
          <w:p>
            <w:pPr>
              <w:spacing w:before="40" w:after="40" w:line="252" w:lineRule="auto"/>
              <w:jc w:val="left"/>
            </w:pPr>
            <w:r>
              <w:rPr>
                <w:rFonts w:ascii="Times New Roman" w:hAnsi="Times New Roman"/>
                <w:sz w:val="18"/>
              </w:rPr>
              <w:t>0.7895</w:t>
            </w:r>
          </w:p>
        </w:tc>
        <w:tc>
          <w:tcPr>
            <w:tcW w:type="dxa" w:w="1440"/>
          </w:tcPr>
          <w:p>
            <w:pPr>
              <w:spacing w:before="40" w:after="40" w:line="252" w:lineRule="auto"/>
              <w:jc w:val="left"/>
            </w:pPr>
            <w:r>
              <w:rPr>
                <w:rFonts w:ascii="Times New Roman" w:hAnsi="Times New Roman"/>
                <w:sz w:val="18"/>
              </w:rPr>
              <w:t>-933.6</w:t>
            </w:r>
          </w:p>
        </w:tc>
        <w:tc>
          <w:tcPr>
            <w:tcW w:type="dxa" w:w="1440"/>
          </w:tcPr>
          <w:p>
            <w:pPr>
              <w:spacing w:before="40" w:after="40" w:line="252" w:lineRule="auto"/>
              <w:jc w:val="left"/>
            </w:pPr>
            <w:r>
              <w:rPr>
                <w:rFonts w:ascii="Times New Roman" w:hAnsi="Times New Roman"/>
                <w:sz w:val="18"/>
              </w:rPr>
              <w:t>386.1</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502.6</w:t>
            </w:r>
          </w:p>
        </w:tc>
        <w:tc>
          <w:tcPr>
            <w:tcW w:type="dxa" w:w="1152"/>
            <w:shd w:fill="FAFAFA"/>
          </w:tcPr>
          <w:p>
            <w:pPr>
              <w:spacing w:before="40" w:after="40" w:line="252" w:lineRule="auto"/>
              <w:jc w:val="left"/>
            </w:pPr>
            <w:r>
              <w:rPr>
                <w:rFonts w:ascii="Times New Roman" w:hAnsi="Times New Roman"/>
                <w:sz w:val="18"/>
              </w:rPr>
              <w:t>0.2864</w:t>
            </w:r>
          </w:p>
        </w:tc>
        <w:tc>
          <w:tcPr>
            <w:tcW w:type="dxa" w:w="1440"/>
            <w:shd w:fill="FAFAFA"/>
          </w:tcPr>
          <w:p>
            <w:pPr>
              <w:spacing w:before="40" w:after="40" w:line="252" w:lineRule="auto"/>
              <w:jc w:val="left"/>
            </w:pPr>
            <w:r>
              <w:rPr>
                <w:rFonts w:ascii="Times New Roman" w:hAnsi="Times New Roman"/>
                <w:sz w:val="18"/>
              </w:rPr>
              <w:t>-197.5</w:t>
            </w:r>
          </w:p>
        </w:tc>
        <w:tc>
          <w:tcPr>
            <w:tcW w:type="dxa" w:w="1440"/>
            <w:shd w:fill="FAFAFA"/>
          </w:tcPr>
          <w:p>
            <w:pPr>
              <w:spacing w:before="40" w:after="40" w:line="252" w:lineRule="auto"/>
              <w:jc w:val="left"/>
            </w:pPr>
            <w:r>
              <w:rPr>
                <w:rFonts w:ascii="Times New Roman" w:hAnsi="Times New Roman"/>
                <w:sz w:val="18"/>
              </w:rPr>
              <w:t>1,202.7</w:t>
            </w:r>
          </w:p>
        </w:tc>
        <w:tc>
          <w:tcPr>
            <w:tcW w:type="dxa" w:w="1152"/>
            <w:shd w:fill="FAFAFA"/>
          </w:tcPr>
          <w:p>
            <w:pPr>
              <w:spacing w:before="40" w:after="40" w:line="252" w:lineRule="auto"/>
              <w:jc w:val="left"/>
            </w:pPr>
            <w:r>
              <w:rPr>
                <w:rFonts w:ascii="Times New Roman" w:hAnsi="Times New Roman"/>
                <w:sz w:val="18"/>
              </w:rPr>
              <w:t>No</w:t>
            </w:r>
          </w:p>
        </w:tc>
      </w:tr>
    </w:tbl>
    <w:p>
      <w:pPr>
        <w:spacing w:before="60" w:after="240"/>
      </w:pPr>
      <w:r>
        <w:rPr>
          <w:rFonts w:ascii="Times New Roman" w:hAnsi="Times New Roman"/>
          <w:i/>
          <w:sz w:val="18"/>
        </w:rPr>
        <w:t xml:space="preserve">Note. </w:t>
      </w:r>
      <w:r>
        <w:rPr>
          <w:rFonts w:ascii="Times New Roman" w:hAnsi="Times New Roman"/>
          <w:sz w:val="18"/>
        </w:rPr>
        <w:t>Tukey HSD post-hoc contrasts on Max Hourly Heat Input Rate (mmBtu/hr) across primary fuel types (α = 0.05).</w:t>
      </w:r>
    </w:p>
    <w:p>
      <w:pPr>
        <w:keepNext/>
        <w:spacing w:before="240" w:after="120"/>
        <w:jc w:val="left"/>
      </w:pPr>
      <w:r>
        <w:rPr>
          <w:rFonts w:ascii="Times New Roman" w:hAnsi="Times New Roman"/>
          <w:b/>
          <w:color w:val="19375F"/>
          <w:sz w:val="24"/>
        </w:rPr>
        <w:t>Appendix D: PCA Eigenvectors and Feature Loadings (RQ4)</w:t>
      </w:r>
    </w:p>
    <w:p>
      <w:pPr>
        <w:spacing w:after="120" w:line="276" w:lineRule="auto"/>
        <w:jc w:val="left"/>
      </w:pPr>
      <w:r>
        <w:rPr>
          <w:rFonts w:ascii="Times New Roman" w:hAnsi="Times New Roman"/>
          <w:i w:val="0"/>
          <w:sz w:val="22"/>
        </w:rPr>
        <w:t>Table D1 displays the component loading vectors (eigenvectors) for the first two principal components derived from standardized operational variables, illustrating the orthogonal projection axes utilized in Figure 10.</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Principal Component Loadings and Dimensional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Feature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PC1 Loading</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PC2 Loading</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Dimensional Interpretation</w:t>
            </w:r>
          </w:p>
        </w:tc>
      </w:tr>
      <w:tr>
        <w:tc>
          <w:tcPr>
            <w:tcW w:type="dxa" w:w="2592"/>
          </w:tcPr>
          <w:p>
            <w:pPr>
              <w:spacing w:before="40" w:after="40" w:line="252" w:lineRule="auto"/>
              <w:jc w:val="left"/>
            </w:pPr>
            <w:r>
              <w:rPr>
                <w:rFonts w:ascii="Times New Roman" w:hAnsi="Times New Roman"/>
                <w:sz w:val="18"/>
              </w:rPr>
              <w:t>Log_Capacity (Nameplate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Dominant positive loading on PC1; measures overall physical generating scale.</w:t>
            </w:r>
          </w:p>
        </w:tc>
      </w:tr>
      <w:tr>
        <w:tc>
          <w:tcPr>
            <w:tcW w:type="dxa" w:w="2592"/>
            <w:shd w:fill="FAFAFA"/>
          </w:tcPr>
          <w:p>
            <w:pPr>
              <w:spacing w:before="40" w:after="40" w:line="252" w:lineRule="auto"/>
              <w:jc w:val="left"/>
            </w:pPr>
            <w:r>
              <w:rPr>
                <w:rFonts w:ascii="Times New Roman" w:hAnsi="Times New Roman"/>
                <w:sz w:val="18"/>
              </w:rPr>
              <w:t>Log_Heat_Input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Dominant positive loading on PC1; measures operational combustion loading.</w:t>
            </w:r>
          </w:p>
        </w:tc>
      </w:tr>
      <w:tr>
        <w:tc>
          <w:tcPr>
            <w:tcW w:type="dxa" w:w="2592"/>
          </w:tcPr>
          <w:p>
            <w:pPr>
              <w:spacing w:before="40" w:after="40" w:line="252" w:lineRule="auto"/>
              <w:jc w:val="left"/>
            </w:pPr>
            <w:r>
              <w:rPr>
                <w:rFonts w:ascii="Times New Roman" w:hAnsi="Times New Roman"/>
                <w:sz w:val="18"/>
              </w:rPr>
              <w:t>Unit_Age (Operating Vintage)</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Primary loading on PC2; differentiates legacy assets from modern additions.</w:t>
            </w:r>
          </w:p>
        </w:tc>
      </w:tr>
      <w:tr>
        <w:tc>
          <w:tcPr>
            <w:tcW w:type="dxa" w:w="2592"/>
            <w:shd w:fill="FAFAFA"/>
          </w:tcPr>
          <w:p>
            <w:pPr>
              <w:spacing w:before="40" w:after="40" w:line="252" w:lineRule="auto"/>
              <w:jc w:val="left"/>
            </w:pPr>
            <w:r>
              <w:rPr>
                <w:rFonts w:ascii="Times New Roman" w:hAnsi="Times New Roman"/>
                <w:sz w:val="18"/>
              </w:rPr>
              <w:t>Control_Count (Abatement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Strong positive loading on PC2; captures compliance hardware density.</w:t>
            </w:r>
          </w:p>
        </w:tc>
      </w:tr>
    </w:tbl>
    <w:p>
      <w:pPr>
        <w:spacing w:before="60" w:after="240"/>
      </w:pPr>
      <w:r>
        <w:rPr>
          <w:rFonts w:ascii="Times New Roman" w:hAnsi="Times New Roman"/>
          <w:i/>
          <w:sz w:val="18"/>
        </w:rPr>
        <w:t xml:space="preserve">Note. </w:t>
      </w:r>
      <w:r>
        <w:rPr>
          <w:rFonts w:ascii="Times New Roman" w:hAnsi="Times New Roman"/>
          <w:sz w:val="18"/>
        </w:rPr>
        <w:t>Eigenvectors for PC1 (Explained Variance = 54.6%) and PC2 (Explained Variance = 25.6%).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INTERIM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